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D82F1C" w14:textId="3822BD0E" w:rsidR="008569FE" w:rsidRDefault="008569FE" w:rsidP="008569FE">
      <w:pPr>
        <w:ind w:firstLine="709"/>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УДК 330.341</w:t>
      </w:r>
      <w:r w:rsidR="00F54DDF">
        <w:rPr>
          <w:rFonts w:ascii="Times New Roman" w:eastAsia="Times New Roman" w:hAnsi="Times New Roman" w:cs="Times New Roman"/>
          <w:b/>
          <w:bCs/>
          <w:sz w:val="24"/>
          <w:szCs w:val="24"/>
          <w:lang w:eastAsia="ru-RU"/>
        </w:rPr>
        <w:t xml:space="preserve"> / </w:t>
      </w:r>
      <w:r>
        <w:rPr>
          <w:rFonts w:ascii="Times New Roman" w:eastAsia="Times New Roman" w:hAnsi="Times New Roman" w:cs="Times New Roman"/>
          <w:b/>
          <w:bCs/>
          <w:sz w:val="24"/>
          <w:szCs w:val="24"/>
          <w:lang w:eastAsia="ru-RU"/>
        </w:rPr>
        <w:t>ББК 65.042</w:t>
      </w:r>
    </w:p>
    <w:p w14:paraId="40DAB4B4" w14:textId="3FA4E2D3" w:rsidR="008569FE" w:rsidRDefault="008569FE" w:rsidP="008569FE">
      <w:pPr>
        <w:ind w:firstLine="709"/>
        <w:jc w:val="right"/>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Василенко</w:t>
      </w:r>
      <w:r w:rsidR="00F54DDF">
        <w:rPr>
          <w:rFonts w:ascii="Times New Roman" w:eastAsia="Times New Roman" w:hAnsi="Times New Roman" w:cs="Times New Roman"/>
          <w:b/>
          <w:bCs/>
          <w:sz w:val="24"/>
          <w:szCs w:val="24"/>
          <w:lang w:eastAsia="ru-RU"/>
        </w:rPr>
        <w:t xml:space="preserve"> Д.В.</w:t>
      </w:r>
    </w:p>
    <w:p w14:paraId="10679DEC" w14:textId="77777777" w:rsidR="00F54DDF" w:rsidRDefault="00F54DDF" w:rsidP="008569FE">
      <w:pPr>
        <w:ind w:firstLine="709"/>
        <w:jc w:val="right"/>
        <w:rPr>
          <w:rFonts w:ascii="Times New Roman" w:eastAsia="Times New Roman" w:hAnsi="Times New Roman" w:cs="Times New Roman"/>
          <w:b/>
          <w:bCs/>
          <w:sz w:val="24"/>
          <w:szCs w:val="24"/>
          <w:lang w:eastAsia="ru-RU"/>
        </w:rPr>
      </w:pPr>
    </w:p>
    <w:p w14:paraId="4A45B0C6" w14:textId="345879C2" w:rsidR="00C80BA5" w:rsidRPr="00C80BA5" w:rsidRDefault="00C80BA5" w:rsidP="00C80BA5">
      <w:pPr>
        <w:ind w:firstLine="709"/>
        <w:jc w:val="center"/>
        <w:rPr>
          <w:rFonts w:ascii="Times New Roman" w:eastAsia="Times New Roman" w:hAnsi="Times New Roman" w:cs="Times New Roman"/>
          <w:b/>
          <w:bCs/>
          <w:sz w:val="24"/>
          <w:szCs w:val="24"/>
          <w:lang w:eastAsia="ru-RU"/>
        </w:rPr>
      </w:pPr>
      <w:r w:rsidRPr="00C80BA5">
        <w:rPr>
          <w:rFonts w:ascii="Times New Roman" w:eastAsia="Times New Roman" w:hAnsi="Times New Roman" w:cs="Times New Roman"/>
          <w:b/>
          <w:bCs/>
          <w:sz w:val="24"/>
          <w:szCs w:val="24"/>
          <w:lang w:eastAsia="ru-RU"/>
        </w:rPr>
        <w:t xml:space="preserve">ОБЕСПЕЧЕНИЕ СОЦИАЛЬНО-ЭКОНОМИЧЕСКОГО РАЗВИТИЯ ВНУТРИГОРОДСКИХ РАЙОНОВ ГОРОДОВ: </w:t>
      </w:r>
      <w:r w:rsidR="00161F03">
        <w:rPr>
          <w:rFonts w:ascii="Times New Roman" w:eastAsia="Times New Roman" w:hAnsi="Times New Roman" w:cs="Times New Roman"/>
          <w:b/>
          <w:bCs/>
          <w:sz w:val="24"/>
          <w:szCs w:val="24"/>
          <w:lang w:eastAsia="ru-RU"/>
        </w:rPr>
        <w:t>НОРМАТИВНО-ПРАВОВОЕ</w:t>
      </w:r>
      <w:r w:rsidRPr="00C80BA5">
        <w:rPr>
          <w:rFonts w:ascii="Times New Roman" w:eastAsia="Times New Roman" w:hAnsi="Times New Roman" w:cs="Times New Roman"/>
          <w:b/>
          <w:bCs/>
          <w:sz w:val="24"/>
          <w:szCs w:val="24"/>
          <w:lang w:eastAsia="ru-RU"/>
        </w:rPr>
        <w:t xml:space="preserve"> СОПРОВОЖДЕНИЕ</w:t>
      </w:r>
    </w:p>
    <w:p w14:paraId="5C4FA041" w14:textId="77777777" w:rsidR="00C80BA5" w:rsidRDefault="00C80BA5" w:rsidP="007F57C9">
      <w:pPr>
        <w:ind w:firstLine="709"/>
        <w:jc w:val="both"/>
        <w:rPr>
          <w:rFonts w:ascii="Times New Roman" w:eastAsia="Times New Roman" w:hAnsi="Times New Roman" w:cs="Times New Roman"/>
          <w:sz w:val="24"/>
          <w:szCs w:val="24"/>
          <w:lang w:eastAsia="ru-RU"/>
        </w:rPr>
      </w:pPr>
    </w:p>
    <w:p w14:paraId="7349CBE3" w14:textId="3F5CBAF2" w:rsidR="008569FE" w:rsidRPr="007F57C9" w:rsidRDefault="008569FE" w:rsidP="008569FE">
      <w:pPr>
        <w:ind w:firstLine="709"/>
        <w:jc w:val="both"/>
        <w:rPr>
          <w:rFonts w:ascii="Times New Roman" w:hAnsi="Times New Roman" w:cs="Times New Roman"/>
          <w:sz w:val="24"/>
          <w:szCs w:val="24"/>
        </w:rPr>
      </w:pPr>
      <w:r w:rsidRPr="008569FE">
        <w:rPr>
          <w:rFonts w:ascii="Times New Roman" w:eastAsia="Times New Roman" w:hAnsi="Times New Roman" w:cs="Times New Roman"/>
          <w:b/>
          <w:bCs/>
          <w:sz w:val="24"/>
          <w:szCs w:val="24"/>
          <w:lang w:eastAsia="ru-RU"/>
        </w:rPr>
        <w:t>Аннотация.</w:t>
      </w:r>
      <w:r>
        <w:rPr>
          <w:rFonts w:ascii="Times New Roman" w:eastAsia="Times New Roman" w:hAnsi="Times New Roman" w:cs="Times New Roman"/>
          <w:b/>
          <w:bCs/>
          <w:sz w:val="24"/>
          <w:szCs w:val="24"/>
          <w:lang w:eastAsia="ru-RU"/>
        </w:rPr>
        <w:t xml:space="preserve"> </w:t>
      </w:r>
      <w:r w:rsidRPr="007F57C9">
        <w:rPr>
          <w:rFonts w:ascii="Times New Roman" w:hAnsi="Times New Roman" w:cs="Times New Roman"/>
          <w:sz w:val="24"/>
          <w:szCs w:val="24"/>
        </w:rPr>
        <w:t>В современных условиях вопросы эффективного обеспечения социально-экономического развития внутригородских районов ДНР рассматриваются на уровнях органов государственной власти и местного самоуправления</w:t>
      </w:r>
      <w:r>
        <w:rPr>
          <w:rFonts w:ascii="Times New Roman" w:hAnsi="Times New Roman" w:cs="Times New Roman"/>
          <w:sz w:val="24"/>
          <w:szCs w:val="24"/>
        </w:rPr>
        <w:t xml:space="preserve"> и </w:t>
      </w:r>
      <w:r w:rsidRPr="007F57C9">
        <w:rPr>
          <w:rFonts w:ascii="Times New Roman" w:eastAsia="Times New Roman" w:hAnsi="Times New Roman" w:cs="Times New Roman"/>
          <w:sz w:val="24"/>
          <w:szCs w:val="24"/>
          <w:lang w:eastAsia="ru-RU"/>
        </w:rPr>
        <w:t>требу</w:t>
      </w:r>
      <w:r>
        <w:rPr>
          <w:rFonts w:ascii="Times New Roman" w:eastAsia="Times New Roman" w:hAnsi="Times New Roman" w:cs="Times New Roman"/>
          <w:sz w:val="24"/>
          <w:szCs w:val="24"/>
          <w:lang w:eastAsia="ru-RU"/>
        </w:rPr>
        <w:t>ю</w:t>
      </w:r>
      <w:r w:rsidRPr="007F57C9">
        <w:rPr>
          <w:rFonts w:ascii="Times New Roman" w:eastAsia="Times New Roman" w:hAnsi="Times New Roman" w:cs="Times New Roman"/>
          <w:sz w:val="24"/>
          <w:szCs w:val="24"/>
          <w:lang w:eastAsia="ru-RU"/>
        </w:rPr>
        <w:t xml:space="preserve">т четкого </w:t>
      </w:r>
      <w:r>
        <w:rPr>
          <w:rFonts w:ascii="Times New Roman" w:eastAsia="Times New Roman" w:hAnsi="Times New Roman" w:cs="Times New Roman"/>
          <w:sz w:val="24"/>
          <w:szCs w:val="24"/>
          <w:lang w:eastAsia="ru-RU"/>
        </w:rPr>
        <w:t>регламентированного регулирования.</w:t>
      </w:r>
    </w:p>
    <w:p w14:paraId="53AE93EC" w14:textId="3C680FDF" w:rsidR="008569FE" w:rsidRDefault="008569FE" w:rsidP="007F57C9">
      <w:pPr>
        <w:ind w:firstLine="709"/>
        <w:jc w:val="both"/>
        <w:rPr>
          <w:rFonts w:ascii="Times New Roman" w:eastAsia="Times New Roman" w:hAnsi="Times New Roman" w:cs="Times New Roman"/>
          <w:sz w:val="24"/>
          <w:szCs w:val="24"/>
          <w:lang w:eastAsia="ru-RU"/>
        </w:rPr>
      </w:pPr>
      <w:r w:rsidRPr="008569FE">
        <w:rPr>
          <w:rFonts w:ascii="Times New Roman" w:eastAsia="Times New Roman" w:hAnsi="Times New Roman" w:cs="Times New Roman"/>
          <w:b/>
          <w:bCs/>
          <w:sz w:val="24"/>
          <w:szCs w:val="24"/>
          <w:lang w:eastAsia="ru-RU"/>
        </w:rPr>
        <w:t>Ключевые слова:</w:t>
      </w:r>
      <w:r>
        <w:rPr>
          <w:rFonts w:ascii="Times New Roman" w:eastAsia="Times New Roman" w:hAnsi="Times New Roman" w:cs="Times New Roman"/>
          <w:sz w:val="24"/>
          <w:szCs w:val="24"/>
          <w:lang w:eastAsia="ru-RU"/>
        </w:rPr>
        <w:t xml:space="preserve"> экономика, развитие, город, район, методическое сопровождение</w:t>
      </w:r>
    </w:p>
    <w:p w14:paraId="4AE67759" w14:textId="77777777" w:rsidR="008569FE" w:rsidRDefault="008569FE" w:rsidP="007F57C9">
      <w:pPr>
        <w:ind w:firstLine="709"/>
        <w:jc w:val="both"/>
        <w:rPr>
          <w:rFonts w:ascii="Times New Roman" w:eastAsia="Times New Roman" w:hAnsi="Times New Roman" w:cs="Times New Roman"/>
          <w:sz w:val="24"/>
          <w:szCs w:val="24"/>
          <w:lang w:eastAsia="ru-RU"/>
        </w:rPr>
      </w:pPr>
    </w:p>
    <w:p w14:paraId="66E79B09" w14:textId="5F8B309C"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«Городской район (внутригородской район, район в городе, район города) являлся низовой административно-территориальной единицей, охватывающей определенную территорию города» [1]. Данная форма административно-территориального деления была присуща странам, входившим в состав СССР (Россия, Республика Беларусь, Республика Казахстан и др.).</w:t>
      </w:r>
    </w:p>
    <w:p w14:paraId="5E338F1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Разделение территории города на внутригородские районы преследует цель обеспечения рационального и наиболее эффективного использования городского хозяйства, улучшение условий жизнедеятельности населения, а также привлечения населения к решению вопросов местного значения.</w:t>
      </w:r>
    </w:p>
    <w:p w14:paraId="7B048778" w14:textId="7968EDA2"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В данном случае внутригородской район городского округа может быть признан как единица местного самоуправления, в рамках которой формируются и функционируют подразделения городских органов управления.</w:t>
      </w:r>
      <w:r w:rsidR="008569FE" w:rsidRPr="008569FE">
        <w:rPr>
          <w:rFonts w:ascii="Times New Roman" w:hAnsi="Times New Roman" w:cs="Times New Roman"/>
          <w:sz w:val="24"/>
          <w:szCs w:val="24"/>
        </w:rPr>
        <w:t xml:space="preserve"> </w:t>
      </w:r>
      <w:r w:rsidR="008569FE" w:rsidRPr="007F57C9">
        <w:rPr>
          <w:rFonts w:ascii="Times New Roman" w:hAnsi="Times New Roman" w:cs="Times New Roman"/>
          <w:sz w:val="24"/>
          <w:szCs w:val="24"/>
        </w:rPr>
        <w:t xml:space="preserve">Достижение задач в области развития </w:t>
      </w:r>
      <w:r w:rsidR="008569FE">
        <w:rPr>
          <w:rFonts w:ascii="Times New Roman" w:hAnsi="Times New Roman" w:cs="Times New Roman"/>
          <w:sz w:val="24"/>
          <w:szCs w:val="24"/>
        </w:rPr>
        <w:t>отдельных территорий</w:t>
      </w:r>
      <w:r w:rsidR="008569FE" w:rsidRPr="007F57C9">
        <w:rPr>
          <w:rFonts w:ascii="Times New Roman" w:hAnsi="Times New Roman" w:cs="Times New Roman"/>
          <w:sz w:val="24"/>
          <w:szCs w:val="24"/>
        </w:rPr>
        <w:t xml:space="preserve"> достигается путем исполнения определенных программ или стратегий с учетом необходимости устранения рисков при реализации государственных ориентиров, которые являются основой для разработки официальных документов.</w:t>
      </w:r>
    </w:p>
    <w:p w14:paraId="327AD960"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Деятельность внутригородских районов регламентируется Конституцией, Уставом и прочими нормативно-правовыми актами, определяющими цель, функции, задачи и полномочия органов местного самоуправления на районном уровне.</w:t>
      </w:r>
    </w:p>
    <w:p w14:paraId="2DF21636"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Нормативно-правовое обеспечение необходимо внутригородским районам городских округов для создания условий, направленных на организованного и прозрачного управления, содействия устойчивому местному развитию и защиты прав и интересов жителей. Оно устанавливает четкие принципы управления и рамки для принятия решений, распределения ресурсов и предоставления услуг, что помогает поддерживать порядок и последовательность в муниципальных образованиях. Кроме того, сильная нормативная база позволяет внутригородским районам городов привлекать инвестиции, реализовывать эффективные социальные программы и эффективно реагировать на социально-экономические проблемы. По сути, правовые положения служат основой муниципальной стабильности и развития, способствуя созданию безопасной и процветающей среды для сообществ.</w:t>
      </w:r>
    </w:p>
    <w:p w14:paraId="3B4AE365"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Основными принципами, обеспечивающими социально-экономическое развитие внутригородского района города, являются:</w:t>
      </w:r>
    </w:p>
    <w:p w14:paraId="430261FF"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самостоятельность местного самоуправления: муниципалитеты действуют самостоятельно в рамках федеральных и региональных законов, что позволяет им строить местное управление и распределять ресурсы для удовлетворения конкретных потребностей сообщества;</w:t>
      </w:r>
    </w:p>
    <w:p w14:paraId="4D765857"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участие общественности: закон поощряет участие граждан в местном управлении, гарантируя учет голосов и интересов жителей в процессах принятия решений, что повышает социальную сплоченность и прозрачность;</w:t>
      </w:r>
    </w:p>
    <w:p w14:paraId="5027E03D"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 распределение ресурсов на социальное обеспечение и экономическое развитие: закон предоставляет муниципалитетам полномочия в отношении местных экономических и </w:t>
      </w:r>
      <w:r w:rsidRPr="007F57C9">
        <w:rPr>
          <w:rFonts w:ascii="Times New Roman" w:eastAsia="Times New Roman" w:hAnsi="Times New Roman" w:cs="Times New Roman"/>
          <w:sz w:val="24"/>
          <w:szCs w:val="24"/>
          <w:lang w:eastAsia="ru-RU"/>
        </w:rPr>
        <w:lastRenderedPageBreak/>
        <w:t>социальных программ, позволяя им решать такие вопросы, как жилье, здравоохранение, образование и развитие инфраструктуры, которые имеют решающее значение для повышения качества жизни и содействия экономическому росту;</w:t>
      </w:r>
    </w:p>
    <w:p w14:paraId="24D26DD0"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государственная поддержка и взаимодействие: закон гарантирует то, что местные органы власти получат необходимую поддержку от федеральных и региональных властей. Это имеет решающее значение для реализации масштабных проектов и поддержания стабильной экономической среды.</w:t>
      </w:r>
    </w:p>
    <w:p w14:paraId="37CB7C63"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На основании вышеуказанных нормативно-правовых актов Управы внутригородских районов городов создают нормативно-правовую базу, определяющую полномочия, задачи и функции органов местного самоуправления.</w:t>
      </w:r>
    </w:p>
    <w:p w14:paraId="146FA1CF"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Нормативно-правовые акты, издаваемые региональными и местными органами власти в Российской Федерации, охватывают ряд ключевых направлений социально-экономического развития внутригородских районов городов. Устанавливают принципы привлечения инвестиций, поддержки малого и среднего бизнеса и создания благоприятных условий для роста местного бизнеса, что является движущей силой экономического развития не только района, но и города в целом.</w:t>
      </w:r>
    </w:p>
    <w:p w14:paraId="199F2C63" w14:textId="37B00BD1"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В Законе ДНР «Об административно-территориальном устройстве Донецкой Народной Республики» установлено, что внутригородские районы городских округов в ДНР являются территориальными образованиями, частями территории города. Данные аспекты позволяют выявить непрерывные процессы, происходящие в сложных социально-политических условиях ДНР. </w:t>
      </w:r>
    </w:p>
    <w:p w14:paraId="0A768F8F" w14:textId="7257066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Нормативно-правовое обеспечение экономического и социального развития внутригородского района городского округа представляет собой систему юридических актов и нормативных документов, которые регулируют деятельность и устанавливают правила для органов местного самоуправления, бизнеса и граждан в рамках данного района</w:t>
      </w:r>
      <w:r w:rsidR="00CA2FDF" w:rsidRPr="00CA2FDF">
        <w:rPr>
          <w:rFonts w:ascii="Times New Roman" w:eastAsia="Times New Roman" w:hAnsi="Times New Roman" w:cs="Times New Roman"/>
          <w:sz w:val="24"/>
          <w:szCs w:val="24"/>
          <w:lang w:eastAsia="ru-RU"/>
        </w:rPr>
        <w:t xml:space="preserve"> [</w:t>
      </w:r>
      <w:r w:rsidR="00CA2FDF" w:rsidRPr="00D61E14">
        <w:rPr>
          <w:rFonts w:ascii="Times New Roman" w:eastAsia="Times New Roman" w:hAnsi="Times New Roman" w:cs="Times New Roman"/>
          <w:sz w:val="24"/>
          <w:szCs w:val="24"/>
          <w:lang w:eastAsia="ru-RU"/>
        </w:rPr>
        <w:t>2</w:t>
      </w:r>
      <w:r w:rsidR="00CA2FDF" w:rsidRPr="00CA2FDF">
        <w:rPr>
          <w:rFonts w:ascii="Times New Roman" w:eastAsia="Times New Roman" w:hAnsi="Times New Roman" w:cs="Times New Roman"/>
          <w:sz w:val="24"/>
          <w:szCs w:val="24"/>
          <w:lang w:eastAsia="ru-RU"/>
        </w:rPr>
        <w:t>]</w:t>
      </w:r>
      <w:r w:rsidRPr="007F57C9">
        <w:rPr>
          <w:rFonts w:ascii="Times New Roman" w:eastAsia="Times New Roman" w:hAnsi="Times New Roman" w:cs="Times New Roman"/>
          <w:sz w:val="24"/>
          <w:szCs w:val="24"/>
          <w:lang w:eastAsia="ru-RU"/>
        </w:rPr>
        <w:t>. Такая система направлена на создание условий для устойчивого и гармоничного развития территории, улучшения качества жизни населения и повышения конкурентоспособности региона.</w:t>
      </w:r>
    </w:p>
    <w:p w14:paraId="016E2045"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1. Законодательная база</w:t>
      </w:r>
    </w:p>
    <w:p w14:paraId="78D896D5"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Основной законодательной основой для социально-экономического развития внутригородского района являются:</w:t>
      </w:r>
    </w:p>
    <w:p w14:paraId="281F6A2F"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Конституция Российской Федерации – основной закон страны, устанавливающий принципы территориального устройства, права и обязанности граждан, принципы государственного регулирования экономики.</w:t>
      </w:r>
    </w:p>
    <w:p w14:paraId="58395561"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Федеральные законы – регулирующие вопросы местного самоуправления (например, закон о местном самоуправлении), градостроительства, социальной политики, налогообложения и других сфер.</w:t>
      </w:r>
    </w:p>
    <w:p w14:paraId="2A8D4EF2" w14:textId="221863AA"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законодательство субъектов Федерации – нормативные акты, принятые в рамках региона, уточняющие или расширяющие федеральные нормы для конкретных территорий.</w:t>
      </w:r>
    </w:p>
    <w:p w14:paraId="271B9833"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2. Правовые акты местного уровня</w:t>
      </w:r>
    </w:p>
    <w:p w14:paraId="68AAA3EF"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Для внутригородских районов города важную роль играют нормативные правовые акты, издаваемые местными органами власти:</w:t>
      </w:r>
    </w:p>
    <w:p w14:paraId="755FE5A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Устав внутригородского района – определяет правовой статус района, его полномочия, органы местного самоуправления и особенности социально-экономического развития.</w:t>
      </w:r>
    </w:p>
    <w:p w14:paraId="7AF9619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решения местных органов власти (например, муниципальные собрания, советы депутатов) – регулируют различные аспекты жизни района: вопросы градостроительства, земельных отношений, бюджетной политики.</w:t>
      </w:r>
    </w:p>
    <w:p w14:paraId="4C2129A1"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городские программы и стратегии развития – включают в себя долгосрочные планы по экономическому и социальному развитию района, включая такие направления как развитие инфраструктуры, жилищного строительства, образования, здравоохранения и культуры.</w:t>
      </w:r>
    </w:p>
    <w:p w14:paraId="2F46EE9D"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lastRenderedPageBreak/>
        <w:t>Одним из важнейших аспектов является градостроительное законодательство, которое регулирует использование земель, строительство, реконструкцию объектов недвижимости. В рамках внутригородского района действуют следующие документы:</w:t>
      </w:r>
    </w:p>
    <w:p w14:paraId="4F3CD0CE"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генеральный план города – определяет развитие всех территорий, включая внутригородские районы, с точки зрения размещения жилых, коммерческих, общественных объектов и инфраструктуры.</w:t>
      </w:r>
    </w:p>
    <w:p w14:paraId="6B234B85"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зонирование территорий – устанавливает виды разрешённого использования земельных участков, что важно для планирования строительства и обеспечения устойчивого развития.</w:t>
      </w:r>
    </w:p>
    <w:p w14:paraId="4415219B"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проект планировки и застройки – регулирует конкретные проекты строительства в рамках района.</w:t>
      </w:r>
    </w:p>
    <w:p w14:paraId="79B70D8C"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3. Социальная и экономическая политика</w:t>
      </w:r>
    </w:p>
    <w:p w14:paraId="7E8FB6AE"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Элементы социального и экономического развития могут включать в себя:</w:t>
      </w:r>
    </w:p>
    <w:p w14:paraId="6A60371B"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Программы поддержки малого и среднего бизнеса – налоговые льготы, субсидии, помощь в организации и запуске новых проектов.</w:t>
      </w:r>
    </w:p>
    <w:p w14:paraId="082EF76E"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Программы социального обеспечения и здравоохранения – местные инициативы по улучшению условий жизни населения, поддержке уязвимых групп (пенсионеров, инвалидов и др.).</w:t>
      </w:r>
    </w:p>
    <w:p w14:paraId="0CD6EAAA"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Программы развития инфраструктуры – создание и улучшение транспортных, коммунальных, образовательных и медицинских объектов.</w:t>
      </w:r>
    </w:p>
    <w:p w14:paraId="2BF53BF9"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4. Финансовое регулирование</w:t>
      </w:r>
    </w:p>
    <w:p w14:paraId="7A0A8C7B"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бюджет города – распределение средств на развитие внутригородских районов, включая социальные программы, инфраструктуру и коммунальные услуги.</w:t>
      </w:r>
    </w:p>
    <w:p w14:paraId="01BC4066"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налоги и сборы – местные налоги, такие как налог на имущество, земельный налог, а также сборы на благоустройство, парковки и другие.</w:t>
      </w:r>
    </w:p>
    <w:p w14:paraId="2DFF4A5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Органы местного самоуправления должны обеспечивать контроль за соблюдением нормативных актов и мониторинг выполнения программ и планов. Включает в себя как внутренний, так и внешний контроль (например, органы аудита и прокуратуры).</w:t>
      </w:r>
    </w:p>
    <w:p w14:paraId="35D2E749"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Каждый внутригородской район может иметь свои особенности, что отражается на нормативно-правовом обеспечении. Например, исторические или культурные районы могут иметь дополнительные ограничения в плане застройки и охраны памятников. Промышленные районы будут ориентированы на развитие инфраструктуры, поддержание бизнес-среды и экологические программы.</w:t>
      </w:r>
    </w:p>
    <w:p w14:paraId="76FFAE89"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Правовое регулирование местных органов власти предполагает наличие нескольких уровней, позволяющих обеспечить комплексность правовой базы. Поэтому, сбалансированное пространственное и региональное развитие, укрепление единства экономического пространства должны стать главными направлениями государственной политики в области обеспечения экономической безопасности. Следует также отметить, что одной из основных задач, которая направленна на сбалансированное развитие, укрепление экономического пространства позволяет снизить уровень незащищенности Донецкой Народной Республики как субъекта Российской Федерации. Следовательно, преодоление региональной неравномерности в области социально-экономического развития региона является одной из основных задач деятельности органов государственной власти.</w:t>
      </w:r>
    </w:p>
    <w:p w14:paraId="49D7C7DD"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Следует отметить, что реализация стратегии развития в законодательстве предложена слабо, требует внесения рекомендательных мероприятий, учитывая положительный опыт отдельных округов Российской Федерации. Поскольку реализация мероприятий, направленных на развитие внутригородских районов ДНР, требует значительных объемов инвестиций, то возникает необходимость в ведении грамотной инвестиционной политики, которая представляет собой определенный комплекс взаимосвязанных задач, направленных на обеспечение необходимой степени и структуры инвестиционных вложений в развитие внутригородских районов и отраслей с целью повышения инвестиционной активности населения, малого и среднего предпринимательства и развития государства в целом</w:t>
      </w:r>
    </w:p>
    <w:p w14:paraId="761B3A21"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lastRenderedPageBreak/>
        <w:t>Государственная политика в области социально-экономического развития внутригородских районов ДНР должна быть направлена на создание оптимальных условий с целью привлечения дополнительных источников поступления денежных средств как от внутренних, так и от внешних инвесторов. Поэтому повышение инвестиционной привлекательности региона является главной задачей государственного регулирования инвестиционных процессов.</w:t>
      </w:r>
    </w:p>
    <w:p w14:paraId="0D9203D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Выявлено, что благоприятный инвестиционный климат и масштабные инвестиционные проекты являются основными направлениями деятельности государства по достижению цели развития инвестиционной политики ДНР. В следствии чего, для создания благоприятного инвестиционного климата рекомендовано:</w:t>
      </w:r>
    </w:p>
    <w:p w14:paraId="35A93E45"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создание единой адаптационной нормативно-правовой среды, позволяющей установить «прозрачные правила ведения бизнеса» с учетом специфики региона;</w:t>
      </w:r>
    </w:p>
    <w:p w14:paraId="38C6B2A3"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реализация результативных проектов развития региона, которая позволит на основе государственно-частного партнерства и проектного финансирования, создать благоприятный климат для привлечения инвестиций с целью совершенствования нормативно-правовой базы;</w:t>
      </w:r>
    </w:p>
    <w:p w14:paraId="39BFDB53"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поддержка инвесторов должна быть адресной и ограниченной по времени: льготны условия должны быть предоставлены при условии высокого увеличения производственных мощностей хозяйствующих субъектов региона. Государственная поддержка должна быть прекращена в случае недостижения результатов в установленные сроки.</w:t>
      </w:r>
    </w:p>
    <w:p w14:paraId="104DDD44"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Поскольку, решение вопросов социального обеспечения также важны для граждан ДНР рекомендовано в рамках нормативно-правового обеспечения социально-экономического развития внутригородских районов уделить особое внимание на практику РФ в контексте реализации программ поддержки населения, программ социальной защиты и помощи многодетным семьям, ветеранам и другим категориям граждан. Необходимо учесть такие ключевые аспекты как: комплексный подход, объединяющий различные виды социальной помощи; увеличение финансирования; применение адаптивных мер для многодетных семей; создание специальных фондов для поддержки ветеранов; повседневное информирование населения; разработка целевых программ; создание общественных советов; реализация социальных образовательных программ и т.д.</w:t>
      </w:r>
    </w:p>
    <w:p w14:paraId="162E3294"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Таким образом, нормативно-правовое обеспечение развития внутригородского района городского округа является многоуровневым и комплексным процессом, включающим в себя элементы градостроительства, социальной политики, налогообложения и финансового регулирования.</w:t>
      </w:r>
    </w:p>
    <w:p w14:paraId="05570613"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Поскольку на районном уровне отсутствуют органы публичной власти, в них создается система исполнительной власти, где ключевую роль играет Управа внутригородского района.</w:t>
      </w:r>
    </w:p>
    <w:p w14:paraId="7690C41E"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Управа внутригородского района Администрации городского округа Донецкой Народной Республики (далее – Управа района) является территориальным органом Администрации городского округа Донецк Донецкой Народной Республики (далее – Администрация округа), осуществляющим полномочия и функции, определенные Положением об Управе внутригородского района городского округа Донецк на территории внутригородского района города Донецка.</w:t>
      </w:r>
    </w:p>
    <w:p w14:paraId="2AC09C19"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Управа внутригородского района осуществляет свою деятельность в соответствии с:</w:t>
      </w:r>
    </w:p>
    <w:p w14:paraId="3A3145D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Конституцией Российской Федерации;</w:t>
      </w:r>
    </w:p>
    <w:p w14:paraId="0F5061DC"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 федеральными конституционными законами; </w:t>
      </w:r>
    </w:p>
    <w:p w14:paraId="19C6DCDC"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Федеральным законом от 06.10.2003 № 131 -ФЗ «Об общих принципах организации местного самоуправления в Российской Федерации»;</w:t>
      </w:r>
    </w:p>
    <w:p w14:paraId="7D13B6A4"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иными федеральными законами, нормативными правовыми актами Президента Российской Федерации, Правительства Российской Федерации;</w:t>
      </w:r>
    </w:p>
    <w:p w14:paraId="78529FCB"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Конституцией Донецкой Народной Республики;</w:t>
      </w:r>
    </w:p>
    <w:p w14:paraId="14C93672"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 законом Донецкой Народной Республики от 14.08.2023 г. № 68 ПНС «О местном самоуправлении в Донецкой Народной Республике» и иными нормативными правовыми актами Донецкой Народной Республики, настоящим Положением и муниципальными </w:t>
      </w:r>
      <w:r w:rsidRPr="007F57C9">
        <w:rPr>
          <w:rFonts w:ascii="Times New Roman" w:eastAsia="Times New Roman" w:hAnsi="Times New Roman" w:cs="Times New Roman"/>
          <w:sz w:val="24"/>
          <w:szCs w:val="24"/>
          <w:lang w:eastAsia="ru-RU"/>
        </w:rPr>
        <w:lastRenderedPageBreak/>
        <w:t>правовыми актами органов местного самоуправления городского округа Донецк Донецкой Народной Республики.</w:t>
      </w:r>
    </w:p>
    <w:p w14:paraId="063A6518"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В соответствии с Положением об Управе района городского округа Донецк, деятельность Управы района подчинена Главе муниципального образования городского округа Донецк. Подотчетность и подконтрольность обеспечивают строгий контроль за работой Управы и помогают координировать ее деятельность в рамках муниципальных задач. При этом руководство деятельностью Управы курируют как Глава муниципального образования, так и его заместители. Их обязанности и ответственность за контроль определяются распределением задач между ними, согласно утвержденным должностным инструкциям. Этот процесс направлен на четкое разделение компетенций и обеспечение эффективности работы администрации. Исключения составляют случаи, когда в силу особых решений органов местного самоуправления определяются иные порядки контроля или подотчетности.</w:t>
      </w:r>
    </w:p>
    <w:p w14:paraId="09450D9C"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Управа района выполняет не только административные функции, но и способствует развитию активного взаимодействия между государственными органами и населением. Таким образом, ключевая цель состоит в обеспечении поддержки гражданских инициатив и эффективного функционирования территориального самоуправления.</w:t>
      </w:r>
    </w:p>
    <w:p w14:paraId="7C074FB6" w14:textId="718B0B8C"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Управа района организована как автономное подразделение, обладающее определенной степенью самостоятельности в управлении и финансировании. Этот статус обеспечивает ей возможность эффективно представлять интересы городского округа Донецк. Принципы работы Управы направлены на прозрачность процессов и взаимодействие с местным сообществом, что подчеркивает важность гражданского участия и контролируемого управления.</w:t>
      </w:r>
      <w:r w:rsidR="00C80BA5">
        <w:rPr>
          <w:rFonts w:ascii="Times New Roman" w:eastAsia="Times New Roman" w:hAnsi="Times New Roman" w:cs="Times New Roman"/>
          <w:sz w:val="24"/>
          <w:szCs w:val="24"/>
          <w:lang w:eastAsia="ru-RU"/>
        </w:rPr>
        <w:t xml:space="preserve"> </w:t>
      </w:r>
      <w:r w:rsidRPr="007F57C9">
        <w:rPr>
          <w:rFonts w:ascii="Times New Roman" w:eastAsia="Times New Roman" w:hAnsi="Times New Roman" w:cs="Times New Roman"/>
          <w:sz w:val="24"/>
          <w:szCs w:val="24"/>
          <w:lang w:eastAsia="ru-RU"/>
        </w:rPr>
        <w:t>Эти данные предоставляют полное представление о функциональных особенностях и правовых аспектах деятельности данного учреждения.</w:t>
      </w:r>
    </w:p>
    <w:p w14:paraId="3F89E264"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Организационно-правовая форма Управы района – муниципальное казенное учреждение. Управа района является юридическим лицом и приобретает права юридического лица с момента ее регистрации, имеет обособленное имущество на праве оперативного управления, может от своего имени приобретать имущественные и неимущественные права и нести обязанности, быть истцом и ответчиком в суде. </w:t>
      </w:r>
    </w:p>
    <w:p w14:paraId="27BEF81D" w14:textId="77777777"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 xml:space="preserve">Задачи Управы охватывают широкий спектр обязанностей – от защиты прав граждан до развития городской инфраструктуры и поддержания экологического баланса. Важным аспектом является взаимодействие с жителями и поддержка их инициатив через территориальное общественное самоуправление. Управа играет значимую роль в жизнеобеспечении района и улучшении качества жизни его населения </w:t>
      </w:r>
    </w:p>
    <w:p w14:paraId="19723195" w14:textId="631267B9" w:rsidR="007F57C9" w:rsidRPr="007F57C9" w:rsidRDefault="007F57C9" w:rsidP="007F57C9">
      <w:pPr>
        <w:ind w:firstLine="709"/>
        <w:jc w:val="both"/>
        <w:rPr>
          <w:rFonts w:ascii="Times New Roman" w:eastAsia="Times New Roman" w:hAnsi="Times New Roman" w:cs="Times New Roman"/>
          <w:sz w:val="24"/>
          <w:szCs w:val="24"/>
          <w:lang w:eastAsia="ru-RU"/>
        </w:rPr>
      </w:pPr>
      <w:r w:rsidRPr="007F57C9">
        <w:rPr>
          <w:rFonts w:ascii="Times New Roman" w:eastAsia="Times New Roman" w:hAnsi="Times New Roman" w:cs="Times New Roman"/>
          <w:sz w:val="24"/>
          <w:szCs w:val="24"/>
          <w:lang w:eastAsia="ru-RU"/>
        </w:rPr>
        <w:t>Таким образом, единым органом исполнительной власти во всех городах ДНР с внутригородским делением на внутригородские районы выступает Управа внутригородского района, осуществляющая свою деятельность в соответствии с действующим законодательством, деятельность которой направлена на обеспечение основных принципов и характеристик устройства жизни, благосостояния и самоуправления жителей внутригородских районов городов. Можно констатировать, что четкое нормативно-правовое регулирование является основой для успешного социально-экономического развития внутригородского района города в ДНР, что в свою очередь ведет к улучшению качества жизни его жителей.</w:t>
      </w:r>
      <w:r w:rsidR="00F54DDF">
        <w:rPr>
          <w:rFonts w:ascii="Times New Roman" w:eastAsia="Times New Roman" w:hAnsi="Times New Roman" w:cs="Times New Roman"/>
          <w:sz w:val="24"/>
          <w:szCs w:val="24"/>
          <w:lang w:eastAsia="ru-RU"/>
        </w:rPr>
        <w:t xml:space="preserve"> </w:t>
      </w:r>
      <w:r w:rsidRPr="007F57C9">
        <w:rPr>
          <w:rFonts w:ascii="Times New Roman" w:eastAsia="Times New Roman" w:hAnsi="Times New Roman" w:cs="Times New Roman"/>
          <w:sz w:val="24"/>
          <w:szCs w:val="24"/>
          <w:lang w:eastAsia="ru-RU"/>
        </w:rPr>
        <w:t>Таким образом, социально-экономическое развитие внутригородского района города в ДНР требует четкого нормативно-правового регулирования, которое является основой для успешного социально-экономического развития внутригородского района города в ДНР, что в свою очередь ведет к улучшению качества жизни его жителей.</w:t>
      </w:r>
    </w:p>
    <w:p w14:paraId="63E6C6E0" w14:textId="77777777" w:rsidR="00F54DDF" w:rsidRPr="0012661D" w:rsidRDefault="00F54DDF" w:rsidP="00F54DDF">
      <w:pPr>
        <w:ind w:firstLine="709"/>
        <w:jc w:val="center"/>
        <w:rPr>
          <w:rFonts w:ascii="Times New Roman" w:eastAsia="Times New Roman" w:hAnsi="Times New Roman" w:cs="Times New Roman"/>
          <w:sz w:val="24"/>
          <w:szCs w:val="24"/>
          <w:lang w:eastAsia="ru-RU"/>
        </w:rPr>
      </w:pPr>
    </w:p>
    <w:p w14:paraId="06873BA5" w14:textId="5949163B" w:rsidR="00F12C76" w:rsidRPr="00F54DDF" w:rsidRDefault="00F54DDF" w:rsidP="00F54DDF">
      <w:pPr>
        <w:ind w:firstLine="709"/>
        <w:jc w:val="center"/>
        <w:rPr>
          <w:rFonts w:ascii="Times New Roman" w:eastAsia="Times New Roman" w:hAnsi="Times New Roman" w:cs="Times New Roman"/>
          <w:b/>
          <w:bCs/>
          <w:sz w:val="24"/>
          <w:szCs w:val="24"/>
          <w:lang w:eastAsia="ru-RU"/>
        </w:rPr>
      </w:pPr>
      <w:r w:rsidRPr="00F54DDF">
        <w:rPr>
          <w:rFonts w:ascii="Times New Roman" w:eastAsia="Times New Roman" w:hAnsi="Times New Roman" w:cs="Times New Roman"/>
          <w:b/>
          <w:bCs/>
          <w:sz w:val="24"/>
          <w:szCs w:val="24"/>
          <w:lang w:eastAsia="ru-RU"/>
        </w:rPr>
        <w:t>Библиографический список</w:t>
      </w:r>
    </w:p>
    <w:p w14:paraId="07B88717" w14:textId="37132E06" w:rsidR="00F54DDF" w:rsidRPr="00F54DDF" w:rsidRDefault="00F54DDF" w:rsidP="00F54DDF">
      <w:pPr>
        <w:ind w:firstLine="709"/>
        <w:jc w:val="both"/>
        <w:rPr>
          <w:rFonts w:ascii="Times New Roman" w:eastAsia="Times New Roman" w:hAnsi="Times New Roman" w:cs="Times New Roman"/>
          <w:sz w:val="24"/>
          <w:szCs w:val="24"/>
          <w:lang w:eastAsia="ru-RU"/>
        </w:rPr>
      </w:pPr>
      <w:r w:rsidRPr="00F54DDF">
        <w:rPr>
          <w:rFonts w:ascii="Times New Roman" w:eastAsia="Times New Roman" w:hAnsi="Times New Roman" w:cs="Times New Roman"/>
          <w:sz w:val="24"/>
          <w:szCs w:val="24"/>
          <w:lang w:eastAsia="ru-RU"/>
        </w:rPr>
        <w:t xml:space="preserve">1. </w:t>
      </w:r>
      <w:proofErr w:type="spellStart"/>
      <w:r w:rsidRPr="00F54DDF">
        <w:rPr>
          <w:rFonts w:ascii="Times New Roman" w:eastAsia="Times New Roman" w:hAnsi="Times New Roman" w:cs="Times New Roman"/>
          <w:sz w:val="24"/>
          <w:szCs w:val="24"/>
          <w:lang w:eastAsia="ru-RU"/>
        </w:rPr>
        <w:t>Говоренкова</w:t>
      </w:r>
      <w:proofErr w:type="spellEnd"/>
      <w:r w:rsidRPr="00F54DDF">
        <w:rPr>
          <w:rFonts w:ascii="Times New Roman" w:eastAsia="Times New Roman" w:hAnsi="Times New Roman" w:cs="Times New Roman"/>
          <w:sz w:val="24"/>
          <w:szCs w:val="24"/>
          <w:lang w:eastAsia="ru-RU"/>
        </w:rPr>
        <w:t xml:space="preserve"> Т., </w:t>
      </w:r>
      <w:proofErr w:type="spellStart"/>
      <w:r w:rsidRPr="00F54DDF">
        <w:rPr>
          <w:rFonts w:ascii="Times New Roman" w:eastAsia="Times New Roman" w:hAnsi="Times New Roman" w:cs="Times New Roman"/>
          <w:sz w:val="24"/>
          <w:szCs w:val="24"/>
          <w:lang w:eastAsia="ru-RU"/>
        </w:rPr>
        <w:t>Вобленко</w:t>
      </w:r>
      <w:proofErr w:type="spellEnd"/>
      <w:r w:rsidRPr="00F54DDF">
        <w:rPr>
          <w:rFonts w:ascii="Times New Roman" w:eastAsia="Times New Roman" w:hAnsi="Times New Roman" w:cs="Times New Roman"/>
          <w:sz w:val="24"/>
          <w:szCs w:val="24"/>
          <w:lang w:eastAsia="ru-RU"/>
        </w:rPr>
        <w:t xml:space="preserve"> С. Кого и куда выбираем // Российская Федерация</w:t>
      </w:r>
      <w:r>
        <w:rPr>
          <w:rFonts w:ascii="Times New Roman" w:eastAsia="Times New Roman" w:hAnsi="Times New Roman" w:cs="Times New Roman"/>
          <w:sz w:val="24"/>
          <w:szCs w:val="24"/>
          <w:lang w:eastAsia="ru-RU"/>
        </w:rPr>
        <w:t>,</w:t>
      </w:r>
      <w:r w:rsidRPr="00F54DDF">
        <w:rPr>
          <w:rFonts w:ascii="Times New Roman" w:eastAsia="Times New Roman" w:hAnsi="Times New Roman" w:cs="Times New Roman"/>
          <w:sz w:val="24"/>
          <w:szCs w:val="24"/>
          <w:lang w:eastAsia="ru-RU"/>
        </w:rPr>
        <w:t xml:space="preserve"> 1996. № 11. С. 108-123.</w:t>
      </w:r>
    </w:p>
    <w:p w14:paraId="4D232B83" w14:textId="6D91AF19" w:rsidR="00F54DDF" w:rsidRPr="00F54DDF" w:rsidRDefault="00F54DDF" w:rsidP="00F54DDF">
      <w:pPr>
        <w:ind w:firstLine="709"/>
        <w:jc w:val="both"/>
        <w:rPr>
          <w:rFonts w:ascii="Times New Roman" w:eastAsia="Times New Roman" w:hAnsi="Times New Roman" w:cs="Times New Roman"/>
          <w:sz w:val="24"/>
          <w:szCs w:val="24"/>
          <w:lang w:eastAsia="ru-RU"/>
        </w:rPr>
      </w:pPr>
      <w:r w:rsidRPr="00F54DDF">
        <w:rPr>
          <w:rFonts w:ascii="Times New Roman" w:eastAsia="Times New Roman" w:hAnsi="Times New Roman" w:cs="Times New Roman"/>
          <w:sz w:val="24"/>
          <w:szCs w:val="24"/>
          <w:lang w:eastAsia="ru-RU"/>
        </w:rPr>
        <w:t>2. Митрохин С. Местное самоуправление: аргументы, проблемы, мифы // Городское управление</w:t>
      </w:r>
      <w:r>
        <w:rPr>
          <w:rFonts w:ascii="Times New Roman" w:eastAsia="Times New Roman" w:hAnsi="Times New Roman" w:cs="Times New Roman"/>
          <w:sz w:val="24"/>
          <w:szCs w:val="24"/>
          <w:lang w:eastAsia="ru-RU"/>
        </w:rPr>
        <w:t>.</w:t>
      </w:r>
      <w:r w:rsidRPr="00F54DDF">
        <w:rPr>
          <w:rFonts w:ascii="Times New Roman" w:eastAsia="Times New Roman" w:hAnsi="Times New Roman" w:cs="Times New Roman"/>
          <w:sz w:val="24"/>
          <w:szCs w:val="24"/>
          <w:lang w:eastAsia="ru-RU"/>
        </w:rPr>
        <w:t xml:space="preserve"> 1998. № 1. С. 10-22.</w:t>
      </w:r>
    </w:p>
    <w:p w14:paraId="4030EAFF" w14:textId="6598764A" w:rsidR="00F54DDF" w:rsidRPr="0012661D" w:rsidRDefault="0012661D" w:rsidP="00F54DDF">
      <w:pPr>
        <w:jc w:val="center"/>
        <w:rPr>
          <w:rFonts w:ascii="Times New Roman" w:hAnsi="Times New Roman" w:cs="Times New Roman"/>
          <w:b/>
          <w:bCs/>
          <w:sz w:val="24"/>
          <w:szCs w:val="24"/>
        </w:rPr>
      </w:pPr>
      <w:r w:rsidRPr="0012661D">
        <w:rPr>
          <w:rFonts w:ascii="Times New Roman" w:hAnsi="Times New Roman" w:cs="Times New Roman"/>
          <w:b/>
          <w:bCs/>
          <w:sz w:val="24"/>
          <w:szCs w:val="24"/>
        </w:rPr>
        <w:lastRenderedPageBreak/>
        <w:t>Информация об авторе</w:t>
      </w:r>
    </w:p>
    <w:p w14:paraId="5F7E132B" w14:textId="14005FEB" w:rsidR="0012661D" w:rsidRDefault="0012661D" w:rsidP="0012661D">
      <w:pPr>
        <w:ind w:firstLine="709"/>
        <w:jc w:val="both"/>
        <w:rPr>
          <w:rFonts w:ascii="Times New Roman" w:hAnsi="Times New Roman" w:cs="Times New Roman"/>
          <w:sz w:val="24"/>
          <w:szCs w:val="24"/>
        </w:rPr>
      </w:pPr>
      <w:r w:rsidRPr="0012661D">
        <w:rPr>
          <w:rFonts w:ascii="Times New Roman" w:hAnsi="Times New Roman" w:cs="Times New Roman"/>
          <w:b/>
          <w:bCs/>
          <w:sz w:val="24"/>
          <w:szCs w:val="24"/>
        </w:rPr>
        <w:t>Василенко Дмитрий Валериевич (Россия, Донецк)</w:t>
      </w:r>
      <w:r>
        <w:rPr>
          <w:rFonts w:ascii="Times New Roman" w:hAnsi="Times New Roman" w:cs="Times New Roman"/>
          <w:sz w:val="24"/>
          <w:szCs w:val="24"/>
        </w:rPr>
        <w:t xml:space="preserve"> – доктор экономических наук, доцент, заведующий молодежной лабораторией исследования территориального развития, Донецкая академия управления и государственной службы (</w:t>
      </w:r>
      <w:r w:rsidR="003B518D">
        <w:rPr>
          <w:rFonts w:ascii="Times New Roman" w:hAnsi="Times New Roman" w:cs="Times New Roman"/>
          <w:sz w:val="24"/>
          <w:szCs w:val="24"/>
        </w:rPr>
        <w:t>2</w:t>
      </w:r>
      <w:r w:rsidR="003B518D" w:rsidRPr="003B518D">
        <w:rPr>
          <w:rFonts w:ascii="Times New Roman" w:hAnsi="Times New Roman" w:cs="Times New Roman"/>
          <w:sz w:val="24"/>
          <w:szCs w:val="24"/>
        </w:rPr>
        <w:t xml:space="preserve">83015, </w:t>
      </w:r>
      <w:r w:rsidR="003B518D">
        <w:rPr>
          <w:rFonts w:ascii="Times New Roman" w:hAnsi="Times New Roman" w:cs="Times New Roman"/>
          <w:sz w:val="24"/>
          <w:szCs w:val="24"/>
        </w:rPr>
        <w:t xml:space="preserve">Россия, </w:t>
      </w:r>
      <w:r w:rsidR="003B518D" w:rsidRPr="003B518D">
        <w:rPr>
          <w:rFonts w:ascii="Times New Roman" w:hAnsi="Times New Roman" w:cs="Times New Roman"/>
          <w:sz w:val="24"/>
          <w:szCs w:val="24"/>
        </w:rPr>
        <w:t>ДНР, г. Донецк, ул. Челюскинцев, 163а</w:t>
      </w:r>
      <w:r w:rsidR="003B518D">
        <w:rPr>
          <w:rFonts w:ascii="Times New Roman" w:hAnsi="Times New Roman" w:cs="Times New Roman"/>
          <w:sz w:val="24"/>
          <w:szCs w:val="24"/>
        </w:rPr>
        <w:t xml:space="preserve">; </w:t>
      </w:r>
      <w:r w:rsidR="003B518D">
        <w:rPr>
          <w:rFonts w:ascii="Times New Roman" w:hAnsi="Times New Roman" w:cs="Times New Roman"/>
          <w:sz w:val="24"/>
          <w:szCs w:val="24"/>
          <w:lang w:val="en-US"/>
        </w:rPr>
        <w:t>e</w:t>
      </w:r>
      <w:r w:rsidR="003B518D" w:rsidRPr="00161F03">
        <w:rPr>
          <w:rFonts w:ascii="Times New Roman" w:hAnsi="Times New Roman" w:cs="Times New Roman"/>
          <w:sz w:val="24"/>
          <w:szCs w:val="24"/>
        </w:rPr>
        <w:t>-</w:t>
      </w:r>
      <w:r w:rsidR="003B518D">
        <w:rPr>
          <w:rFonts w:ascii="Times New Roman" w:hAnsi="Times New Roman" w:cs="Times New Roman"/>
          <w:sz w:val="24"/>
          <w:szCs w:val="24"/>
          <w:lang w:val="en-US"/>
        </w:rPr>
        <w:t>mail</w:t>
      </w:r>
      <w:r w:rsidR="003B518D" w:rsidRPr="00161F03">
        <w:rPr>
          <w:rFonts w:ascii="Times New Roman" w:hAnsi="Times New Roman" w:cs="Times New Roman"/>
          <w:sz w:val="24"/>
          <w:szCs w:val="24"/>
        </w:rPr>
        <w:t xml:space="preserve">: </w:t>
      </w:r>
      <w:hyperlink r:id="rId4" w:history="1">
        <w:r w:rsidR="00D61E14" w:rsidRPr="00813845">
          <w:rPr>
            <w:rStyle w:val="ad"/>
            <w:rFonts w:ascii="Times New Roman" w:hAnsi="Times New Roman" w:cs="Times New Roman"/>
            <w:sz w:val="24"/>
            <w:szCs w:val="24"/>
            <w:lang w:val="en-US"/>
          </w:rPr>
          <w:t>dima</w:t>
        </w:r>
        <w:r w:rsidR="00D61E14" w:rsidRPr="00161F03">
          <w:rPr>
            <w:rStyle w:val="ad"/>
            <w:rFonts w:ascii="Times New Roman" w:hAnsi="Times New Roman" w:cs="Times New Roman"/>
            <w:sz w:val="24"/>
            <w:szCs w:val="24"/>
          </w:rPr>
          <w:t>_</w:t>
        </w:r>
        <w:r w:rsidR="00D61E14" w:rsidRPr="00813845">
          <w:rPr>
            <w:rStyle w:val="ad"/>
            <w:rFonts w:ascii="Times New Roman" w:hAnsi="Times New Roman" w:cs="Times New Roman"/>
            <w:sz w:val="24"/>
            <w:szCs w:val="24"/>
            <w:lang w:val="en-US"/>
          </w:rPr>
          <w:t>vasilenko</w:t>
        </w:r>
        <w:r w:rsidR="00D61E14" w:rsidRPr="00161F03">
          <w:rPr>
            <w:rStyle w:val="ad"/>
            <w:rFonts w:ascii="Times New Roman" w:hAnsi="Times New Roman" w:cs="Times New Roman"/>
            <w:sz w:val="24"/>
            <w:szCs w:val="24"/>
          </w:rPr>
          <w:t>@</w:t>
        </w:r>
        <w:r w:rsidR="00D61E14" w:rsidRPr="00813845">
          <w:rPr>
            <w:rStyle w:val="ad"/>
            <w:rFonts w:ascii="Times New Roman" w:hAnsi="Times New Roman" w:cs="Times New Roman"/>
            <w:sz w:val="24"/>
            <w:szCs w:val="24"/>
            <w:lang w:val="en-US"/>
          </w:rPr>
          <w:t>list</w:t>
        </w:r>
        <w:r w:rsidR="00D61E14" w:rsidRPr="00161F03">
          <w:rPr>
            <w:rStyle w:val="ad"/>
            <w:rFonts w:ascii="Times New Roman" w:hAnsi="Times New Roman" w:cs="Times New Roman"/>
            <w:sz w:val="24"/>
            <w:szCs w:val="24"/>
          </w:rPr>
          <w:t>.</w:t>
        </w:r>
        <w:r w:rsidR="00D61E14" w:rsidRPr="00813845">
          <w:rPr>
            <w:rStyle w:val="ad"/>
            <w:rFonts w:ascii="Times New Roman" w:hAnsi="Times New Roman" w:cs="Times New Roman"/>
            <w:sz w:val="24"/>
            <w:szCs w:val="24"/>
            <w:lang w:val="en-US"/>
          </w:rPr>
          <w:t>ru</w:t>
        </w:r>
      </w:hyperlink>
      <w:r w:rsidR="003B518D" w:rsidRPr="00161F03">
        <w:rPr>
          <w:rFonts w:ascii="Times New Roman" w:hAnsi="Times New Roman" w:cs="Times New Roman"/>
          <w:sz w:val="24"/>
          <w:szCs w:val="24"/>
        </w:rPr>
        <w:t>)</w:t>
      </w:r>
    </w:p>
    <w:p w14:paraId="14073B7D" w14:textId="77777777" w:rsidR="00D61E14" w:rsidRPr="00D61E14" w:rsidRDefault="00D61E14" w:rsidP="0012661D">
      <w:pPr>
        <w:ind w:firstLine="709"/>
        <w:jc w:val="both"/>
        <w:rPr>
          <w:rFonts w:ascii="Times New Roman" w:hAnsi="Times New Roman" w:cs="Times New Roman"/>
          <w:b/>
          <w:bCs/>
          <w:sz w:val="24"/>
          <w:szCs w:val="24"/>
        </w:rPr>
      </w:pPr>
    </w:p>
    <w:p w14:paraId="6416B53D" w14:textId="77777777" w:rsidR="00D61E14" w:rsidRPr="00556504" w:rsidRDefault="00D61E14" w:rsidP="00D61E14">
      <w:pPr>
        <w:ind w:firstLine="709"/>
        <w:jc w:val="right"/>
        <w:rPr>
          <w:rFonts w:ascii="Times New Roman" w:hAnsi="Times New Roman" w:cs="Times New Roman"/>
          <w:b/>
          <w:bCs/>
          <w:sz w:val="24"/>
          <w:szCs w:val="24"/>
          <w:lang w:val="en-US"/>
        </w:rPr>
      </w:pPr>
      <w:r w:rsidRPr="00D61E14">
        <w:rPr>
          <w:rFonts w:ascii="Times New Roman" w:hAnsi="Times New Roman" w:cs="Times New Roman"/>
          <w:b/>
          <w:bCs/>
          <w:sz w:val="24"/>
          <w:szCs w:val="24"/>
          <w:lang w:val="en-US"/>
        </w:rPr>
        <w:t>Vasilenko</w:t>
      </w:r>
      <w:r w:rsidRPr="00556504">
        <w:rPr>
          <w:rFonts w:ascii="Times New Roman" w:hAnsi="Times New Roman" w:cs="Times New Roman"/>
          <w:b/>
          <w:bCs/>
          <w:sz w:val="24"/>
          <w:szCs w:val="24"/>
          <w:lang w:val="en-US"/>
        </w:rPr>
        <w:t xml:space="preserve"> </w:t>
      </w:r>
      <w:r w:rsidRPr="00D61E14">
        <w:rPr>
          <w:rFonts w:ascii="Times New Roman" w:hAnsi="Times New Roman" w:cs="Times New Roman"/>
          <w:b/>
          <w:bCs/>
          <w:sz w:val="24"/>
          <w:szCs w:val="24"/>
          <w:lang w:val="en-US"/>
        </w:rPr>
        <w:t>D</w:t>
      </w:r>
      <w:r w:rsidRPr="00556504">
        <w:rPr>
          <w:rFonts w:ascii="Times New Roman" w:hAnsi="Times New Roman" w:cs="Times New Roman"/>
          <w:b/>
          <w:bCs/>
          <w:sz w:val="24"/>
          <w:szCs w:val="24"/>
          <w:lang w:val="en-US"/>
        </w:rPr>
        <w:t>.</w:t>
      </w:r>
      <w:r w:rsidRPr="00D61E14">
        <w:rPr>
          <w:rFonts w:ascii="Times New Roman" w:hAnsi="Times New Roman" w:cs="Times New Roman"/>
          <w:b/>
          <w:bCs/>
          <w:sz w:val="24"/>
          <w:szCs w:val="24"/>
          <w:lang w:val="en-US"/>
        </w:rPr>
        <w:t>V</w:t>
      </w:r>
      <w:r w:rsidRPr="00556504">
        <w:rPr>
          <w:rFonts w:ascii="Times New Roman" w:hAnsi="Times New Roman" w:cs="Times New Roman"/>
          <w:b/>
          <w:bCs/>
          <w:sz w:val="24"/>
          <w:szCs w:val="24"/>
          <w:lang w:val="en-US"/>
        </w:rPr>
        <w:t xml:space="preserve">. </w:t>
      </w:r>
    </w:p>
    <w:p w14:paraId="2FC0FB81" w14:textId="25C32BDC" w:rsidR="00D61E14" w:rsidRDefault="00556504" w:rsidP="00556504">
      <w:pPr>
        <w:ind w:firstLine="709"/>
        <w:jc w:val="center"/>
        <w:rPr>
          <w:rFonts w:ascii="Times New Roman" w:hAnsi="Times New Roman" w:cs="Times New Roman"/>
          <w:b/>
          <w:bCs/>
          <w:sz w:val="24"/>
          <w:szCs w:val="24"/>
        </w:rPr>
      </w:pPr>
      <w:r w:rsidRPr="00556504">
        <w:rPr>
          <w:rFonts w:ascii="Times New Roman" w:hAnsi="Times New Roman" w:cs="Times New Roman"/>
          <w:b/>
          <w:bCs/>
          <w:sz w:val="24"/>
          <w:szCs w:val="24"/>
          <w:lang w:val="en-US"/>
        </w:rPr>
        <w:t>ENSURING THE SOCIO-ECONOMIC DEVELOPMENT OF INNER-CITY AREAS OF CITIES: REGULATORY AND LEGAL SUPPORT</w:t>
      </w:r>
    </w:p>
    <w:p w14:paraId="5EAC2652" w14:textId="77777777" w:rsidR="00556504" w:rsidRPr="00556504" w:rsidRDefault="00556504" w:rsidP="0012661D">
      <w:pPr>
        <w:ind w:firstLine="709"/>
        <w:jc w:val="both"/>
        <w:rPr>
          <w:rFonts w:ascii="Times New Roman" w:hAnsi="Times New Roman" w:cs="Times New Roman"/>
          <w:sz w:val="24"/>
          <w:szCs w:val="24"/>
        </w:rPr>
      </w:pPr>
    </w:p>
    <w:p w14:paraId="129618B5" w14:textId="57CB8305" w:rsidR="00D61E14" w:rsidRPr="00161F03" w:rsidRDefault="00D61E14" w:rsidP="0012661D">
      <w:pPr>
        <w:ind w:firstLine="709"/>
        <w:jc w:val="both"/>
        <w:rPr>
          <w:rFonts w:ascii="Times New Roman" w:hAnsi="Times New Roman" w:cs="Times New Roman"/>
          <w:sz w:val="24"/>
          <w:szCs w:val="24"/>
          <w:lang w:val="en-US"/>
        </w:rPr>
      </w:pPr>
      <w:r w:rsidRPr="00D61E14">
        <w:rPr>
          <w:rFonts w:ascii="Times New Roman" w:hAnsi="Times New Roman" w:cs="Times New Roman"/>
          <w:b/>
          <w:bCs/>
          <w:sz w:val="24"/>
          <w:szCs w:val="24"/>
          <w:lang w:val="en-US"/>
        </w:rPr>
        <w:t>Abstract.</w:t>
      </w:r>
      <w:r w:rsidRPr="00D61E14">
        <w:rPr>
          <w:rFonts w:ascii="Times New Roman" w:hAnsi="Times New Roman" w:cs="Times New Roman"/>
          <w:sz w:val="24"/>
          <w:szCs w:val="24"/>
          <w:lang w:val="en-US"/>
        </w:rPr>
        <w:t xml:space="preserve"> In modern conditions, the issues of effective provision of socio-economic development of inner-city areas of the DPR are considered at the levels of state authorities and local governments and require clear regulation. </w:t>
      </w:r>
    </w:p>
    <w:p w14:paraId="7587FAF0" w14:textId="27235C3B" w:rsidR="00D61E14" w:rsidRDefault="00D61E14" w:rsidP="0012661D">
      <w:pPr>
        <w:ind w:firstLine="709"/>
        <w:jc w:val="both"/>
        <w:rPr>
          <w:rFonts w:ascii="Times New Roman" w:hAnsi="Times New Roman" w:cs="Times New Roman"/>
          <w:sz w:val="24"/>
          <w:szCs w:val="24"/>
          <w:lang w:val="en-US"/>
        </w:rPr>
      </w:pPr>
      <w:r w:rsidRPr="00D61E14">
        <w:rPr>
          <w:rFonts w:ascii="Times New Roman" w:hAnsi="Times New Roman" w:cs="Times New Roman"/>
          <w:b/>
          <w:bCs/>
          <w:sz w:val="24"/>
          <w:szCs w:val="24"/>
          <w:lang w:val="en-US"/>
        </w:rPr>
        <w:t>Keywords:</w:t>
      </w:r>
      <w:r w:rsidRPr="00D61E14">
        <w:rPr>
          <w:rFonts w:ascii="Times New Roman" w:hAnsi="Times New Roman" w:cs="Times New Roman"/>
          <w:sz w:val="24"/>
          <w:szCs w:val="24"/>
          <w:lang w:val="en-US"/>
        </w:rPr>
        <w:t xml:space="preserve"> economy, development, city, district, methodological support</w:t>
      </w:r>
    </w:p>
    <w:p w14:paraId="615E56E8" w14:textId="77777777" w:rsidR="00D61E14" w:rsidRDefault="00D61E14" w:rsidP="0012661D">
      <w:pPr>
        <w:ind w:firstLine="709"/>
        <w:jc w:val="both"/>
        <w:rPr>
          <w:rFonts w:ascii="Times New Roman" w:hAnsi="Times New Roman" w:cs="Times New Roman"/>
          <w:sz w:val="24"/>
          <w:szCs w:val="24"/>
          <w:lang w:val="en-US"/>
        </w:rPr>
      </w:pPr>
    </w:p>
    <w:p w14:paraId="04DB46A2" w14:textId="77777777" w:rsidR="00D61E14" w:rsidRPr="00D61E14" w:rsidRDefault="00D61E14" w:rsidP="00D61E14">
      <w:pPr>
        <w:ind w:firstLine="709"/>
        <w:jc w:val="center"/>
        <w:rPr>
          <w:rFonts w:ascii="Times New Roman" w:hAnsi="Times New Roman" w:cs="Times New Roman"/>
          <w:sz w:val="24"/>
          <w:szCs w:val="24"/>
          <w:lang w:val="en-US"/>
        </w:rPr>
      </w:pPr>
      <w:r w:rsidRPr="00D61E14">
        <w:rPr>
          <w:rFonts w:ascii="Times New Roman" w:hAnsi="Times New Roman" w:cs="Times New Roman"/>
          <w:b/>
          <w:bCs/>
          <w:sz w:val="24"/>
          <w:szCs w:val="24"/>
          <w:lang w:val="en-US"/>
        </w:rPr>
        <w:t>About the author</w:t>
      </w:r>
    </w:p>
    <w:p w14:paraId="50A91431" w14:textId="08E276AD" w:rsidR="00D61E14" w:rsidRDefault="00D61E14" w:rsidP="0012661D">
      <w:pPr>
        <w:ind w:firstLine="709"/>
        <w:jc w:val="both"/>
        <w:rPr>
          <w:rFonts w:ascii="Times New Roman" w:hAnsi="Times New Roman" w:cs="Times New Roman"/>
          <w:sz w:val="24"/>
          <w:szCs w:val="24"/>
          <w:lang w:val="en-US"/>
        </w:rPr>
      </w:pPr>
      <w:r w:rsidRPr="00D61E14">
        <w:rPr>
          <w:rFonts w:ascii="Times New Roman" w:hAnsi="Times New Roman" w:cs="Times New Roman"/>
          <w:b/>
          <w:bCs/>
          <w:sz w:val="24"/>
          <w:szCs w:val="24"/>
          <w:lang w:val="en-US"/>
        </w:rPr>
        <w:t>Vasilenko</w:t>
      </w:r>
      <w:r>
        <w:rPr>
          <w:rFonts w:ascii="Times New Roman" w:hAnsi="Times New Roman" w:cs="Times New Roman"/>
          <w:b/>
          <w:bCs/>
          <w:sz w:val="24"/>
          <w:szCs w:val="24"/>
          <w:lang w:val="en-US"/>
        </w:rPr>
        <w:t xml:space="preserve"> Dmitry </w:t>
      </w:r>
      <w:proofErr w:type="spellStart"/>
      <w:r>
        <w:rPr>
          <w:rFonts w:ascii="Times New Roman" w:hAnsi="Times New Roman" w:cs="Times New Roman"/>
          <w:b/>
          <w:bCs/>
          <w:sz w:val="24"/>
          <w:szCs w:val="24"/>
          <w:lang w:val="en-US"/>
        </w:rPr>
        <w:t>Valerievich</w:t>
      </w:r>
      <w:proofErr w:type="spellEnd"/>
      <w:r w:rsidRPr="00D61E14">
        <w:rPr>
          <w:rFonts w:ascii="Times New Roman" w:hAnsi="Times New Roman" w:cs="Times New Roman"/>
          <w:b/>
          <w:bCs/>
          <w:sz w:val="24"/>
          <w:szCs w:val="24"/>
          <w:lang w:val="en-US"/>
        </w:rPr>
        <w:t xml:space="preserve"> (Donetsk, Russia)</w:t>
      </w:r>
      <w:r w:rsidRPr="00D61E14">
        <w:rPr>
          <w:rFonts w:ascii="Times New Roman" w:hAnsi="Times New Roman" w:cs="Times New Roman"/>
          <w:sz w:val="24"/>
          <w:szCs w:val="24"/>
          <w:lang w:val="en-US"/>
        </w:rPr>
        <w:t xml:space="preserve"> – Doctor of Economics, Associate Professor, Head of the Youth Laboratory for Territorial Development Research, Donetsk Academy of Management and Public Administration (Russia, 283015</w:t>
      </w:r>
      <w:r>
        <w:rPr>
          <w:rFonts w:ascii="Times New Roman" w:hAnsi="Times New Roman" w:cs="Times New Roman"/>
          <w:sz w:val="24"/>
          <w:szCs w:val="24"/>
          <w:lang w:val="en-US"/>
        </w:rPr>
        <w:t xml:space="preserve">, </w:t>
      </w:r>
      <w:r w:rsidRPr="00D61E14">
        <w:rPr>
          <w:rFonts w:ascii="Times New Roman" w:hAnsi="Times New Roman" w:cs="Times New Roman"/>
          <w:sz w:val="24"/>
          <w:szCs w:val="24"/>
          <w:lang w:val="en-US"/>
        </w:rPr>
        <w:t>DPR</w:t>
      </w:r>
      <w:r>
        <w:rPr>
          <w:rFonts w:ascii="Times New Roman" w:hAnsi="Times New Roman" w:cs="Times New Roman"/>
          <w:sz w:val="24"/>
          <w:szCs w:val="24"/>
          <w:lang w:val="en-US"/>
        </w:rPr>
        <w:t>,</w:t>
      </w:r>
      <w:r w:rsidRPr="00D61E14">
        <w:rPr>
          <w:rFonts w:ascii="Times New Roman" w:hAnsi="Times New Roman" w:cs="Times New Roman"/>
          <w:sz w:val="24"/>
          <w:szCs w:val="24"/>
          <w:lang w:val="en-US"/>
        </w:rPr>
        <w:t xml:space="preserve"> Donetsk</w:t>
      </w:r>
      <w:r>
        <w:rPr>
          <w:rFonts w:ascii="Times New Roman" w:hAnsi="Times New Roman" w:cs="Times New Roman"/>
          <w:sz w:val="24"/>
          <w:szCs w:val="24"/>
          <w:lang w:val="en-US"/>
        </w:rPr>
        <w:t>,</w:t>
      </w:r>
      <w:r w:rsidRPr="00D61E14">
        <w:rPr>
          <w:rFonts w:ascii="Times New Roman" w:hAnsi="Times New Roman" w:cs="Times New Roman"/>
          <w:sz w:val="24"/>
          <w:szCs w:val="24"/>
          <w:lang w:val="en-US"/>
        </w:rPr>
        <w:t xml:space="preserve"> </w:t>
      </w:r>
      <w:proofErr w:type="spellStart"/>
      <w:r w:rsidRPr="00D61E14">
        <w:rPr>
          <w:rFonts w:ascii="Times New Roman" w:hAnsi="Times New Roman" w:cs="Times New Roman"/>
          <w:sz w:val="24"/>
          <w:szCs w:val="24"/>
          <w:lang w:val="en-US"/>
        </w:rPr>
        <w:t>Chelyuskintsev</w:t>
      </w:r>
      <w:proofErr w:type="spellEnd"/>
      <w:r w:rsidRPr="00D61E14">
        <w:rPr>
          <w:rFonts w:ascii="Times New Roman" w:hAnsi="Times New Roman" w:cs="Times New Roman"/>
          <w:sz w:val="24"/>
          <w:szCs w:val="24"/>
          <w:lang w:val="en-US"/>
        </w:rPr>
        <w:t xml:space="preserve"> str.</w:t>
      </w:r>
      <w:r>
        <w:rPr>
          <w:rFonts w:ascii="Times New Roman" w:hAnsi="Times New Roman" w:cs="Times New Roman"/>
          <w:sz w:val="24"/>
          <w:szCs w:val="24"/>
          <w:lang w:val="en-US"/>
        </w:rPr>
        <w:t>,</w:t>
      </w:r>
      <w:r w:rsidRPr="00D61E14">
        <w:rPr>
          <w:rFonts w:ascii="Times New Roman" w:hAnsi="Times New Roman" w:cs="Times New Roman"/>
          <w:sz w:val="24"/>
          <w:szCs w:val="24"/>
          <w:lang w:val="en-US"/>
        </w:rPr>
        <w:t xml:space="preserve"> 163a, e-mail: </w:t>
      </w:r>
      <w:hyperlink r:id="rId5" w:history="1">
        <w:r w:rsidRPr="00B27646">
          <w:rPr>
            <w:rStyle w:val="ad"/>
            <w:rFonts w:ascii="Times New Roman" w:hAnsi="Times New Roman" w:cs="Times New Roman"/>
            <w:sz w:val="24"/>
            <w:szCs w:val="24"/>
            <w:lang w:val="en-US"/>
          </w:rPr>
          <w:t>dima_vasilenko@list.ru</w:t>
        </w:r>
      </w:hyperlink>
      <w:r w:rsidRPr="00D61E14">
        <w:rPr>
          <w:rFonts w:ascii="Times New Roman" w:hAnsi="Times New Roman" w:cs="Times New Roman"/>
          <w:sz w:val="24"/>
          <w:szCs w:val="24"/>
          <w:lang w:val="en-US"/>
        </w:rPr>
        <w:t>)</w:t>
      </w:r>
    </w:p>
    <w:p w14:paraId="0463572E" w14:textId="77777777" w:rsidR="00D61E14" w:rsidRDefault="00D61E14" w:rsidP="0012661D">
      <w:pPr>
        <w:ind w:firstLine="709"/>
        <w:jc w:val="both"/>
        <w:rPr>
          <w:rFonts w:ascii="Times New Roman" w:hAnsi="Times New Roman" w:cs="Times New Roman"/>
          <w:sz w:val="24"/>
          <w:szCs w:val="24"/>
          <w:lang w:val="en-US"/>
        </w:rPr>
      </w:pPr>
    </w:p>
    <w:p w14:paraId="6B9407E1" w14:textId="2848F5FD" w:rsidR="00D61E14" w:rsidRPr="00D61E14" w:rsidRDefault="00D61E14" w:rsidP="00D61E14">
      <w:pPr>
        <w:ind w:firstLine="709"/>
        <w:jc w:val="center"/>
        <w:rPr>
          <w:rFonts w:ascii="Times New Roman" w:hAnsi="Times New Roman" w:cs="Times New Roman"/>
          <w:b/>
          <w:bCs/>
          <w:sz w:val="24"/>
          <w:szCs w:val="24"/>
          <w:lang w:val="en-US"/>
        </w:rPr>
      </w:pPr>
      <w:r w:rsidRPr="00D61E14">
        <w:rPr>
          <w:rFonts w:ascii="Times New Roman" w:hAnsi="Times New Roman" w:cs="Times New Roman"/>
          <w:b/>
          <w:bCs/>
          <w:sz w:val="24"/>
          <w:szCs w:val="24"/>
          <w:lang w:val="en-US"/>
        </w:rPr>
        <w:t>References</w:t>
      </w:r>
    </w:p>
    <w:p w14:paraId="6B7D5434" w14:textId="20A185DB" w:rsidR="00D61E14" w:rsidRDefault="00D61E14" w:rsidP="00D61E14">
      <w:pPr>
        <w:ind w:firstLine="709"/>
        <w:jc w:val="both"/>
        <w:rPr>
          <w:rFonts w:ascii="Times New Roman" w:hAnsi="Times New Roman" w:cs="Times New Roman"/>
          <w:sz w:val="24"/>
          <w:szCs w:val="24"/>
          <w:lang w:val="en-US"/>
        </w:rPr>
      </w:pPr>
      <w:r w:rsidRPr="00D61E14">
        <w:rPr>
          <w:rFonts w:ascii="Times New Roman" w:hAnsi="Times New Roman" w:cs="Times New Roman"/>
          <w:sz w:val="24"/>
          <w:szCs w:val="24"/>
          <w:lang w:val="en-US"/>
        </w:rPr>
        <w:t xml:space="preserve">1. </w:t>
      </w:r>
      <w:proofErr w:type="spellStart"/>
      <w:r w:rsidRPr="00D61E14">
        <w:rPr>
          <w:rFonts w:ascii="Times New Roman" w:hAnsi="Times New Roman" w:cs="Times New Roman"/>
          <w:sz w:val="24"/>
          <w:szCs w:val="24"/>
          <w:lang w:val="en-US"/>
        </w:rPr>
        <w:t>Govorenkova</w:t>
      </w:r>
      <w:proofErr w:type="spellEnd"/>
      <w:r w:rsidRPr="00D61E14">
        <w:rPr>
          <w:rFonts w:ascii="Times New Roman" w:hAnsi="Times New Roman" w:cs="Times New Roman"/>
          <w:sz w:val="24"/>
          <w:szCs w:val="24"/>
          <w:lang w:val="en-US"/>
        </w:rPr>
        <w:t xml:space="preserve"> T., </w:t>
      </w:r>
      <w:proofErr w:type="spellStart"/>
      <w:r w:rsidRPr="00D61E14">
        <w:rPr>
          <w:rFonts w:ascii="Times New Roman" w:hAnsi="Times New Roman" w:cs="Times New Roman"/>
          <w:sz w:val="24"/>
          <w:szCs w:val="24"/>
          <w:lang w:val="en-US"/>
        </w:rPr>
        <w:t>Voblenko</w:t>
      </w:r>
      <w:proofErr w:type="spellEnd"/>
      <w:r w:rsidRPr="00D61E14">
        <w:rPr>
          <w:rFonts w:ascii="Times New Roman" w:hAnsi="Times New Roman" w:cs="Times New Roman"/>
          <w:sz w:val="24"/>
          <w:szCs w:val="24"/>
          <w:lang w:val="en-US"/>
        </w:rPr>
        <w:t xml:space="preserve"> S. Who and where to choose // Russian Federation, 1996. No.</w:t>
      </w:r>
      <w:r>
        <w:rPr>
          <w:rFonts w:ascii="Times New Roman" w:hAnsi="Times New Roman" w:cs="Times New Roman"/>
          <w:sz w:val="24"/>
          <w:szCs w:val="24"/>
          <w:lang w:val="en-US"/>
        </w:rPr>
        <w:t> </w:t>
      </w:r>
      <w:r w:rsidRPr="00D61E14">
        <w:rPr>
          <w:rFonts w:ascii="Times New Roman" w:hAnsi="Times New Roman" w:cs="Times New Roman"/>
          <w:sz w:val="24"/>
          <w:szCs w:val="24"/>
          <w:lang w:val="en-US"/>
        </w:rPr>
        <w:t xml:space="preserve">11. </w:t>
      </w:r>
      <w:r>
        <w:rPr>
          <w:rFonts w:ascii="Times New Roman" w:hAnsi="Times New Roman" w:cs="Times New Roman"/>
          <w:sz w:val="24"/>
          <w:szCs w:val="24"/>
          <w:lang w:val="en-US"/>
        </w:rPr>
        <w:t>P</w:t>
      </w:r>
      <w:r w:rsidRPr="00D61E14">
        <w:rPr>
          <w:rFonts w:ascii="Times New Roman" w:hAnsi="Times New Roman" w:cs="Times New Roman"/>
          <w:sz w:val="24"/>
          <w:szCs w:val="24"/>
          <w:lang w:val="en-US"/>
        </w:rPr>
        <w:t xml:space="preserve">p. 108-123. </w:t>
      </w:r>
    </w:p>
    <w:p w14:paraId="4A51DDFD" w14:textId="1EA70EDA" w:rsidR="00D61E14" w:rsidRPr="00D61E14" w:rsidRDefault="00D61E14" w:rsidP="00D61E14">
      <w:pPr>
        <w:ind w:firstLine="709"/>
        <w:jc w:val="both"/>
        <w:rPr>
          <w:rFonts w:ascii="Times New Roman" w:hAnsi="Times New Roman" w:cs="Times New Roman"/>
          <w:sz w:val="24"/>
          <w:szCs w:val="24"/>
          <w:lang w:val="en-US"/>
        </w:rPr>
      </w:pPr>
      <w:r w:rsidRPr="00D61E14">
        <w:rPr>
          <w:rFonts w:ascii="Times New Roman" w:hAnsi="Times New Roman" w:cs="Times New Roman"/>
          <w:sz w:val="24"/>
          <w:szCs w:val="24"/>
          <w:lang w:val="en-US"/>
        </w:rPr>
        <w:t xml:space="preserve">2. Mitrokhin S. Local self-government: arguments, problems, myths // City administration. 1998. No. 1. </w:t>
      </w:r>
      <w:r>
        <w:rPr>
          <w:rFonts w:ascii="Times New Roman" w:hAnsi="Times New Roman" w:cs="Times New Roman"/>
          <w:sz w:val="24"/>
          <w:szCs w:val="24"/>
          <w:lang w:val="en-US"/>
        </w:rPr>
        <w:t>P</w:t>
      </w:r>
      <w:r w:rsidRPr="00D61E14">
        <w:rPr>
          <w:rFonts w:ascii="Times New Roman" w:hAnsi="Times New Roman" w:cs="Times New Roman"/>
          <w:sz w:val="24"/>
          <w:szCs w:val="24"/>
          <w:lang w:val="en-US"/>
        </w:rPr>
        <w:t>p. 10-22.</w:t>
      </w:r>
    </w:p>
    <w:sectPr w:rsidR="00D61E14" w:rsidRPr="00D61E14" w:rsidSect="007F57C9">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7FAA"/>
    <w:rsid w:val="00077FAA"/>
    <w:rsid w:val="0012661D"/>
    <w:rsid w:val="00153AFD"/>
    <w:rsid w:val="00161F03"/>
    <w:rsid w:val="003B518D"/>
    <w:rsid w:val="00413FD2"/>
    <w:rsid w:val="00556504"/>
    <w:rsid w:val="005D48D2"/>
    <w:rsid w:val="006C0B77"/>
    <w:rsid w:val="006C462E"/>
    <w:rsid w:val="007F57C9"/>
    <w:rsid w:val="008242FF"/>
    <w:rsid w:val="008569FE"/>
    <w:rsid w:val="00870751"/>
    <w:rsid w:val="00922C48"/>
    <w:rsid w:val="00B2062F"/>
    <w:rsid w:val="00B915B7"/>
    <w:rsid w:val="00C80BA5"/>
    <w:rsid w:val="00CA2FDF"/>
    <w:rsid w:val="00D61E14"/>
    <w:rsid w:val="00D72C50"/>
    <w:rsid w:val="00EA59DF"/>
    <w:rsid w:val="00EE4070"/>
    <w:rsid w:val="00F12C76"/>
    <w:rsid w:val="00F54D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FBF13"/>
  <w15:chartTrackingRefBased/>
  <w15:docId w15:val="{10A34761-2C6B-4A7A-BFC6-5D8BD44A79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462E"/>
    <w:pPr>
      <w:spacing w:after="0" w:line="240" w:lineRule="auto"/>
    </w:pPr>
    <w:rPr>
      <w:kern w:val="0"/>
      <w14:ligatures w14:val="none"/>
    </w:rPr>
  </w:style>
  <w:style w:type="paragraph" w:styleId="1">
    <w:name w:val="heading 1"/>
    <w:basedOn w:val="a"/>
    <w:next w:val="a"/>
    <w:link w:val="10"/>
    <w:uiPriority w:val="9"/>
    <w:qFormat/>
    <w:rsid w:val="00077FAA"/>
    <w:pPr>
      <w:keepNext/>
      <w:keepLines/>
      <w:spacing w:before="360" w:after="80"/>
      <w:outlineLvl w:val="0"/>
    </w:pPr>
    <w:rPr>
      <w:rFonts w:asciiTheme="majorHAnsi" w:eastAsiaTheme="majorEastAsia" w:hAnsiTheme="majorHAnsi" w:cstheme="majorBidi"/>
      <w:color w:val="2E74B5" w:themeColor="accent1" w:themeShade="BF"/>
      <w:kern w:val="2"/>
      <w:sz w:val="40"/>
      <w:szCs w:val="40"/>
      <w14:ligatures w14:val="standardContextual"/>
    </w:rPr>
  </w:style>
  <w:style w:type="paragraph" w:styleId="2">
    <w:name w:val="heading 2"/>
    <w:basedOn w:val="a"/>
    <w:next w:val="a"/>
    <w:link w:val="20"/>
    <w:uiPriority w:val="9"/>
    <w:semiHidden/>
    <w:unhideWhenUsed/>
    <w:qFormat/>
    <w:rsid w:val="00077FAA"/>
    <w:pPr>
      <w:keepNext/>
      <w:keepLines/>
      <w:spacing w:before="160" w:after="80"/>
      <w:outlineLvl w:val="1"/>
    </w:pPr>
    <w:rPr>
      <w:rFonts w:asciiTheme="majorHAnsi" w:eastAsiaTheme="majorEastAsia" w:hAnsiTheme="majorHAnsi" w:cstheme="majorBidi"/>
      <w:color w:val="2E74B5" w:themeColor="accent1" w:themeShade="BF"/>
      <w:kern w:val="2"/>
      <w:sz w:val="32"/>
      <w:szCs w:val="32"/>
      <w14:ligatures w14:val="standardContextual"/>
    </w:rPr>
  </w:style>
  <w:style w:type="paragraph" w:styleId="3">
    <w:name w:val="heading 3"/>
    <w:basedOn w:val="a"/>
    <w:next w:val="a"/>
    <w:link w:val="30"/>
    <w:uiPriority w:val="9"/>
    <w:semiHidden/>
    <w:unhideWhenUsed/>
    <w:qFormat/>
    <w:rsid w:val="00077FAA"/>
    <w:pPr>
      <w:keepNext/>
      <w:keepLines/>
      <w:spacing w:before="160" w:after="80"/>
      <w:outlineLvl w:val="2"/>
    </w:pPr>
    <w:rPr>
      <w:rFonts w:eastAsiaTheme="majorEastAsia" w:cstheme="majorBidi"/>
      <w:color w:val="2E74B5" w:themeColor="accent1" w:themeShade="BF"/>
      <w:kern w:val="2"/>
      <w:sz w:val="28"/>
      <w:szCs w:val="28"/>
      <w14:ligatures w14:val="standardContextual"/>
    </w:rPr>
  </w:style>
  <w:style w:type="paragraph" w:styleId="4">
    <w:name w:val="heading 4"/>
    <w:basedOn w:val="a"/>
    <w:next w:val="a"/>
    <w:link w:val="40"/>
    <w:uiPriority w:val="9"/>
    <w:semiHidden/>
    <w:unhideWhenUsed/>
    <w:qFormat/>
    <w:rsid w:val="00077FAA"/>
    <w:pPr>
      <w:keepNext/>
      <w:keepLines/>
      <w:spacing w:before="80" w:after="40"/>
      <w:outlineLvl w:val="3"/>
    </w:pPr>
    <w:rPr>
      <w:rFonts w:eastAsiaTheme="majorEastAsia" w:cstheme="majorBidi"/>
      <w:i/>
      <w:iCs/>
      <w:color w:val="2E74B5" w:themeColor="accent1" w:themeShade="BF"/>
      <w:kern w:val="2"/>
      <w:sz w:val="28"/>
      <w14:ligatures w14:val="standardContextual"/>
    </w:rPr>
  </w:style>
  <w:style w:type="paragraph" w:styleId="5">
    <w:name w:val="heading 5"/>
    <w:basedOn w:val="a"/>
    <w:next w:val="a"/>
    <w:link w:val="50"/>
    <w:uiPriority w:val="9"/>
    <w:semiHidden/>
    <w:unhideWhenUsed/>
    <w:qFormat/>
    <w:rsid w:val="00077FAA"/>
    <w:pPr>
      <w:keepNext/>
      <w:keepLines/>
      <w:spacing w:before="80" w:after="40"/>
      <w:outlineLvl w:val="4"/>
    </w:pPr>
    <w:rPr>
      <w:rFonts w:eastAsiaTheme="majorEastAsia" w:cstheme="majorBidi"/>
      <w:color w:val="2E74B5" w:themeColor="accent1" w:themeShade="BF"/>
      <w:kern w:val="2"/>
      <w:sz w:val="28"/>
      <w14:ligatures w14:val="standardContextual"/>
    </w:rPr>
  </w:style>
  <w:style w:type="paragraph" w:styleId="6">
    <w:name w:val="heading 6"/>
    <w:basedOn w:val="a"/>
    <w:next w:val="a"/>
    <w:link w:val="60"/>
    <w:uiPriority w:val="9"/>
    <w:semiHidden/>
    <w:unhideWhenUsed/>
    <w:qFormat/>
    <w:rsid w:val="00077FAA"/>
    <w:pPr>
      <w:keepNext/>
      <w:keepLines/>
      <w:spacing w:before="40"/>
      <w:outlineLvl w:val="5"/>
    </w:pPr>
    <w:rPr>
      <w:rFonts w:eastAsiaTheme="majorEastAsia" w:cstheme="majorBidi"/>
      <w:i/>
      <w:iCs/>
      <w:color w:val="595959" w:themeColor="text1" w:themeTint="A6"/>
      <w:kern w:val="2"/>
      <w:sz w:val="28"/>
      <w14:ligatures w14:val="standardContextual"/>
    </w:rPr>
  </w:style>
  <w:style w:type="paragraph" w:styleId="7">
    <w:name w:val="heading 7"/>
    <w:basedOn w:val="a"/>
    <w:next w:val="a"/>
    <w:link w:val="70"/>
    <w:uiPriority w:val="9"/>
    <w:semiHidden/>
    <w:unhideWhenUsed/>
    <w:qFormat/>
    <w:rsid w:val="00077FAA"/>
    <w:pPr>
      <w:keepNext/>
      <w:keepLines/>
      <w:spacing w:before="40"/>
      <w:outlineLvl w:val="6"/>
    </w:pPr>
    <w:rPr>
      <w:rFonts w:eastAsiaTheme="majorEastAsia" w:cstheme="majorBidi"/>
      <w:color w:val="595959" w:themeColor="text1" w:themeTint="A6"/>
      <w:kern w:val="2"/>
      <w:sz w:val="28"/>
      <w14:ligatures w14:val="standardContextual"/>
    </w:rPr>
  </w:style>
  <w:style w:type="paragraph" w:styleId="8">
    <w:name w:val="heading 8"/>
    <w:basedOn w:val="a"/>
    <w:next w:val="a"/>
    <w:link w:val="80"/>
    <w:uiPriority w:val="9"/>
    <w:semiHidden/>
    <w:unhideWhenUsed/>
    <w:qFormat/>
    <w:rsid w:val="00077FAA"/>
    <w:pPr>
      <w:keepNext/>
      <w:keepLines/>
      <w:outlineLvl w:val="7"/>
    </w:pPr>
    <w:rPr>
      <w:rFonts w:eastAsiaTheme="majorEastAsia" w:cstheme="majorBidi"/>
      <w:i/>
      <w:iCs/>
      <w:color w:val="272727" w:themeColor="text1" w:themeTint="D8"/>
      <w:kern w:val="2"/>
      <w:sz w:val="28"/>
      <w14:ligatures w14:val="standardContextual"/>
    </w:rPr>
  </w:style>
  <w:style w:type="paragraph" w:styleId="9">
    <w:name w:val="heading 9"/>
    <w:basedOn w:val="a"/>
    <w:next w:val="a"/>
    <w:link w:val="90"/>
    <w:uiPriority w:val="9"/>
    <w:semiHidden/>
    <w:unhideWhenUsed/>
    <w:qFormat/>
    <w:rsid w:val="00077FAA"/>
    <w:pPr>
      <w:keepNext/>
      <w:keepLines/>
      <w:outlineLvl w:val="8"/>
    </w:pPr>
    <w:rPr>
      <w:rFonts w:eastAsiaTheme="majorEastAsia" w:cstheme="majorBidi"/>
      <w:color w:val="272727" w:themeColor="text1" w:themeTint="D8"/>
      <w:kern w:val="2"/>
      <w:sz w:val="28"/>
      <w14:ligatures w14:val="standardContextua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77FAA"/>
    <w:rPr>
      <w:rFonts w:asciiTheme="majorHAnsi" w:eastAsiaTheme="majorEastAsia" w:hAnsiTheme="majorHAnsi" w:cstheme="majorBidi"/>
      <w:color w:val="2E74B5" w:themeColor="accent1" w:themeShade="BF"/>
      <w:sz w:val="40"/>
      <w:szCs w:val="40"/>
    </w:rPr>
  </w:style>
  <w:style w:type="character" w:customStyle="1" w:styleId="20">
    <w:name w:val="Заголовок 2 Знак"/>
    <w:basedOn w:val="a0"/>
    <w:link w:val="2"/>
    <w:uiPriority w:val="9"/>
    <w:semiHidden/>
    <w:rsid w:val="00077FAA"/>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077FAA"/>
    <w:rPr>
      <w:rFonts w:eastAsiaTheme="majorEastAsia" w:cstheme="majorBidi"/>
      <w:color w:val="2E74B5" w:themeColor="accent1" w:themeShade="BF"/>
      <w:sz w:val="28"/>
      <w:szCs w:val="28"/>
    </w:rPr>
  </w:style>
  <w:style w:type="character" w:customStyle="1" w:styleId="40">
    <w:name w:val="Заголовок 4 Знак"/>
    <w:basedOn w:val="a0"/>
    <w:link w:val="4"/>
    <w:uiPriority w:val="9"/>
    <w:semiHidden/>
    <w:rsid w:val="00077FAA"/>
    <w:rPr>
      <w:rFonts w:eastAsiaTheme="majorEastAsia" w:cstheme="majorBidi"/>
      <w:i/>
      <w:iCs/>
      <w:color w:val="2E74B5" w:themeColor="accent1" w:themeShade="BF"/>
      <w:sz w:val="28"/>
    </w:rPr>
  </w:style>
  <w:style w:type="character" w:customStyle="1" w:styleId="50">
    <w:name w:val="Заголовок 5 Знак"/>
    <w:basedOn w:val="a0"/>
    <w:link w:val="5"/>
    <w:uiPriority w:val="9"/>
    <w:semiHidden/>
    <w:rsid w:val="00077FAA"/>
    <w:rPr>
      <w:rFonts w:eastAsiaTheme="majorEastAsia" w:cstheme="majorBidi"/>
      <w:color w:val="2E74B5" w:themeColor="accent1" w:themeShade="BF"/>
      <w:sz w:val="28"/>
    </w:rPr>
  </w:style>
  <w:style w:type="character" w:customStyle="1" w:styleId="60">
    <w:name w:val="Заголовок 6 Знак"/>
    <w:basedOn w:val="a0"/>
    <w:link w:val="6"/>
    <w:uiPriority w:val="9"/>
    <w:semiHidden/>
    <w:rsid w:val="00077FAA"/>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077FAA"/>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077FAA"/>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077FAA"/>
    <w:rPr>
      <w:rFonts w:eastAsiaTheme="majorEastAsia" w:cstheme="majorBidi"/>
      <w:color w:val="272727" w:themeColor="text1" w:themeTint="D8"/>
      <w:sz w:val="28"/>
    </w:rPr>
  </w:style>
  <w:style w:type="paragraph" w:styleId="a3">
    <w:name w:val="Title"/>
    <w:basedOn w:val="a"/>
    <w:next w:val="a"/>
    <w:link w:val="a4"/>
    <w:uiPriority w:val="10"/>
    <w:qFormat/>
    <w:rsid w:val="00077FAA"/>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a4">
    <w:name w:val="Заголовок Знак"/>
    <w:basedOn w:val="a0"/>
    <w:link w:val="a3"/>
    <w:uiPriority w:val="10"/>
    <w:rsid w:val="00077FA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77FAA"/>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a6">
    <w:name w:val="Подзаголовок Знак"/>
    <w:basedOn w:val="a0"/>
    <w:link w:val="a5"/>
    <w:uiPriority w:val="11"/>
    <w:rsid w:val="00077FAA"/>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77FAA"/>
    <w:pPr>
      <w:spacing w:before="160" w:after="160"/>
      <w:jc w:val="center"/>
    </w:pPr>
    <w:rPr>
      <w:rFonts w:ascii="Times New Roman" w:hAnsi="Times New Roman"/>
      <w:i/>
      <w:iCs/>
      <w:color w:val="404040" w:themeColor="text1" w:themeTint="BF"/>
      <w:kern w:val="2"/>
      <w:sz w:val="28"/>
      <w14:ligatures w14:val="standardContextual"/>
    </w:rPr>
  </w:style>
  <w:style w:type="character" w:customStyle="1" w:styleId="22">
    <w:name w:val="Цитата 2 Знак"/>
    <w:basedOn w:val="a0"/>
    <w:link w:val="21"/>
    <w:uiPriority w:val="29"/>
    <w:rsid w:val="00077FAA"/>
    <w:rPr>
      <w:rFonts w:ascii="Times New Roman" w:hAnsi="Times New Roman"/>
      <w:i/>
      <w:iCs/>
      <w:color w:val="404040" w:themeColor="text1" w:themeTint="BF"/>
      <w:sz w:val="28"/>
    </w:rPr>
  </w:style>
  <w:style w:type="paragraph" w:styleId="a7">
    <w:name w:val="List Paragraph"/>
    <w:basedOn w:val="a"/>
    <w:uiPriority w:val="34"/>
    <w:qFormat/>
    <w:rsid w:val="00077FAA"/>
    <w:pPr>
      <w:spacing w:after="160"/>
      <w:ind w:left="720"/>
      <w:contextualSpacing/>
    </w:pPr>
    <w:rPr>
      <w:rFonts w:ascii="Times New Roman" w:hAnsi="Times New Roman"/>
      <w:kern w:val="2"/>
      <w:sz w:val="28"/>
      <w14:ligatures w14:val="standardContextual"/>
    </w:rPr>
  </w:style>
  <w:style w:type="character" w:styleId="a8">
    <w:name w:val="Intense Emphasis"/>
    <w:basedOn w:val="a0"/>
    <w:uiPriority w:val="21"/>
    <w:qFormat/>
    <w:rsid w:val="00077FAA"/>
    <w:rPr>
      <w:i/>
      <w:iCs/>
      <w:color w:val="2E74B5" w:themeColor="accent1" w:themeShade="BF"/>
    </w:rPr>
  </w:style>
  <w:style w:type="paragraph" w:styleId="a9">
    <w:name w:val="Intense Quote"/>
    <w:basedOn w:val="a"/>
    <w:next w:val="a"/>
    <w:link w:val="aa"/>
    <w:uiPriority w:val="30"/>
    <w:qFormat/>
    <w:rsid w:val="00077FAA"/>
    <w:pPr>
      <w:pBdr>
        <w:top w:val="single" w:sz="4" w:space="10" w:color="2E74B5" w:themeColor="accent1" w:themeShade="BF"/>
        <w:bottom w:val="single" w:sz="4" w:space="10" w:color="2E74B5" w:themeColor="accent1" w:themeShade="BF"/>
      </w:pBdr>
      <w:spacing w:before="360" w:after="360"/>
      <w:ind w:left="864" w:right="864"/>
      <w:jc w:val="center"/>
    </w:pPr>
    <w:rPr>
      <w:rFonts w:ascii="Times New Roman" w:hAnsi="Times New Roman"/>
      <w:i/>
      <w:iCs/>
      <w:color w:val="2E74B5" w:themeColor="accent1" w:themeShade="BF"/>
      <w:kern w:val="2"/>
      <w:sz w:val="28"/>
      <w14:ligatures w14:val="standardContextual"/>
    </w:rPr>
  </w:style>
  <w:style w:type="character" w:customStyle="1" w:styleId="aa">
    <w:name w:val="Выделенная цитата Знак"/>
    <w:basedOn w:val="a0"/>
    <w:link w:val="a9"/>
    <w:uiPriority w:val="30"/>
    <w:rsid w:val="00077FAA"/>
    <w:rPr>
      <w:rFonts w:ascii="Times New Roman" w:hAnsi="Times New Roman"/>
      <w:i/>
      <w:iCs/>
      <w:color w:val="2E74B5" w:themeColor="accent1" w:themeShade="BF"/>
      <w:sz w:val="28"/>
    </w:rPr>
  </w:style>
  <w:style w:type="character" w:styleId="ab">
    <w:name w:val="Intense Reference"/>
    <w:basedOn w:val="a0"/>
    <w:uiPriority w:val="32"/>
    <w:qFormat/>
    <w:rsid w:val="00077FAA"/>
    <w:rPr>
      <w:b/>
      <w:bCs/>
      <w:smallCaps/>
      <w:color w:val="2E74B5" w:themeColor="accent1" w:themeShade="BF"/>
      <w:spacing w:val="5"/>
    </w:rPr>
  </w:style>
  <w:style w:type="table" w:styleId="ac">
    <w:name w:val="Table Grid"/>
    <w:basedOn w:val="a1"/>
    <w:uiPriority w:val="59"/>
    <w:unhideWhenUsed/>
    <w:rsid w:val="006C462E"/>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D61E14"/>
    <w:rPr>
      <w:color w:val="0563C1" w:themeColor="hyperlink"/>
      <w:u w:val="single"/>
    </w:rPr>
  </w:style>
  <w:style w:type="character" w:styleId="ae">
    <w:name w:val="Unresolved Mention"/>
    <w:basedOn w:val="a0"/>
    <w:uiPriority w:val="99"/>
    <w:semiHidden/>
    <w:unhideWhenUsed/>
    <w:rsid w:val="00D61E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265538">
      <w:bodyDiv w:val="1"/>
      <w:marLeft w:val="0"/>
      <w:marRight w:val="0"/>
      <w:marTop w:val="0"/>
      <w:marBottom w:val="0"/>
      <w:divBdr>
        <w:top w:val="none" w:sz="0" w:space="0" w:color="auto"/>
        <w:left w:val="none" w:sz="0" w:space="0" w:color="auto"/>
        <w:bottom w:val="none" w:sz="0" w:space="0" w:color="auto"/>
        <w:right w:val="none" w:sz="0" w:space="0" w:color="auto"/>
      </w:divBdr>
    </w:div>
    <w:div w:id="569851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dima_vasilenko@list.ru" TargetMode="External"/><Relationship Id="rId4" Type="http://schemas.openxmlformats.org/officeDocument/2006/relationships/hyperlink" Target="mailto:dima_vasilenko@list.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6</Pages>
  <Words>2868</Words>
  <Characters>16352</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11</cp:revision>
  <dcterms:created xsi:type="dcterms:W3CDTF">2025-03-18T15:42:00Z</dcterms:created>
  <dcterms:modified xsi:type="dcterms:W3CDTF">2025-03-19T17:24:00Z</dcterms:modified>
</cp:coreProperties>
</file>