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290C66">
      <w:pPr>
        <w:wordWrap/>
        <w:ind w:left="0" w:leftChars="0" w:right="38" w:rightChars="19" w:firstLine="0" w:firstLineChars="0"/>
        <w:jc w:val="left"/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ru-RU"/>
        </w:rPr>
      </w:pPr>
      <w:r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  <w:t>УДК</w:t>
      </w:r>
      <w:r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ru-RU"/>
        </w:rPr>
        <w:t xml:space="preserve"> 33</w:t>
      </w:r>
    </w:p>
    <w:p w14:paraId="6E71ED01">
      <w:pPr>
        <w:wordWrap/>
        <w:ind w:left="0" w:leftChars="0" w:right="38" w:rightChars="19" w:firstLine="0" w:firstLineChars="0"/>
        <w:jc w:val="right"/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ru-RU"/>
        </w:rPr>
      </w:pPr>
      <w:r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  <w:t>Макарова</w:t>
      </w:r>
      <w:r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ru-RU"/>
        </w:rPr>
        <w:t xml:space="preserve"> Л.Н., </w:t>
      </w:r>
      <w:r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  <w:t xml:space="preserve"> Голубцова А</w:t>
      </w:r>
      <w:r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ru-RU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  <w:t>В</w:t>
      </w:r>
      <w:r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ru-RU"/>
        </w:rPr>
        <w:t>.</w:t>
      </w:r>
    </w:p>
    <w:p w14:paraId="7539519E">
      <w:pPr>
        <w:ind w:left="0" w:leftChars="0" w:right="38" w:rightChars="19" w:firstLine="0" w:firstLineChars="0"/>
        <w:jc w:val="center"/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</w:pPr>
      <w:r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  <w:t xml:space="preserve">КРАУДФАНДИНГ КАК ИНСТРУМЕНТ РАЗВИТИЯ </w:t>
      </w:r>
    </w:p>
    <w:p w14:paraId="1C44F2E5">
      <w:pPr>
        <w:ind w:left="0" w:leftChars="0" w:right="38" w:rightChars="19" w:firstLine="0" w:firstLineChars="0"/>
        <w:jc w:val="center"/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</w:pPr>
      <w:r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  <w:t xml:space="preserve">СУБЪЕКТОВ МАЛОГО И СРЕДНЕГО ПРЕДПРИНИМАТЕЛЬСТВА </w:t>
      </w:r>
    </w:p>
    <w:p w14:paraId="5964D32E">
      <w:pPr>
        <w:ind w:left="0" w:leftChars="0" w:right="38" w:rightChars="19" w:firstLine="0" w:firstLineChars="0"/>
        <w:jc w:val="center"/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ru-RU"/>
        </w:rPr>
      </w:pPr>
      <w:r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  <w:t>В УСЛОВИЯХ ЦИФРОВОЙ ЭКОНОМИКИ</w:t>
      </w:r>
      <w:r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ru-RU"/>
        </w:rPr>
        <w:t xml:space="preserve"> В РЕСПУБЛИКЕ БЕЛАРУСЬ</w:t>
      </w:r>
    </w:p>
    <w:p w14:paraId="010FCCB6">
      <w:pPr>
        <w:ind w:left="0" w:leftChars="0" w:right="38" w:rightChars="19" w:firstLine="0" w:firstLineChars="0"/>
        <w:jc w:val="both"/>
        <w:rPr>
          <w:rFonts w:ascii="Times New Roman" w:hAnsi="Times New Roman" w:cs="Times New Roman"/>
          <w:b/>
          <w:bCs/>
          <w:sz w:val="24"/>
          <w:szCs w:val="24"/>
          <w:highlight w:val="none"/>
          <w:lang w:val="ru-RU"/>
        </w:rPr>
      </w:pPr>
    </w:p>
    <w:p w14:paraId="6F39E101">
      <w:pPr>
        <w:ind w:left="0" w:leftChars="0" w:right="38" w:rightChars="19" w:firstLine="300" w:firstLineChars="0"/>
        <w:jc w:val="both"/>
        <w:rPr>
          <w:rFonts w:hint="default" w:ascii="Times New Roman" w:hAnsi="Times New Roman" w:eastAsia="Times New Roman" w:cs="Times New Roman"/>
          <w:b/>
          <w:sz w:val="24"/>
          <w:highlight w:val="none"/>
          <w:lang w:val="ru-RU" w:eastAsia="ru-RU"/>
        </w:rPr>
      </w:pPr>
      <w:r>
        <w:rPr>
          <w:rFonts w:ascii="Times New Roman" w:hAnsi="Times New Roman" w:eastAsia="Times New Roman" w:cs="Times New Roman"/>
          <w:b/>
          <w:sz w:val="24"/>
          <w:highlight w:val="none"/>
          <w:lang w:eastAsia="ru-RU"/>
        </w:rPr>
        <w:t>Аннотация</w:t>
      </w:r>
      <w:r>
        <w:rPr>
          <w:rFonts w:hint="default" w:ascii="Times New Roman" w:hAnsi="Times New Roman" w:eastAsia="Times New Roman" w:cs="Times New Roman"/>
          <w:b/>
          <w:sz w:val="24"/>
          <w:highlight w:val="none"/>
          <w:lang w:val="en-US" w:eastAsia="ru-RU"/>
        </w:rPr>
        <w:t xml:space="preserve"> </w:t>
      </w:r>
      <w:r>
        <w:rPr>
          <w:rFonts w:hint="default" w:ascii="Times New Roman" w:hAnsi="Times New Roman" w:eastAsia="Times New Roman" w:cs="Times New Roman"/>
          <w:b w:val="0"/>
          <w:bCs/>
          <w:sz w:val="24"/>
          <w:highlight w:val="none"/>
          <w:lang w:val="en-US" w:eastAsia="ru-RU"/>
        </w:rPr>
        <w:t>К</w:t>
      </w:r>
      <w:r>
        <w:rPr>
          <w:rFonts w:hint="default" w:ascii="Times New Roman" w:hAnsi="Times New Roman" w:cs="Times New Roman"/>
          <w:b w:val="0"/>
          <w:bCs/>
          <w:color w:val="000000"/>
          <w:sz w:val="24"/>
          <w:szCs w:val="24"/>
          <w:highlight w:val="none"/>
          <w:shd w:val="clear" w:color="auto" w:fill="FFFFFF"/>
          <w:lang w:val="ru-RU"/>
        </w:rPr>
        <w:t>р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аудфандинг - не просто альтернативный способ сбора денежных средств, а сложная социально-экономическая модель, основанная на принципах демократизации капитала и цифровой кооперации. Выделение таких видов, как вознаграждающий, долговой и долевой краудфандинг, позволило определить, что каждая модель отвечает потребностям бизнеса на разных этапах его жизненного цикла. Определены критерии выбора оптимальной краудфандинговой платформы, что особенно актуально для белорусского бизнес-контекста.</w:t>
      </w:r>
    </w:p>
    <w:p w14:paraId="65A3F9F9">
      <w:pPr>
        <w:ind w:left="0" w:leftChars="0" w:right="38" w:rightChars="19" w:firstLine="300" w:firstLineChars="0"/>
        <w:jc w:val="both"/>
        <w:rPr>
          <w:rFonts w:hint="default" w:ascii="Times New Roman" w:hAnsi="Times New Roman" w:eastAsia="Times New Roman" w:cs="Times New Roman"/>
          <w:b w:val="0"/>
          <w:bCs/>
          <w:i/>
          <w:iCs/>
          <w:sz w:val="24"/>
          <w:highlight w:val="none"/>
          <w:lang w:val="en-US" w:eastAsia="ru-RU"/>
        </w:rPr>
      </w:pPr>
      <w:r>
        <w:rPr>
          <w:rFonts w:ascii="Times New Roman" w:hAnsi="Times New Roman" w:eastAsia="Times New Roman" w:cs="Times New Roman"/>
          <w:b/>
          <w:i/>
          <w:iCs/>
          <w:sz w:val="24"/>
          <w:highlight w:val="none"/>
          <w:lang w:eastAsia="ru-RU"/>
        </w:rPr>
        <w:t>Ключевые слова</w:t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highlight w:val="none"/>
          <w:lang w:val="en-US" w:eastAsia="ru-RU"/>
        </w:rPr>
        <w:t xml:space="preserve">: </w:t>
      </w:r>
      <w:r>
        <w:rPr>
          <w:rFonts w:hint="default" w:ascii="Times New Roman" w:hAnsi="Times New Roman" w:eastAsia="Times New Roman" w:cs="Times New Roman"/>
          <w:b w:val="0"/>
          <w:bCs/>
          <w:i/>
          <w:iCs/>
          <w:sz w:val="24"/>
          <w:highlight w:val="none"/>
          <w:lang w:val="en-US" w:eastAsia="ru-RU"/>
        </w:rPr>
        <w:t>цифровая экономика,</w:t>
      </w:r>
      <w:r>
        <w:rPr>
          <w:rFonts w:hint="default" w:ascii="Times New Roman" w:hAnsi="Times New Roman" w:eastAsia="Times New Roman" w:cs="Times New Roman"/>
          <w:b/>
          <w:i/>
          <w:iCs/>
          <w:sz w:val="24"/>
          <w:highlight w:val="none"/>
          <w:lang w:val="en-US" w:eastAsia="ru-RU"/>
        </w:rPr>
        <w:t xml:space="preserve"> </w:t>
      </w:r>
      <w:r>
        <w:rPr>
          <w:rFonts w:hint="default" w:ascii="Times New Roman" w:hAnsi="Times New Roman" w:eastAsia="Times New Roman" w:cs="Times New Roman"/>
          <w:b w:val="0"/>
          <w:bCs/>
          <w:i/>
          <w:iCs/>
          <w:sz w:val="24"/>
          <w:highlight w:val="none"/>
          <w:lang w:val="en-US" w:eastAsia="ru-RU"/>
        </w:rPr>
        <w:t xml:space="preserve">краудфандинг, онлайн-платформы, блокчейн </w:t>
      </w:r>
    </w:p>
    <w:p w14:paraId="70CDC53E">
      <w:pPr>
        <w:ind w:left="0" w:leftChars="0" w:right="38" w:rightChars="19" w:firstLine="0" w:firstLineChars="0"/>
        <w:jc w:val="both"/>
        <w:rPr>
          <w:rFonts w:ascii="Times New Roman" w:hAnsi="Times New Roman" w:eastAsia="Times New Roman" w:cs="Times New Roman"/>
          <w:b/>
          <w:sz w:val="24"/>
          <w:highlight w:val="none"/>
          <w:lang w:eastAsia="ru-RU"/>
        </w:rPr>
      </w:pPr>
    </w:p>
    <w:p w14:paraId="1BD3DB0E">
      <w:pPr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В условиях стремительной цифровизации мировой экономики, оказывающей значительное влияние на национальные рынки, субъекты малого и среднего предпринимательства (МСП) Республики Беларусь сталкиваются с необходимостью поиска инновационных инструментов для привлечения инвестиций, финансирования проектов и расширения своего присутствия. Традиционные методы получения кредитов в банках и привлечения венчурного капитала зачастую оказываются труднодоступными или чрезмерно обременительными для небольших компаний, что может ограничивать их развитие и снижать конкурентоспособность.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К</w:t>
      </w: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раудфандинг – модель коллективного финансирования, основанная на привлечении денежных средств от широкого круга лиц (толпы) через специализированные онлайн-платформы – демонстрирует свой значительный потенциал как альтернативный и дополняющий источник капитала для МСП.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</w:p>
    <w:p w14:paraId="3FD56B8A">
      <w:pPr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Цифровая экономика, 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обеспечивающая</w:t>
      </w: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низкую транзакционную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стоимость, глобальный охват и развитые инструменты онлайн-коммуникаций, создает идеальные условия для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краудфандинга. Эти платформы трансформируют процесс привлечения инвестиций, делая его более демократичным, прозрачным и доступным, что особенно важно для стартапов и небольших компаний, не имеющих полного доступа к традиционным финансовым институтам. Краудфандинг позволяет не только получить необходимое финансирование, но и одновременно протестировать рыночную востребованность продукта или услуги, сформировать лояльное сообщество потенциальных клиентов и даже получить ценную обратную связь на ранних стадиях разработки проекта.</w:t>
      </w:r>
    </w:p>
    <w:p w14:paraId="43FE125B">
      <w:pPr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Актуальность данной работы для Республики Беларусь обусловлена несколькими факторами. Во-первых, стремительный рост интереса к поиску альтернативных источников финансирования для национального малого и среднего бизнеса, обусловленный потребностью в диверсификации финансовых потоков. Во-вторых, стратегическая значимость МСП как ключевого драйвера инноваций, экономического роста и создания новых рабочих мест в условиях модернизации белорусской экономики. В-третьих, активная интеграция Республики Беларусь в цифровую экономику и необходимость адаптации финансовых инструментов к новым реалиям, где краудфандинг выступает одним из ярких примеров таких трансформаций.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</w:p>
    <w:p w14:paraId="39ACBA59">
      <w:pPr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В Республике Беларусь наблюдается растущий интерес к краудфандингу как источнику финансирования для МСП. Несмотря на появление и постепенное формирование законодательной базы, регулирующей деятельность краудфандинговых платформ, и развитие национального рынка коллективного финансирования, данное направление остается относительно новым для многих предпринимателей. Оно сталкивается с необходимостью дальнейшей адаптации к изменяющимся рыночным условиям и особенностям национального предпринимательского ландшафта, что требует глубокого анализа и выработки практических рекомендаций.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</w:p>
    <w:p w14:paraId="1F4A3CB3">
      <w:pPr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Целью данной работы является комплексное исследование краудфандинга как эффективного инструмента развития субъектов МСП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РБ в условиях цифровой экономики.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</w:p>
    <w:p w14:paraId="345B1999">
      <w:pPr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В основе функционирования краудфандинга лежит сложный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механизм, реализуемый через специализированные онлайн-платформы. Эти платформы выступают в роли цифровых посредников, аггрегаторов спроса и предложения, соединяя инициаторов проектов – прежде всего субъектов МСП – с широким кругом потенциальных сторонников или инвесторов. Их роль в современной цифровой экономике, особенно для развития МСП в Республике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Беларусь, важна, поскольку они демократизируют доступ к капиталу и предоставляют нефинансовые преимущества. В Республике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Беларусь краудфандинг пока не слишком распространен. Причина заключается не только в вопросах его регулирования и стандартизации, но и в отсутствии информационной поддержки такого альтернативного финансирования – многие предприятия, особенно малые и средние, даже не знают о его существовании.</w:t>
      </w:r>
    </w:p>
    <w:p w14:paraId="49E505AF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Для развития МСП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краудфандинговые платформы обеспечивают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: </w:t>
      </w:r>
    </w:p>
    <w:p w14:paraId="4376185B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во-первых, доступ к капиталу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, что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является, безусловно, ключевым преимуществом. Для многих белорусских МСП, особенно на ранних стадиях развития или в нетрадиционных отраслях, получение финансирования через банки связано с высокими требованиями к залогу, длительными процедурами рассмотрения заявок и консервативным подходом к оценке рисков. Краудфандинг позволяет аккумулировать средства от широкого круга лиц, снижая зависимость от ограниченного числа крупных инвесторов и диверсифицируя источники финансирования. Это особенно критично для инновационных проектов, не имеющих кредитной истории или материального обеспечения.</w:t>
      </w:r>
    </w:p>
    <w:p w14:paraId="7F29C620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во-вторых,  бесценный инструмент валидации рыночного спроса и тестирования концепции. Запуская кампанию, МСП не просто собирает деньги, но и одновременно проверяет, насколько их продукт или услуга интересны широкой аудитории. Этот механизм минимизирует риски выхода на рынок с невостребованным продуктом, что особенно важно для стартапов с ограниченными ресурсами.</w:t>
      </w:r>
    </w:p>
    <w:p w14:paraId="6F85C915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в-третьих,  мощный инструмент маркетинга. Кампания по сбору средств по своей сути является масштабной маркетинговой акцией, привлекающей внимание к проекту. Успешная кампания может генерировать значительное медийное освещение, обеспечивая бесплатную рекламу и повышая узнаваемость бренда. Процесс коммуникации с «толпой» позволяет сформировать лояльное сообщество ранних последователей и клиентов, которые не только финансируют проект, но и становятся его активными промоутерами. Эта синергия финансирования и маркетинга особенно ценна для МСП с ограниченными маркетинговыми бюджетами, позволяя им эффективно конкурировать с более крупными игроками рынка.</w:t>
      </w:r>
    </w:p>
    <w:p w14:paraId="6FF1FB0C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в-четвертых, получение ценной обратной связи и вовлечение аудитории. Сторонники проекта часто выступают не просто как пассивные спонсоры, но и как активные участники дискуссий, предлагая идеи, указывая на недостатки или выражая пожелания относительно будущего продукта. Эта прямая коммуникация позволяет МСП оперативно корректировать свои планы, улучшать продукт и глубже понимать потребности своей целевой аудитории. </w:t>
      </w:r>
    </w:p>
    <w:p w14:paraId="20AE0E78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в-пятых,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доступ к диверсифицированному пулу инвесторов, расширяя географические границы привлечения капитала. Белорусские предприниматели могут привлекать средства не только от отечественных граждан и организаций, но и от инвесторов со всего мира, что особенно актуально для проектов, ориентированных на экспорт или глобальный рынок. Это снижает зависимость от локального финансового рынка и способствует международной интеграции белорусских МСП. Более того, успешная краудфандинговая кампания может служить весомым доказательством потенциала для более крупных институциональных инвесторов или банков, открывая двери к последующим раундам финансирования.</w:t>
      </w:r>
    </w:p>
    <w:p w14:paraId="163FA8C2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Таким образом, краудфандинговые платформы не просто предоставляют деньги, но и формируют благоприятную экосистему для роста, инноваций и повышения устойчивости МСП в Республике Беларусь в условиях динамично развивающейся цифровой экономики.</w:t>
      </w:r>
    </w:p>
    <w:p w14:paraId="7823AF00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При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выборе платформы п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ервостепенным критерием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выступает тематическая специализация платформы, поскольку именно она определяет качество и релевантность доступной аудитории. Краудфандинговые ресурсы в современном мире редко бывают абсолютно универсальными; чаще они формируют вокруг себя специфические экосистемы.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Для малого бизнеса в Республике Беларусь крайне важно найти ту платформу, чьё «сообщество» уже имеет опыт поддержки аналогичных продуктов. </w:t>
      </w:r>
    </w:p>
    <w:p w14:paraId="6C76E630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Не менее значимым фактором является выбор конкретной модели коллективного финансирования, которую поддерживает данная цифровая площадка. Различные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м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еханизмы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крауфандинга (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вознаграждения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,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займов или долевого участия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)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требуют принципиально разных юридических и организационных подходов. Предприниматель должен четко осознавать, готов ли он делиться прибылью и частью управления компанией в рамках краудинвестинга или же его целью является предпродажа первой партии товара через механизм вознаграждений. Кроме того, критически важно изучить используемую на платформе модель сбора средств: всё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или ничего либо всё, что собрано. В первом случае деньги переводятся инициатору только при достижении стопроцентной финансовой цели, что гарантирует инвесторам исполнение обязательств, а предпринимателю – наличие полного бюджета. Вторая модель позволяет забрать любую сумму, но несет в себе репутационные риски, так как проект может остаться недофинансированным и нереализованным.</w:t>
      </w:r>
    </w:p>
    <w:p w14:paraId="578AE0C5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Третий блок критериев касается географической ориентации платформы и её соответствия национальному законодательству. Для белорусских субъектов МСП этот вопрос стоит особенно остро. Использование глобальных международных площадок открывает доступ к огромному количеству мировых инвесторов, однако создает существенные сложности в области валютного регулирования, трансграничных платежей и налогообложения. Локальные белорусские платформы, напротив, функционируют в правовом поле республики, обеспечивая прозрачность взаимодействия с государственными органами, включая Национальный банк. Предпринимателю необходимо убедиться, что платформа имеет все необходимые разрешения для работы с белорусскими резидентами, что особенно важно для легального ведения бухучета и исполнения налоговых обязательств.</w:t>
      </w:r>
    </w:p>
    <w:p w14:paraId="5AD9D7D5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Четвертый аспект выбора затрагивает финансовую политику платформы и структуру её комиссионных вознаграждений.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Стоимость услуг площадки не ограничивается только процентом от собранной суммы. Необходимо учитывать комиссии платежных систем за обработку каждой транзакции, возможные сборы за перевод средств на расчетный счет компании, а также затраты на конвертацию валют. Суммарно эти издержки могут составлять от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5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до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15%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от бюджета кампании, что должно быть заранее заложено в финансовую модель проекта. Тщательное изучение тарифных планов позволяет избежать скрытых расходов, которые могут сделать проект убыточным еще на стадии привлечения капитала. </w:t>
      </w:r>
    </w:p>
    <w:p w14:paraId="060B6055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Пятым критерием выбора выступает технологический функционал и маркетинговый инструментарий, который площадка предоставляет автору проекта. В эпоху цифровизации краудфандинговая платформа – это не просто кошелек, а сложная система управления мар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-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кетинговыми коммуникациями. Качественный ресурс должен предлагать интуитивно понятные инструменты для верстки страницы проекта, интеграцию с социальными сетями, встроенные системы аналитики для отслеживания поведения посетителей. Для малого бизнеса, часто не имеющего в штате маркетологов, наличие таких инструментов «под ключ» существенно снижает порог входа и повышает эффективность продвижения. Возможность общения с аудиторией в режиме реального времени позволяет оперативно корректировать предложение и снимать возражения потенциальных сторонников.</w:t>
      </w:r>
    </w:p>
    <w:p w14:paraId="166D93D3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Шестой критерий связан с уровнем экспертной поддержки и репутацией платформы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.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Площадки, которые дорожат своим имиджем, проводят тщательную модерацию и верификацию проектов, что повышает уровень доверия инвесторов к размещенным кампаниям. Наличие в штате платформы персональных менеджеров или консультантов является огромным преимуществом. </w:t>
      </w:r>
    </w:p>
    <w:p w14:paraId="66C1C2C0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Таким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образом, для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предпринимателей, которые собираются использовать краудфандинг в качестве источника финансирования, есть несколько простых выводов. Во-первых, важно качество подачи проекта на конкурс. Социальные сети играют важную роль в формировании успеха бизнеса. Во-вторых, к расчету объемов средств, необходимых для проекта и времени его реализации необходимо подходить тщательно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</w:rPr>
        <w:t>[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1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</w:rPr>
        <w:t>]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. </w:t>
      </w:r>
    </w:p>
    <w:p w14:paraId="10938BD4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Также следует учитывать размер и активность внутреннего сообщества платформы.  Наличие большой базы активных доноров и инвесторов, которые регулярно посещают ресурс в поисках новых идей, создает эффект социального доказательства. Если проект получает первые взносы от постоянных пользователей платформы, это служит мощным сигналом для внешней аудитории о надежности и привлекательности бизнеса.</w:t>
      </w:r>
    </w:p>
    <w:p w14:paraId="0B0B9327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Критически важным критерием выбора платформы в условиях цифровой трансформации становится качество аналитического сопровождения и инструментов обработки данных, которые предоставляет площадка. Современный предприниматель рассматривает краудфандинг не только как источник ликвидности, но и как масштабное маркетинговое исследование. Поэтому при выборе платформы субъектам МСП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следует обращать внимание на глубину предоставляемой статистики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 и аналитики</w:t>
      </w: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.  Такая аналитика становится фундаментом для оптимизации рекламных расходов и позволяет более точно настраивать коммуникацию с целевой аудиторией в будущих периодах развития бизнеса.</w:t>
      </w:r>
    </w:p>
    <w:p w14:paraId="46074750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Особое значение имеет также уровень технологической безопасности и надежность </w:t>
      </w: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платежной инфраструктуры. В Республике Беларусь доверие населения к цифровым финансовым инструментам находится в стадии активного формирования, поэтому любая техническая ошибка при совершении транзакции может фатально сказаться на репутации проекта. Выбирая платформу, необходимо убедиться в её интеграции с надежными банковскими шлюзами и поддержке национальных платежных инструментов, таких как система ЕРИП или карты платежной системы Белкарт. Платформа, обеспечивающая бесшовный и безопасный процесс оплаты, значительно повышает конверсию посетителей в инвесторов.</w:t>
      </w:r>
    </w:p>
    <w:p w14:paraId="6D4CF405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>Не менее важным фактором является пост-кампанийное обслуживание и наличие встроенной системы управления обязательствами. После успешного завершения сбора средств работа предпринимателя только начинается, и площадка должна предоставлять удобные инструменты для отчетности и обратной связи. Для проектов в сфере краудинвестинга это механизмы регулярного информирования акционеров, для вознаграждающей модели – системы управления логистикой и рассылкой призов. Если платформа прекращает поддержку проекта сразу после перевода средств, МСП рискует столкнуться с организационным хаосом.</w:t>
      </w:r>
    </w:p>
    <w:p w14:paraId="40D10BC2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Также следует учитывать долгосрочную стратегию развития самой платформы и её место в национальной инновационной экосистеме. Для белорусских малых предприятий выгодно выбирать те площадки, которые имеют партнерские отношения с бизнес-инкубаторами, технопарками или государственными фондами поддержки предпринимательства. Такое сотрудничество создает дополнительные возможности для кросс-продвижения и может стать «социальным лифтом», когда успешная краудфандинговая кампания открывает двери к более крупным институциональным инвестициям или льготному кредитованию. </w:t>
      </w:r>
    </w:p>
    <w:p w14:paraId="696784EB">
      <w:pPr>
        <w:shd w:val="clear" w:color="auto" w:fill="FFFFFF"/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szCs w:val="24"/>
          <w:highlight w:val="none"/>
          <w:lang w:val="ru-RU"/>
        </w:rPr>
        <w:t xml:space="preserve">Наконец, субъектам МСП стоит оценивать пользовательский интерфейс платформы с точки зрения потенциального инвестора. В эпоху доминирования мобильного трафика критически важно, чтобы страница проекта корректно и привлекательно отображалась на смартфонах, а процесс регистрации и внесения средств занимал минимальное количество времени. Если интерфейс площадки перегружен, сложен или морально устарел, это неизбежно приведет к оттоку потенциальных сторонников, независимо от гениальности самой бизнес-идеи. </w:t>
      </w:r>
    </w:p>
    <w:p w14:paraId="038D54C5">
      <w:pPr>
        <w:spacing w:line="240" w:lineRule="auto"/>
        <w:ind w:left="0" w:leftChars="0" w:right="38" w:rightChars="19" w:firstLine="300" w:firstLineChars="0"/>
        <w:jc w:val="both"/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Оценка преимуществ и рисков позволила констатировать, что краудфандинг является высокоэффективным, но в то же время рискованным инструментом. К безусловным плюсам относятся доступ к беззалоговому капиталу, бесплатный PR и возможность предпродаж. Однако сопутствующие угрозы, такие как репутационные издержки при срыве обязательств, риски кражи интеллектуальной собственности и сложности операционного менеджмента при избыточном спросе, требуют от предпринимателей высокого уровня организационной дисциплины. Рекомендации по повышению эффективности краудфандинга для белорусских МСП сводятся к необходимости тщательной предварительной подготовки контента, ведению открытого диалога с сообществом, детальному финансовому планированию и защите интеллектуальных прав до момента публичного размещения проекта.</w:t>
      </w:r>
    </w:p>
    <w:p w14:paraId="13CB973F"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44" w:afterAutospacing="0" w:line="240" w:lineRule="auto"/>
        <w:ind w:left="0" w:leftChars="0" w:right="0" w:rightChars="0" w:firstLine="300" w:firstLineChars="0"/>
        <w:jc w:val="both"/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Подводя итог, можно утверждать, что для Республики Беларусь развитие краудфандинга является стратегически важным направлением цифровизации финансового сектора. Также внедрение блокчейн-краудфандинга становится реальным в Беларуси, так как в начале 2026 года в Беларуси Президентом РБ  подписан указ о легализации криптобанков, которые смогут предоставлять услуги в цифровых знаках (токенах). Данный инструмент способен стать катализатором инновационной активности малого бизнеса, обеспечивая его необходимыми ресурсами в условиях ограниченного доступа к традиционному кредитованию. Дальнейшее укрепление законодательной базы и популяризация культуры коллективного инвестирования позволят краудфандингу занять достойное место в системе поддержки предпринимательства, способствуя устойчивому экономическому росту и повышению конкурентоспособности национальной экономики в глобальной цифровой среде.</w:t>
      </w:r>
    </w:p>
    <w:p w14:paraId="260D4A73">
      <w:pPr>
        <w:spacing w:line="240" w:lineRule="auto"/>
        <w:ind w:left="0" w:leftChars="0" w:right="38" w:rightChars="19" w:firstLine="300" w:firstLineChars="0"/>
        <w:jc w:val="center"/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ascii="Times New Roman" w:hAnsi="Times New Roman" w:eastAsia="Times New Roman" w:cs="Times New Roman"/>
          <w:b/>
          <w:sz w:val="24"/>
          <w:highlight w:val="none"/>
          <w:lang w:eastAsia="ru-RU"/>
        </w:rPr>
        <w:t>Библиографический список</w:t>
      </w:r>
    </w:p>
    <w:p w14:paraId="1EF83F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1. Гусева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>Д. Е. Краудфандинг: сущность, преимущества и риски // Современная наука: актуальные проблемы теории и практики. Серия: Экономика и право.</w:t>
      </w:r>
      <w:r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ru-RU"/>
        </w:rPr>
        <w:t xml:space="preserve">2014. № 9-10. С. 30-34. </w:t>
      </w:r>
    </w:p>
    <w:p w14:paraId="676ED77D">
      <w:pPr>
        <w:spacing w:line="240" w:lineRule="auto"/>
        <w:rPr>
          <w:rFonts w:hint="default" w:ascii="Times New Roman" w:hAnsi="Times New Roman" w:cs="Times New Roman"/>
          <w:color w:val="000000"/>
          <w:sz w:val="24"/>
          <w:szCs w:val="24"/>
          <w:highlight w:val="none"/>
          <w:shd w:val="clear" w:color="auto" w:fill="FFFFFF"/>
          <w:lang w:val="en-US" w:eastAsia="ru-RU"/>
        </w:rPr>
      </w:pPr>
    </w:p>
    <w:p w14:paraId="625BB5B4">
      <w:pPr>
        <w:spacing w:after="0" w:line="240" w:lineRule="auto"/>
        <w:ind w:left="-540" w:firstLine="540"/>
        <w:jc w:val="center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eastAsia="Calibri" w:cs="Times New Roman"/>
          <w:b/>
          <w:sz w:val="24"/>
        </w:rPr>
        <w:t>Информация об авторах</w:t>
      </w:r>
    </w:p>
    <w:p w14:paraId="50E2C6FF">
      <w:pPr>
        <w:spacing w:after="0" w:line="240" w:lineRule="auto"/>
        <w:ind w:left="0" w:leftChars="0" w:firstLine="300" w:firstLineChars="0"/>
        <w:jc w:val="both"/>
        <w:rPr>
          <w:rFonts w:hint="default" w:ascii="Times New Roman" w:hAnsi="Times New Roman" w:eastAsia="Calibri" w:cs="Times New Roman"/>
          <w:sz w:val="24"/>
          <w:lang w:val="ru-RU"/>
        </w:rPr>
      </w:pPr>
      <w:r>
        <w:rPr>
          <w:rFonts w:ascii="Times New Roman" w:hAnsi="Times New Roman" w:eastAsia="Calibri" w:cs="Times New Roman"/>
          <w:sz w:val="24"/>
          <w:lang w:val="ru-RU"/>
        </w:rPr>
        <w:t>Макарова</w:t>
      </w:r>
      <w:r>
        <w:rPr>
          <w:rFonts w:hint="default" w:ascii="Times New Roman" w:hAnsi="Times New Roman" w:eastAsia="Calibri" w:cs="Times New Roman"/>
          <w:sz w:val="24"/>
          <w:lang w:val="ru-RU"/>
        </w:rPr>
        <w:t xml:space="preserve"> Людмила Николаевна (Республика Беларусь, Минск) - кандидат физико-математических наук, доцент, Академия управления при Президенте Республики Беларусь, г.</w:t>
      </w:r>
      <w:r>
        <w:rPr>
          <w:rFonts w:hint="default" w:ascii="Times New Roman" w:hAnsi="Times New Roman" w:eastAsia="Calibri" w:cs="Times New Roman"/>
          <w:sz w:val="24"/>
          <w:lang w:val="en-US"/>
        </w:rPr>
        <w:t xml:space="preserve"> </w:t>
      </w:r>
      <w:r>
        <w:rPr>
          <w:rFonts w:hint="default" w:ascii="Times New Roman" w:hAnsi="Times New Roman" w:eastAsia="Calibri" w:cs="Times New Roman"/>
          <w:sz w:val="24"/>
          <w:lang w:val="ru-RU"/>
        </w:rPr>
        <w:t xml:space="preserve">Минск, ул. Московская, 17 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begin"/>
      </w:r>
      <w:r>
        <w:rPr>
          <w:rFonts w:hint="default" w:ascii="Times New Roman" w:hAnsi="Times New Roman" w:eastAsia="Calibri" w:cs="Times New Roman"/>
          <w:sz w:val="24"/>
          <w:lang w:val="en-US"/>
        </w:rPr>
        <w:instrText xml:space="preserve"> HYPERLINK "mailto:makarova_ln@pac.by" </w:instrTex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separate"/>
      </w:r>
      <w:r>
        <w:rPr>
          <w:rStyle w:val="4"/>
          <w:rFonts w:hint="default" w:ascii="Times New Roman" w:hAnsi="Times New Roman" w:eastAsia="Calibri" w:cs="Times New Roman"/>
          <w:sz w:val="24"/>
          <w:lang w:val="en-US"/>
        </w:rPr>
        <w:t>makarova_ln@pac.by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end"/>
      </w:r>
      <w:r>
        <w:rPr>
          <w:rFonts w:hint="default" w:ascii="Times New Roman" w:hAnsi="Times New Roman" w:eastAsia="Calibri" w:cs="Times New Roman"/>
          <w:sz w:val="24"/>
          <w:lang w:val="ru-RU"/>
        </w:rPr>
        <w:t xml:space="preserve"> </w:t>
      </w:r>
    </w:p>
    <w:p w14:paraId="2763A41C">
      <w:pPr>
        <w:spacing w:after="0" w:line="240" w:lineRule="auto"/>
        <w:ind w:left="0" w:leftChars="0" w:firstLine="400" w:firstLineChars="0"/>
        <w:jc w:val="both"/>
        <w:rPr>
          <w:rFonts w:ascii="Times New Roman" w:hAnsi="Times New Roman" w:eastAsia="Calibri" w:cs="Times New Roman"/>
          <w:b/>
          <w:sz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Голубцова Арина Викторовна </w:t>
      </w:r>
      <w:r>
        <w:rPr>
          <w:rFonts w:hint="default" w:ascii="Times New Roman" w:hAnsi="Times New Roman" w:eastAsia="Calibri" w:cs="Times New Roman"/>
          <w:sz w:val="24"/>
          <w:lang w:val="ru-RU"/>
        </w:rPr>
        <w:t>(Республика Беларусь, Минск) - магистрант, БНТУ, г.</w:t>
      </w:r>
      <w:r>
        <w:rPr>
          <w:rFonts w:hint="default" w:ascii="Times New Roman" w:hAnsi="Times New Roman" w:eastAsia="Calibri" w:cs="Times New Roman"/>
          <w:sz w:val="24"/>
          <w:lang w:val="en-US"/>
        </w:rPr>
        <w:t xml:space="preserve"> </w:t>
      </w:r>
      <w:r>
        <w:rPr>
          <w:rFonts w:hint="default" w:ascii="Times New Roman" w:hAnsi="Times New Roman" w:eastAsia="Calibri" w:cs="Times New Roman"/>
          <w:sz w:val="24"/>
          <w:lang w:val="ru-RU"/>
        </w:rPr>
        <w:t xml:space="preserve">Минск, проспект Независимости, 65 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begin"/>
      </w:r>
      <w:r>
        <w:rPr>
          <w:rFonts w:hint="default" w:ascii="Times New Roman" w:hAnsi="Times New Roman" w:eastAsia="Calibri" w:cs="Times New Roman"/>
          <w:sz w:val="24"/>
          <w:lang w:val="en-US"/>
        </w:rPr>
        <w:instrText xml:space="preserve"> HYPERLINK "mailto:arina.golubtsova.03@bk.ru" </w:instrTex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separate"/>
      </w:r>
      <w:r>
        <w:rPr>
          <w:rStyle w:val="4"/>
          <w:rFonts w:hint="default" w:ascii="Times New Roman" w:hAnsi="Times New Roman" w:eastAsia="Calibri" w:cs="Times New Roman"/>
          <w:sz w:val="24"/>
          <w:lang w:val="en-US"/>
        </w:rPr>
        <w:t>arina.golubtsova.03@bk.ru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end"/>
      </w:r>
    </w:p>
    <w:p w14:paraId="5ECDD483">
      <w:pPr>
        <w:spacing w:after="0" w:line="240" w:lineRule="auto"/>
        <w:ind w:left="-540" w:firstLine="540"/>
        <w:jc w:val="right"/>
        <w:rPr>
          <w:rFonts w:ascii="Times New Roman" w:hAnsi="Times New Roman" w:eastAsia="Calibri" w:cs="Times New Roman"/>
          <w:b/>
          <w:sz w:val="24"/>
        </w:rPr>
      </w:pPr>
    </w:p>
    <w:p w14:paraId="6187AD69">
      <w:pPr>
        <w:wordWrap w:val="0"/>
        <w:spacing w:after="0" w:line="240" w:lineRule="auto"/>
        <w:ind w:left="-540" w:firstLine="540"/>
        <w:jc w:val="right"/>
        <w:rPr>
          <w:rFonts w:hint="default" w:ascii="Times New Roman" w:hAnsi="Times New Roman" w:eastAsia="Calibri" w:cs="Times New Roman"/>
          <w:b/>
          <w:sz w:val="24"/>
          <w:lang w:val="en-US"/>
        </w:rPr>
      </w:pPr>
      <w:r>
        <w:rPr>
          <w:rFonts w:hint="default" w:ascii="Times New Roman" w:hAnsi="Times New Roman" w:eastAsia="Calibri" w:cs="Times New Roman"/>
          <w:b/>
          <w:sz w:val="24"/>
          <w:lang w:val="en-US"/>
        </w:rPr>
        <w:t>Makarava L.M, Galubtsova A.V.</w:t>
      </w:r>
    </w:p>
    <w:p w14:paraId="42864856">
      <w:pPr>
        <w:ind w:left="0" w:leftChars="0" w:right="38" w:rightChars="19" w:firstLine="0" w:firstLineChars="0"/>
        <w:jc w:val="center"/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en-US"/>
        </w:rPr>
        <w:t>CROWD</w:t>
      </w:r>
      <w:r>
        <w:rPr>
          <w:rFonts w:hint="default" w:ascii="Times New Roman" w:hAnsi="Times New Roman" w:eastAsia="Times New Roman" w:cs="Times New Roman"/>
          <w:b/>
          <w:bCs/>
          <w:color w:val="000000"/>
          <w:sz w:val="24"/>
          <w:szCs w:val="24"/>
          <w:lang w:val="ru-RU"/>
        </w:rPr>
        <w:t>FUNDING</w:t>
      </w:r>
      <w:r>
        <w:rPr>
          <w:rFonts w:hint="default" w:ascii="Times New Roman" w:hAnsi="Times New Roman" w:eastAsia="Times New Roman" w:cs="Times New Roman"/>
          <w:b/>
          <w:bCs/>
          <w:color w:val="000000"/>
          <w:sz w:val="24"/>
          <w:szCs w:val="24"/>
          <w:lang w:val="en-US"/>
        </w:rPr>
        <w:t xml:space="preserve"> AS A </w:t>
      </w:r>
      <w:r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en-US"/>
        </w:rPr>
        <w:t xml:space="preserve">DEVELOPMENT </w:t>
      </w:r>
      <w:r>
        <w:rPr>
          <w:rFonts w:hint="default" w:ascii="Times New Roman" w:hAnsi="Times New Roman" w:eastAsia="Times New Roman" w:cs="Times New Roman"/>
          <w:b/>
          <w:bCs/>
          <w:color w:val="000000"/>
          <w:sz w:val="24"/>
          <w:szCs w:val="24"/>
          <w:lang w:val="en-US"/>
        </w:rPr>
        <w:t xml:space="preserve">TOOL FOR SMALL AND MEDIUM-SIZED  </w:t>
      </w:r>
      <w:r>
        <w:rPr>
          <w:rFonts w:hint="default" w:ascii="Times New Roman" w:hAnsi="Times New Roman" w:cs="Times New Roman"/>
          <w:b/>
          <w:bCs/>
          <w:color w:val="auto"/>
          <w:sz w:val="24"/>
          <w:szCs w:val="24"/>
          <w:highlight w:val="none"/>
          <w:lang w:val="en-US"/>
        </w:rPr>
        <w:t xml:space="preserve">ENTREPRENEURS </w:t>
      </w:r>
      <w:r>
        <w:rPr>
          <w:rFonts w:hint="default" w:ascii="Times New Roman" w:hAnsi="Times New Roman" w:cs="Times New Roman"/>
          <w:b/>
          <w:bCs/>
          <w:sz w:val="24"/>
          <w:szCs w:val="24"/>
          <w:highlight w:val="none"/>
          <w:lang w:val="en-US"/>
        </w:rPr>
        <w:t>IN THE DIGITAL ECONOMY IN THE REPUBLIC OF BELARUS</w:t>
      </w:r>
    </w:p>
    <w:p w14:paraId="573D72CC">
      <w:pPr>
        <w:spacing w:after="0" w:line="240" w:lineRule="auto"/>
        <w:jc w:val="both"/>
        <w:rPr>
          <w:rFonts w:hint="default" w:ascii="Times New Roman" w:hAnsi="Times New Roman" w:eastAsia="Calibri" w:cs="Times New Roman"/>
          <w:b w:val="0"/>
          <w:bCs/>
          <w:sz w:val="24"/>
          <w:lang w:val="en-US"/>
        </w:rPr>
      </w:pPr>
    </w:p>
    <w:p w14:paraId="067FB6F8">
      <w:pPr>
        <w:ind w:left="0" w:leftChars="0" w:right="38" w:rightChars="19" w:firstLine="300" w:firstLineChars="0"/>
        <w:jc w:val="both"/>
        <w:rPr>
          <w:rFonts w:hint="default" w:ascii="Times New Roman" w:hAnsi="Times New Roman" w:eastAsia="Times New Roman" w:cs="Times New Roman"/>
          <w:b/>
          <w:sz w:val="24"/>
          <w:szCs w:val="24"/>
          <w:highlight w:val="none"/>
          <w:lang w:eastAsia="ru-RU"/>
        </w:rPr>
      </w:pPr>
      <w:r>
        <w:rPr>
          <w:rFonts w:hint="default" w:ascii="Times New Roman" w:hAnsi="Times New Roman" w:eastAsia="Calibri" w:cs="Times New Roman"/>
          <w:b/>
          <w:sz w:val="24"/>
          <w:lang w:val="en-US"/>
        </w:rPr>
        <w:t xml:space="preserve">Annotation </w: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</w:rPr>
        <w:t xml:space="preserve">Crowdfunding is not just an alternative way of raising money, but a complex socio-economic model based on the principles of capital democratization and digital cooperation. The classification of crowdfunding into reward-based, debt-based, and equity-based crowdfunding has revealed that each model meets the needs of businesses at different stages of their life cycle. </w: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  <w:lang w:val="en-US"/>
        </w:rPr>
        <w:t xml:space="preserve">It </w: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</w:rPr>
        <w:t>has identified the criteria for choosing the optimal crowdfunding platform, which is particularly relevant for the Belarusian business context.</w:t>
      </w:r>
    </w:p>
    <w:p w14:paraId="78549184">
      <w:pPr>
        <w:spacing w:after="0" w:line="240" w:lineRule="auto"/>
        <w:ind w:left="-540" w:firstLine="840" w:firstLineChars="0"/>
        <w:jc w:val="both"/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i/>
          <w:iCs/>
          <w:sz w:val="24"/>
          <w:lang w:val="en-US" w:eastAsia="ru-RU"/>
        </w:rPr>
        <w:t>Key words</w:t>
      </w:r>
      <w:r>
        <w:rPr>
          <w:rFonts w:hint="default" w:ascii="Times New Roman" w:hAnsi="Times New Roman" w:eastAsia="Times New Roman" w:cs="Times New Roman"/>
          <w:b w:val="0"/>
          <w:bCs/>
          <w:i/>
          <w:iCs/>
          <w:sz w:val="24"/>
          <w:lang w:val="en-US" w:eastAsia="ru-RU"/>
        </w:rPr>
        <w:t xml:space="preserve"> </w:t>
      </w: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 xml:space="preserve"> </w:t>
      </w:r>
      <w:r>
        <w:rPr>
          <w:rFonts w:hint="default" w:ascii="Times New Roman" w:hAnsi="Times New Roman" w:eastAsia="Arial" w:cs="Times New Roman"/>
          <w:i/>
          <w:iCs/>
          <w:caps w:val="0"/>
          <w:color w:val="000000"/>
          <w:spacing w:val="0"/>
          <w:sz w:val="24"/>
          <w:szCs w:val="24"/>
        </w:rPr>
        <w:t>digital economy, crowdfunding, online platforms, blockchain</w:t>
      </w:r>
    </w:p>
    <w:p w14:paraId="508C3203">
      <w:pPr>
        <w:spacing w:after="0" w:line="240" w:lineRule="auto"/>
        <w:ind w:left="-540" w:firstLine="540"/>
        <w:jc w:val="center"/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</w:pPr>
    </w:p>
    <w:p w14:paraId="3F34E7AA">
      <w:pPr>
        <w:spacing w:after="0" w:line="240" w:lineRule="auto"/>
        <w:ind w:left="-540" w:firstLine="540"/>
        <w:jc w:val="center"/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  <w:t>Informaion about authors</w:t>
      </w:r>
    </w:p>
    <w:p w14:paraId="25B22578">
      <w:pPr>
        <w:spacing w:after="0" w:line="240" w:lineRule="auto"/>
        <w:ind w:left="0" w:leftChars="0" w:firstLine="400" w:firstLineChars="0"/>
        <w:jc w:val="both"/>
        <w:rPr>
          <w:rFonts w:hint="default" w:ascii="Times New Roman" w:hAnsi="Times New Roman" w:eastAsia="Calibri" w:cs="Times New Roman"/>
          <w:sz w:val="24"/>
          <w:lang w:val="en-US"/>
        </w:rPr>
      </w:pP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 xml:space="preserve">Makarava Liudmila Mikalaeuna (the Republic of Belarus) - PhD, Associate Professor,  Academy of Public Administration under the President of the Republic of Belarus, Minsk, vul. Maskouskaia, 17, 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begin"/>
      </w:r>
      <w:r>
        <w:rPr>
          <w:rFonts w:hint="default" w:ascii="Times New Roman" w:hAnsi="Times New Roman" w:eastAsia="Calibri" w:cs="Times New Roman"/>
          <w:sz w:val="24"/>
          <w:lang w:val="en-US"/>
        </w:rPr>
        <w:instrText xml:space="preserve"> HYPERLINK "mailto:makarova_ln@pac.by" </w:instrTex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separate"/>
      </w:r>
      <w:r>
        <w:rPr>
          <w:rStyle w:val="4"/>
          <w:rFonts w:hint="default" w:ascii="Times New Roman" w:hAnsi="Times New Roman" w:eastAsia="Calibri" w:cs="Times New Roman"/>
          <w:sz w:val="24"/>
          <w:lang w:val="en-US"/>
        </w:rPr>
        <w:t>makarova_ln@pac.by</w:t>
      </w:r>
      <w:r>
        <w:rPr>
          <w:rFonts w:hint="default" w:ascii="Times New Roman" w:hAnsi="Times New Roman" w:eastAsia="Calibri" w:cs="Times New Roman"/>
          <w:sz w:val="24"/>
          <w:lang w:val="en-US"/>
        </w:rPr>
        <w:fldChar w:fldCharType="end"/>
      </w:r>
      <w:r>
        <w:rPr>
          <w:rFonts w:hint="default" w:ascii="Times New Roman" w:hAnsi="Times New Roman" w:eastAsia="Calibri" w:cs="Times New Roman"/>
          <w:sz w:val="24"/>
          <w:lang w:val="ru-RU"/>
        </w:rPr>
        <w:t xml:space="preserve"> </w:t>
      </w:r>
    </w:p>
    <w:p w14:paraId="6D505D92">
      <w:pPr>
        <w:spacing w:after="0" w:line="240" w:lineRule="auto"/>
        <w:ind w:left="0" w:leftChars="0" w:firstLine="400" w:firstLineChars="0"/>
        <w:jc w:val="both"/>
        <w:rPr>
          <w:rFonts w:hint="default" w:ascii="Times New Roman" w:hAnsi="Times New Roman" w:eastAsia="Calibri" w:cs="Times New Roman"/>
          <w:sz w:val="24"/>
          <w:szCs w:val="24"/>
          <w:lang w:val="en-US"/>
        </w:rPr>
      </w:pPr>
      <w:r>
        <w:rPr>
          <w:rFonts w:hint="default" w:ascii="Times New Roman" w:hAnsi="Times New Roman" w:eastAsia="Calibri" w:cs="Times New Roman"/>
          <w:b w:val="0"/>
          <w:bCs/>
          <w:sz w:val="24"/>
          <w:lang w:val="en-US"/>
        </w:rPr>
        <w:t xml:space="preserve">Galubtsova ArinaViktarauna </w:t>
      </w:r>
      <w:r>
        <w:rPr>
          <w:rFonts w:hint="default" w:ascii="Times New Roman" w:hAnsi="Times New Roman" w:eastAsia="Times New Roman" w:cs="Times New Roman"/>
          <w:b w:val="0"/>
          <w:bCs/>
          <w:sz w:val="24"/>
          <w:lang w:val="en-US" w:eastAsia="ru-RU"/>
        </w:rPr>
        <w:t xml:space="preserve"> (the Republic of Belarus) - </w: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</w:rPr>
        <w:t>undergraduate</w: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  <w:lang w:val="ru-RU"/>
        </w:rPr>
        <w:t xml:space="preserve">, </w: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</w:rPr>
        <w:t>Belarusian National Technical University</w:t>
      </w:r>
      <w:r>
        <w:rPr>
          <w:rFonts w:hint="default" w:ascii="Times New Roman" w:hAnsi="Times New Roman" w:eastAsia="Calibri" w:cs="Times New Roman"/>
          <w:sz w:val="24"/>
          <w:szCs w:val="24"/>
          <w:lang w:val="en-US"/>
        </w:rPr>
        <w:t xml:space="preserve">, pr. Nezalezhnasti, 70, </w:t>
      </w:r>
      <w:r>
        <w:rPr>
          <w:rFonts w:hint="default" w:ascii="Times New Roman" w:hAnsi="Times New Roman" w:eastAsia="Calibri" w:cs="Times New Roman"/>
          <w:sz w:val="24"/>
          <w:szCs w:val="24"/>
          <w:highlight w:val="none"/>
          <w:lang w:val="en-US"/>
        </w:rPr>
        <w:fldChar w:fldCharType="begin"/>
      </w:r>
      <w:r>
        <w:rPr>
          <w:rFonts w:hint="default" w:ascii="Times New Roman" w:hAnsi="Times New Roman" w:eastAsia="Calibri" w:cs="Times New Roman"/>
          <w:sz w:val="24"/>
          <w:szCs w:val="24"/>
          <w:highlight w:val="none"/>
          <w:lang w:val="en-US"/>
        </w:rPr>
        <w:instrText xml:space="preserve"> HYPERLINK "mailto:arina.golubtsova.03@bk.ru" </w:instrText>
      </w:r>
      <w:r>
        <w:rPr>
          <w:rFonts w:hint="default" w:ascii="Times New Roman" w:hAnsi="Times New Roman" w:eastAsia="Calibri" w:cs="Times New Roman"/>
          <w:sz w:val="24"/>
          <w:szCs w:val="24"/>
          <w:highlight w:val="none"/>
          <w:lang w:val="en-US"/>
        </w:rPr>
        <w:fldChar w:fldCharType="separate"/>
      </w:r>
      <w:r>
        <w:rPr>
          <w:rStyle w:val="4"/>
          <w:rFonts w:hint="default" w:ascii="Times New Roman" w:hAnsi="Times New Roman" w:eastAsia="Calibri" w:cs="Times New Roman"/>
          <w:sz w:val="24"/>
          <w:szCs w:val="24"/>
          <w:highlight w:val="none"/>
          <w:lang w:val="en-US"/>
        </w:rPr>
        <w:t>arina.golubtsova.03@bk.ru</w:t>
      </w:r>
      <w:r>
        <w:rPr>
          <w:rFonts w:hint="default" w:ascii="Times New Roman" w:hAnsi="Times New Roman" w:eastAsia="Calibri" w:cs="Times New Roman"/>
          <w:sz w:val="24"/>
          <w:szCs w:val="24"/>
          <w:highlight w:val="none"/>
          <w:lang w:val="en-US"/>
        </w:rPr>
        <w:fldChar w:fldCharType="end"/>
      </w:r>
    </w:p>
    <w:p w14:paraId="129CC7CA">
      <w:pPr>
        <w:spacing w:after="0" w:line="240" w:lineRule="auto"/>
        <w:jc w:val="both"/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</w:pPr>
    </w:p>
    <w:p w14:paraId="72E16780">
      <w:pPr>
        <w:spacing w:after="0" w:line="240" w:lineRule="auto"/>
        <w:ind w:left="-540" w:firstLine="540"/>
        <w:jc w:val="center"/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</w:pPr>
      <w:r>
        <w:rPr>
          <w:rFonts w:hint="default" w:ascii="Times New Roman" w:hAnsi="Times New Roman" w:eastAsia="Times New Roman" w:cs="Times New Roman"/>
          <w:b/>
          <w:sz w:val="24"/>
          <w:lang w:val="en-US" w:eastAsia="ru-RU"/>
        </w:rPr>
        <w:t>Bibliographic list</w:t>
      </w:r>
    </w:p>
    <w:p w14:paraId="5A54CAF9">
      <w:pPr>
        <w:numPr>
          <w:ilvl w:val="0"/>
          <w:numId w:val="1"/>
        </w:numPr>
        <w:spacing w:after="0" w:line="240" w:lineRule="auto"/>
        <w:ind w:left="0" w:leftChars="0" w:firstLine="320" w:firstLineChars="0"/>
        <w:jc w:val="both"/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  <w:lang w:val="en-US" w:eastAsia="ru-RU"/>
        </w:rPr>
      </w:pPr>
      <w:r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</w:rPr>
        <w:t xml:space="preserve">Guseva D. E. Crowdfunding: Essence, Advantages, and Risks // Modern Science: Current Issues of Theory and </w:t>
      </w:r>
      <w:bookmarkStart w:id="0" w:name="_GoBack"/>
      <w:bookmarkEnd w:id="0"/>
      <w:r>
        <w:rPr>
          <w:rFonts w:hint="default" w:ascii="Times New Roman" w:hAnsi="Times New Roman" w:eastAsia="Arial" w:cs="Times New Roman"/>
          <w:i w:val="0"/>
          <w:iCs w:val="0"/>
          <w:caps w:val="0"/>
          <w:color w:val="000000"/>
          <w:spacing w:val="0"/>
          <w:sz w:val="24"/>
          <w:szCs w:val="24"/>
        </w:rPr>
        <w:t xml:space="preserve">Practice. Series: Economics and Law. 2014. No. 9-10. Pp. 30-34. </w:t>
      </w:r>
    </w:p>
    <w:sectPr>
      <w:pgSz w:w="11906" w:h="16838"/>
      <w:pgMar w:top="1134" w:right="1134" w:bottom="1134" w:left="1134" w:header="720" w:footer="720" w:gutter="0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26C8093"/>
    <w:multiLevelType w:val="singleLevel"/>
    <w:tmpl w:val="B26C8093"/>
    <w:lvl w:ilvl="0" w:tentative="0">
      <w:start w:val="1"/>
      <w:numFmt w:val="decimal"/>
      <w:suff w:val="space"/>
      <w:lvlText w:val="%1."/>
      <w:lvlJc w:val="left"/>
      <w:pPr>
        <w:ind w:left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30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BB4204"/>
    <w:rsid w:val="05301F0E"/>
    <w:rsid w:val="082D18F6"/>
    <w:rsid w:val="11BB4204"/>
    <w:rsid w:val="15297246"/>
    <w:rsid w:val="25167319"/>
    <w:rsid w:val="2BE27A8A"/>
    <w:rsid w:val="35F32813"/>
    <w:rsid w:val="37387627"/>
    <w:rsid w:val="37D31A24"/>
    <w:rsid w:val="454050A9"/>
    <w:rsid w:val="481C455D"/>
    <w:rsid w:val="4D1A110D"/>
    <w:rsid w:val="4FD7228A"/>
    <w:rsid w:val="5A82610B"/>
    <w:rsid w:val="5CD34356"/>
    <w:rsid w:val="6BF36128"/>
    <w:rsid w:val="6CFE56E1"/>
    <w:rsid w:val="7B1D2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2"/>
    <w:qFormat/>
    <w:uiPriority w:val="0"/>
    <w:rPr>
      <w:color w:val="0000FF"/>
      <w:u w:val="single"/>
    </w:rPr>
  </w:style>
  <w:style w:type="character" w:styleId="5">
    <w:name w:val="Strong"/>
    <w:basedOn w:val="2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2615</Words>
  <Characters>19888</Characters>
  <Lines>0</Lines>
  <Paragraphs>0</Paragraphs>
  <TotalTime>21</TotalTime>
  <ScaleCrop>false</ScaleCrop>
  <LinksUpToDate>false</LinksUpToDate>
  <CharactersWithSpaces>22470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2026-05-17T21:55:00Z</dcterms:created>
  <dc:creator>admin</dc:creator>
  <cp:lastModifiedBy>admin</cp:lastModifiedBy>
  <dcterms:modified xsi:type="dcterms:W3CDTF">2026-05-18T10:09:00Z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1033-12.1.0.25242</vt:lpwstr>
  </property>
  <property fmtid="{D5CDD505-2E9C-101B-9397-08002B2CF9AE}" pid="3" name="ICV">
    <vt:lpwstr>45E566443EF74C83A360CE2D946ABCCC_13</vt:lpwstr>
  </property>
  <property fmtid="{D5CDD505-2E9C-101B-9397-08002B2CF9AE}" pid="4" name="KSOTemplateDocerSaveRecord">
    <vt:lpwstr>eyJoZGlkIjoiNDYxNTY2M2RmZGUzZDA4MjY1MWRjNWUzZmNkYjNkOTUifQ==</vt:lpwstr>
  </property>
</Properties>
</file>