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9A6AF9">
      <w:pPr>
        <w:spacing w:after="0" w:line="240" w:lineRule="auto"/>
        <w:ind w:left="0" w:leftChars="0" w:firstLine="660" w:firstLineChars="275"/>
        <w:rPr>
          <w:rFonts w:hint="default" w:ascii="Times New Roman" w:hAnsi="Times New Roman" w:eastAsia="Times New Roman" w:cs="Times New Roman"/>
          <w:b/>
          <w:sz w:val="24"/>
          <w:lang w:val="en-US" w:eastAsia="ru-RU"/>
        </w:rPr>
      </w:pPr>
      <w:r>
        <w:rPr>
          <w:rFonts w:ascii="Times New Roman" w:hAnsi="Times New Roman" w:eastAsia="Times New Roman" w:cs="Times New Roman"/>
          <w:b/>
          <w:sz w:val="24"/>
          <w:lang w:eastAsia="ru-RU"/>
        </w:rPr>
        <w:t>УДК</w:t>
      </w:r>
      <w:r>
        <w:rPr>
          <w:rFonts w:hint="default" w:ascii="Times New Roman" w:hAnsi="Times New Roman" w:eastAsia="Times New Roman" w:cs="Times New Roman"/>
          <w:b/>
          <w:sz w:val="24"/>
          <w:lang w:val="en-US" w:eastAsia="ru-RU"/>
        </w:rPr>
        <w:t xml:space="preserve"> 332</w:t>
      </w:r>
    </w:p>
    <w:p w14:paraId="45C09C44">
      <w:pPr>
        <w:spacing w:after="0" w:line="240" w:lineRule="auto"/>
        <w:ind w:left="0" w:leftChars="0" w:firstLine="660" w:firstLineChars="275"/>
        <w:rPr>
          <w:rFonts w:hint="default" w:ascii="Times New Roman" w:hAnsi="Times New Roman" w:eastAsia="Times New Roman" w:cs="Times New Roman"/>
          <w:b/>
          <w:sz w:val="24"/>
          <w:lang w:val="en-US" w:eastAsia="ru-RU"/>
        </w:rPr>
      </w:pPr>
    </w:p>
    <w:p w14:paraId="25AA4844">
      <w:pPr>
        <w:wordWrap w:val="0"/>
        <w:spacing w:after="0" w:line="240" w:lineRule="auto"/>
        <w:ind w:left="0" w:leftChars="0" w:firstLine="660" w:firstLineChars="275"/>
        <w:jc w:val="right"/>
        <w:rPr>
          <w:rFonts w:hint="default" w:ascii="Times New Roman" w:hAnsi="Times New Roman" w:eastAsia="Times New Roman" w:cs="Times New Roman"/>
          <w:b/>
          <w:sz w:val="24"/>
          <w:lang w:val="en-US" w:eastAsia="ru-RU"/>
        </w:rPr>
      </w:pPr>
      <w:r>
        <w:rPr>
          <w:rFonts w:hint="default" w:ascii="Times New Roman" w:hAnsi="Times New Roman" w:eastAsia="Times New Roman" w:cs="Times New Roman"/>
          <w:b/>
          <w:sz w:val="24"/>
          <w:lang w:val="ru-RU" w:eastAsia="ru-RU"/>
        </w:rPr>
        <w:t>Мухаметова</w:t>
      </w:r>
      <w:r>
        <w:rPr>
          <w:rFonts w:hint="default" w:ascii="Times New Roman" w:hAnsi="Times New Roman" w:eastAsia="Times New Roman" w:cs="Times New Roman"/>
          <w:b/>
          <w:sz w:val="24"/>
          <w:lang w:val="en-US" w:eastAsia="ru-RU"/>
        </w:rPr>
        <w:t xml:space="preserve"> А.Д.</w:t>
      </w:r>
    </w:p>
    <w:p w14:paraId="08EFD056">
      <w:pPr>
        <w:spacing w:after="0" w:line="240" w:lineRule="auto"/>
        <w:ind w:left="0" w:leftChars="0" w:firstLine="0" w:firstLineChars="0"/>
        <w:jc w:val="center"/>
        <w:rPr>
          <w:rFonts w:hint="default" w:ascii="Times New Roman" w:hAnsi="Times New Roman" w:eastAsia="Times New Roman" w:cs="Times New Roman"/>
          <w:b/>
          <w:color w:val="auto"/>
          <w:sz w:val="24"/>
          <w:lang w:val="en-US" w:eastAsia="ru-RU"/>
        </w:rPr>
      </w:pPr>
      <w:r>
        <w:rPr>
          <w:rFonts w:hint="default" w:ascii="Times New Roman" w:hAnsi="Times New Roman" w:eastAsia="Times New Roman" w:cs="Times New Roman"/>
          <w:b/>
          <w:color w:val="auto"/>
          <w:sz w:val="24"/>
          <w:lang w:val="en-US" w:eastAsia="ru-RU"/>
        </w:rPr>
        <w:t>ФАКТОРЫ МЕЖРЕГИОНАЛЬНОЙ ВАРИАТИВНОСТИ ПРОИЗВОДИТЕЛЬНОСТИ ТРУДА В СУБЪЕКТАХ РОССИЙСКОЙ ФЕДЕРАЦИИ</w:t>
      </w:r>
    </w:p>
    <w:p w14:paraId="0338CD01">
      <w:pPr>
        <w:spacing w:after="0" w:line="240" w:lineRule="auto"/>
        <w:ind w:left="0" w:leftChars="0" w:firstLine="660" w:firstLineChars="275"/>
        <w:jc w:val="both"/>
        <w:rPr>
          <w:rFonts w:hint="default" w:ascii="Times New Roman" w:hAnsi="Times New Roman" w:eastAsia="Times New Roman" w:cs="Times New Roman"/>
          <w:b/>
          <w:color w:val="FF0000"/>
          <w:sz w:val="24"/>
          <w:lang w:val="en-US" w:eastAsia="ru-RU"/>
        </w:rPr>
      </w:pPr>
    </w:p>
    <w:p w14:paraId="61FA4F00">
      <w:pPr>
        <w:spacing w:after="0" w:line="240" w:lineRule="auto"/>
        <w:ind w:left="0" w:leftChars="0" w:firstLine="660" w:firstLineChars="275"/>
        <w:jc w:val="both"/>
        <w:rPr>
          <w:rFonts w:hint="default" w:ascii="Times New Roman" w:hAnsi="Times New Roman" w:eastAsia="Times New Roman" w:cs="Times New Roman"/>
          <w:b w:val="0"/>
          <w:bCs/>
          <w:color w:val="auto"/>
          <w:sz w:val="24"/>
          <w:lang w:val="ru-RU" w:eastAsia="ru-RU"/>
        </w:rPr>
      </w:pPr>
      <w:r>
        <w:rPr>
          <w:rFonts w:ascii="Times New Roman" w:hAnsi="Times New Roman" w:eastAsia="Times New Roman" w:cs="Times New Roman"/>
          <w:b w:val="0"/>
          <w:bCs/>
          <w:color w:val="auto"/>
          <w:sz w:val="24"/>
          <w:lang w:eastAsia="ru-RU"/>
        </w:rPr>
        <w:t>С</w:t>
      </w:r>
      <w:r>
        <w:rPr>
          <w:rFonts w:hint="default" w:ascii="Times New Roman" w:hAnsi="Times New Roman" w:eastAsia="Times New Roman" w:cs="Times New Roman"/>
          <w:b w:val="0"/>
          <w:bCs/>
          <w:color w:val="auto"/>
          <w:sz w:val="24"/>
          <w:lang w:val="en-US" w:eastAsia="ru-RU"/>
        </w:rPr>
        <w:t xml:space="preserve">татья посвящена исследованию детерминантов межрегиональной вариативности производительности труда с целью выявления факторов, формирующих пространственное неравенство. </w:t>
      </w:r>
      <w:r>
        <w:rPr>
          <w:rFonts w:hint="default" w:ascii="Times New Roman" w:hAnsi="Times New Roman" w:cs="Times New Roman"/>
          <w:color w:val="auto"/>
          <w:sz w:val="24"/>
          <w:szCs w:val="24"/>
          <w:lang w:val="ru-RU"/>
        </w:rPr>
        <w:t>В рамках исследования проанализированы показатели ВРП, ВРП на душу населения на 1 занятого, фондоотдача, фондовооруженость и др. Так, на межрегиональную вариативность производительности труда по субъектам РФ влияние оказывают территориальные особенности региона, специализация, фондоемкость и трудоемкость региона.</w:t>
      </w:r>
    </w:p>
    <w:p w14:paraId="6C31AFC2">
      <w:pPr>
        <w:spacing w:after="0" w:line="240" w:lineRule="auto"/>
        <w:ind w:left="0" w:leftChars="0" w:firstLine="660" w:firstLineChars="275"/>
        <w:jc w:val="both"/>
        <w:rPr>
          <w:rFonts w:hint="default" w:ascii="Times New Roman" w:hAnsi="Times New Roman" w:eastAsia="Times New Roman" w:cs="Times New Roman"/>
          <w:iCs/>
          <w:color w:val="auto"/>
          <w:sz w:val="24"/>
          <w:lang w:val="en-US" w:eastAsia="ru-RU"/>
        </w:rPr>
      </w:pPr>
      <w:r>
        <w:rPr>
          <w:rFonts w:hint="default" w:ascii="Times New Roman" w:hAnsi="Times New Roman" w:eastAsia="Times New Roman" w:cs="Times New Roman"/>
          <w:b/>
          <w:color w:val="FF0000"/>
          <w:sz w:val="24"/>
          <w:lang w:val="en-US" w:eastAsia="ru-RU"/>
        </w:rPr>
        <w:t xml:space="preserve"> </w:t>
      </w:r>
      <w:r>
        <w:rPr>
          <w:rFonts w:ascii="Times New Roman" w:hAnsi="Times New Roman" w:eastAsia="Times New Roman" w:cs="Times New Roman"/>
          <w:iCs/>
          <w:color w:val="auto"/>
          <w:sz w:val="24"/>
          <w:lang w:eastAsia="ru-RU"/>
        </w:rPr>
        <w:t>Региональное</w:t>
      </w:r>
      <w:r>
        <w:rPr>
          <w:rFonts w:hint="default" w:ascii="Times New Roman" w:hAnsi="Times New Roman" w:eastAsia="Times New Roman" w:cs="Times New Roman"/>
          <w:iCs/>
          <w:color w:val="auto"/>
          <w:sz w:val="24"/>
          <w:lang w:val="en-US" w:eastAsia="ru-RU"/>
        </w:rPr>
        <w:t xml:space="preserve"> экономическое развитие, производительность труда, факторы, фондоотдача, фондовооруженность, занятость, человеческий капитал </w:t>
      </w:r>
    </w:p>
    <w:p w14:paraId="0E9FBD9A">
      <w:pPr>
        <w:spacing w:after="0" w:line="240" w:lineRule="auto"/>
        <w:ind w:left="0" w:leftChars="0" w:firstLine="660" w:firstLineChars="275"/>
        <w:jc w:val="both"/>
        <w:rPr>
          <w:rFonts w:hint="default" w:ascii="Times New Roman" w:hAnsi="Times New Roman" w:eastAsia="Times New Roman" w:cs="Times New Roman"/>
          <w:iCs/>
          <w:color w:val="auto"/>
          <w:sz w:val="24"/>
          <w:lang w:val="en-US" w:eastAsia="ru-RU"/>
        </w:rPr>
      </w:pPr>
    </w:p>
    <w:p w14:paraId="14E43820">
      <w:pPr>
        <w:spacing w:after="0" w:line="240" w:lineRule="auto"/>
        <w:ind w:left="0" w:leftChars="0" w:firstLine="660" w:firstLineChars="275"/>
        <w:jc w:val="both"/>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 xml:space="preserve"> В настоящее время производительности труда играет важную роль в достижение эффективного регионального экономического развития. Производительность труда </w:t>
      </w:r>
      <w:r>
        <w:rPr>
          <w:rFonts w:hint="eastAsia" w:ascii="SimSun" w:hAnsi="SimSun" w:eastAsia="SimSun" w:cs="SimSun"/>
          <w:sz w:val="24"/>
          <w:lang w:val="en-US" w:eastAsia="ru-RU"/>
        </w:rPr>
        <w:t>－</w:t>
      </w:r>
      <w:r>
        <w:rPr>
          <w:rFonts w:hint="default" w:ascii="Times New Roman" w:hAnsi="Times New Roman" w:eastAsia="Times New Roman" w:cs="Times New Roman"/>
          <w:sz w:val="24"/>
          <w:lang w:val="en-US" w:eastAsia="ru-RU"/>
        </w:rPr>
        <w:t xml:space="preserve"> это ключевой обобщающий показатель, от которого во многом зависят эффективность производства (ВРП), доходы населения и налоговые поступления в бюджет. Вместе с тем производительность труда в РФ очень сильно отличается как по видам экономической деятельности (</w:t>
      </w:r>
      <w:r>
        <w:rPr>
          <w:rFonts w:hint="default" w:ascii="Times New Roman" w:hAnsi="Times New Roman" w:eastAsia="Times New Roman" w:cs="Times New Roman"/>
          <w:sz w:val="24"/>
          <w:lang w:val="ru-RU" w:eastAsia="ru-RU"/>
        </w:rPr>
        <w:t>отраслям</w:t>
      </w:r>
      <w:r>
        <w:rPr>
          <w:rFonts w:hint="default" w:ascii="Times New Roman" w:hAnsi="Times New Roman" w:eastAsia="Times New Roman" w:cs="Times New Roman"/>
          <w:sz w:val="24"/>
          <w:lang w:val="en-US" w:eastAsia="ru-RU"/>
        </w:rPr>
        <w:t xml:space="preserve">), так и по регионам. Так, результаты исследования за 2017-2022 гг. выявили интенсивный рост производительности труда в таких видах деятельности РФ как финансовая и страховая, обрабатывающая и профессиональная, научная, тогда как в добыче полезных ископаемых, строительстве, транспорте и хранении, в деятельности гостиниц предприятий общественного питания, административной деятельности и др. </w:t>
      </w:r>
      <w:r>
        <w:rPr>
          <w:rFonts w:hint="default" w:ascii="Times New Roman" w:hAnsi="Times New Roman" w:eastAsia="Times New Roman" w:cs="Times New Roman"/>
          <w:sz w:val="24"/>
          <w:lang w:val="ru-RU" w:eastAsia="ru-RU"/>
        </w:rPr>
        <w:t>П</w:t>
      </w:r>
      <w:r>
        <w:rPr>
          <w:rFonts w:hint="default" w:ascii="Times New Roman" w:hAnsi="Times New Roman" w:eastAsia="Times New Roman" w:cs="Times New Roman"/>
          <w:sz w:val="24"/>
          <w:lang w:val="en-US" w:eastAsia="ru-RU"/>
        </w:rPr>
        <w:t xml:space="preserve">оказатели производительности демонстрируют тенденции к снижению [3, С.876-897]. </w:t>
      </w:r>
    </w:p>
    <w:p w14:paraId="213DC375">
      <w:pPr>
        <w:spacing w:after="0" w:line="240" w:lineRule="auto"/>
        <w:ind w:left="0" w:leftChars="0" w:firstLine="660" w:firstLineChars="275"/>
        <w:jc w:val="both"/>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 xml:space="preserve">Одни авторы считают, что производительность труда зависит во многом от трудовых ресурсов. Так, по мнению автора, труд - это базовый фактор производительности труда, а земля, капитал, предпринимательские способности это «производные» от трудовой деятельности. </w:t>
      </w:r>
      <w:r>
        <w:rPr>
          <w:rFonts w:hint="default" w:ascii="Times New Roman" w:hAnsi="Times New Roman" w:cs="Times New Roman"/>
          <w:sz w:val="24"/>
          <w:szCs w:val="24"/>
          <w:lang w:val="en-US" w:eastAsia="zh-CN"/>
        </w:rPr>
        <w:t xml:space="preserve">Щербаков А.И. </w:t>
      </w:r>
      <w:r>
        <w:rPr>
          <w:rFonts w:hint="default" w:ascii="Times New Roman" w:hAnsi="Times New Roman" w:eastAsia="Times New Roman" w:cs="Times New Roman"/>
          <w:sz w:val="24"/>
          <w:lang w:val="en-US" w:eastAsia="ru-RU"/>
        </w:rPr>
        <w:t xml:space="preserve"> обосновывает, что предпринимательские способности проявляются в процессе предпринимательского труда, а такие факторы как капитал (который выражается через показатель фондоемкости) и земля, и их характеристики могут быть трансформированы под влиянием трудового фактора за счет НТП [7, С.27-34]. Однако, на наш взгляд, следует отметить, что если в производственном процессе рассматриваются интеллектуальные и творческие способности работника, а не трудовые, то фактором влияющим на производительность труда является  человеческий капитал.</w:t>
      </w:r>
    </w:p>
    <w:p w14:paraId="0ACF73AC">
      <w:pPr>
        <w:spacing w:after="0" w:line="240" w:lineRule="auto"/>
        <w:ind w:left="0" w:leftChars="0" w:firstLine="660" w:firstLineChars="275"/>
        <w:jc w:val="both"/>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Бурцева Т.А., Френкель А.А. разработали модель региональной производительности труда, в которую  включили следующие регулируемые и нерегулируемые факторы, такие как темпы роста инвестиций в основной капитал, заболеваемости населения, доли расходов на покупку товаров и услуг в доходах населения, объема промышленной продукции в текущих ценах на душу населения, ИПЦ, удельного веса убыточных организаций, использование сети интернет в организациях (широкополосный доступ), ввод в действие жилых домов на 1000 чел.населения, занятого населения, въезжающего на работу в субъект РФ, доли городского населения в регионе. Результаты моделирования показывали,, что наибольшее влияние на региональную производительность труда оказывают изменение в объемах промышленной продукции и инвестиции в основной капитал, а наименьшее - заболеваемость населения и доли убыточных организаций, [2, С.62-70]. Отсюда следует, что в зависимости от условий и тенденций влияния факторов они по-разному отражается на производительности труда. Кроме того, в настоящее время инвестиции и специализация региона оказывают наиболее существенное влияние на динамику региональной производительности труда.</w:t>
      </w:r>
    </w:p>
    <w:p w14:paraId="4CD7FE86">
      <w:pPr>
        <w:spacing w:after="0" w:line="240" w:lineRule="auto"/>
        <w:ind w:left="0" w:leftChars="0" w:firstLine="660" w:firstLineChars="275"/>
        <w:jc w:val="both"/>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Рачек С.В. и Кобзева И.Н. исследуют влияния таких факторов производительности труда как человеческий капитал и фондооворуженность на сырьевые и несырьевые регионы. Так, фондовооруженность оказывает влияние на все типы регионов, тогда как человеческий капитал более более востребован и значим в несырьевых регионах [5, С.2269-2282]. Как видно, из результатов данного исследования, региональные особенности и условия оказывают существенное влияние на региональную производительность труда.</w:t>
      </w:r>
    </w:p>
    <w:p w14:paraId="18422FB3">
      <w:pPr>
        <w:spacing w:after="0" w:line="240" w:lineRule="auto"/>
        <w:ind w:left="0" w:leftChars="0" w:firstLine="660" w:firstLineChars="275"/>
        <w:jc w:val="both"/>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Кроме того, группа исследователей выявила положительное влияние цифровизации на производительность труда в регионах с высоким уровнем основных фондов [4, С.858-868]. Отсюда следует, что цифровизация обеспечивает высокую фондовооруженность регионов и рост экономических показателей, в том числе и  производительности труда[1, С. 5-8].</w:t>
      </w:r>
    </w:p>
    <w:p w14:paraId="53A3A181">
      <w:pPr>
        <w:spacing w:after="0" w:line="240" w:lineRule="auto"/>
        <w:ind w:left="0" w:leftChars="0" w:firstLine="660" w:firstLineChars="275"/>
        <w:jc w:val="both"/>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 xml:space="preserve">Исходя из теоретического анализа можно заключить, что на производительность труда российских регионов во многом оказывают влияния основные производственные </w:t>
      </w:r>
      <w:r>
        <w:rPr>
          <w:rFonts w:hint="default" w:ascii="Times New Roman" w:hAnsi="Times New Roman" w:eastAsia="Times New Roman" w:cs="Times New Roman"/>
          <w:sz w:val="24"/>
          <w:lang w:val="ru-RU" w:eastAsia="ru-RU"/>
        </w:rPr>
        <w:t>фонды</w:t>
      </w:r>
      <w:r>
        <w:rPr>
          <w:rFonts w:hint="default" w:ascii="Times New Roman" w:hAnsi="Times New Roman" w:eastAsia="Times New Roman" w:cs="Times New Roman"/>
          <w:sz w:val="24"/>
          <w:lang w:val="en-US" w:eastAsia="ru-RU"/>
        </w:rPr>
        <w:t>, человеческий капитал, научно-технологическое развитие. Поэтому в рамках данного исследования рассмотрим влияние этих факторов посредством анализа количественных показателей в таблице 1.</w:t>
      </w:r>
    </w:p>
    <w:p w14:paraId="49760137">
      <w:pPr>
        <w:spacing w:after="0" w:line="240" w:lineRule="auto"/>
        <w:ind w:left="-540" w:firstLine="540"/>
        <w:jc w:val="right"/>
        <w:rPr>
          <w:rFonts w:ascii="Times New Roman" w:hAnsi="Times New Roman" w:eastAsia="Times New Roman" w:cs="Times New Roman"/>
          <w:iCs/>
          <w:sz w:val="24"/>
          <w:lang w:eastAsia="ru-RU"/>
        </w:rPr>
      </w:pPr>
    </w:p>
    <w:p w14:paraId="5A38C33B">
      <w:pPr>
        <w:spacing w:after="0" w:line="240" w:lineRule="auto"/>
        <w:ind w:left="-540" w:firstLine="540"/>
        <w:jc w:val="right"/>
        <w:rPr>
          <w:rFonts w:ascii="Times New Roman" w:hAnsi="Times New Roman" w:eastAsia="Times New Roman" w:cs="Times New Roman"/>
          <w:iCs/>
          <w:sz w:val="24"/>
          <w:lang w:eastAsia="ru-RU"/>
        </w:rPr>
      </w:pPr>
      <w:r>
        <w:rPr>
          <w:rFonts w:ascii="Times New Roman" w:hAnsi="Times New Roman" w:eastAsia="Times New Roman" w:cs="Times New Roman"/>
          <w:iCs/>
          <w:sz w:val="24"/>
          <w:lang w:eastAsia="ru-RU"/>
        </w:rPr>
        <w:t>Таблица 1</w:t>
      </w:r>
    </w:p>
    <w:p w14:paraId="47029603">
      <w:pPr>
        <w:spacing w:after="0" w:line="240" w:lineRule="auto"/>
        <w:ind w:left="0" w:leftChars="0" w:firstLine="0" w:firstLineChars="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Ключевые показатели и коэффициенты для анализа региональной производительности труда за 2024 г.</w:t>
      </w:r>
    </w:p>
    <w:tbl>
      <w:tblPr>
        <w:tblStyle w:val="4"/>
        <w:tblW w:w="98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2"/>
        <w:gridCol w:w="1497"/>
        <w:gridCol w:w="1236"/>
        <w:gridCol w:w="1658"/>
        <w:gridCol w:w="1104"/>
        <w:gridCol w:w="63"/>
      </w:tblGrid>
      <w:tr w14:paraId="45056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3" w:type="dxa"/>
        </w:trPr>
        <w:tc>
          <w:tcPr>
            <w:tcW w:w="4262" w:type="dxa"/>
            <w:shd w:val="clear" w:color="auto" w:fill="auto"/>
          </w:tcPr>
          <w:p w14:paraId="2DCDDDED">
            <w:pPr>
              <w:spacing w:after="0" w:line="240" w:lineRule="auto"/>
              <w:ind w:left="-540" w:firstLine="540"/>
              <w:jc w:val="center"/>
              <w:rPr>
                <w:rFonts w:ascii="Times New Roman" w:hAnsi="Times New Roman" w:eastAsia="Times New Roman" w:cs="Times New Roman"/>
                <w:sz w:val="24"/>
                <w:lang w:eastAsia="ru-RU"/>
              </w:rPr>
            </w:pPr>
            <w:r>
              <w:rPr>
                <w:rFonts w:ascii="Times New Roman" w:hAnsi="Times New Roman" w:eastAsia="Times New Roman" w:cs="Times New Roman"/>
                <w:sz w:val="24"/>
                <w:lang w:eastAsia="ru-RU"/>
              </w:rPr>
              <w:t>Показатели</w:t>
            </w:r>
          </w:p>
        </w:tc>
        <w:tc>
          <w:tcPr>
            <w:tcW w:w="1497" w:type="dxa"/>
            <w:shd w:val="clear" w:color="auto" w:fill="auto"/>
          </w:tcPr>
          <w:p w14:paraId="4DC7AA62">
            <w:pPr>
              <w:spacing w:after="0" w:line="240" w:lineRule="auto"/>
              <w:ind w:left="0" w:leftChars="0" w:firstLine="0" w:firstLineChars="0"/>
              <w:jc w:val="center"/>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Коэффициент</w:t>
            </w:r>
            <w:r>
              <w:rPr>
                <w:rFonts w:hint="default" w:ascii="Times New Roman" w:hAnsi="Times New Roman" w:eastAsia="Times New Roman" w:cs="Times New Roman"/>
                <w:sz w:val="24"/>
                <w:lang w:val="en-US" w:eastAsia="ru-RU"/>
              </w:rPr>
              <w:t xml:space="preserve"> вариации, %</w:t>
            </w:r>
          </w:p>
        </w:tc>
        <w:tc>
          <w:tcPr>
            <w:tcW w:w="1236" w:type="dxa"/>
            <w:shd w:val="clear" w:color="auto" w:fill="auto"/>
          </w:tcPr>
          <w:p w14:paraId="16A11A2D">
            <w:pPr>
              <w:spacing w:after="0" w:line="240" w:lineRule="auto"/>
              <w:ind w:left="0" w:leftChars="0" w:firstLine="0" w:firstLineChars="0"/>
              <w:jc w:val="center"/>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Среднее</w:t>
            </w:r>
            <w:r>
              <w:rPr>
                <w:rFonts w:hint="default" w:ascii="Times New Roman" w:hAnsi="Times New Roman" w:eastAsia="Times New Roman" w:cs="Times New Roman"/>
                <w:sz w:val="24"/>
                <w:lang w:val="en-US" w:eastAsia="ru-RU"/>
              </w:rPr>
              <w:t xml:space="preserve"> значение</w:t>
            </w:r>
          </w:p>
        </w:tc>
        <w:tc>
          <w:tcPr>
            <w:tcW w:w="1658" w:type="dxa"/>
            <w:shd w:val="clear" w:color="auto" w:fill="auto"/>
          </w:tcPr>
          <w:p w14:paraId="46DA00B5">
            <w:pPr>
              <w:spacing w:after="0" w:line="240" w:lineRule="auto"/>
              <w:ind w:left="0" w:leftChars="0" w:firstLine="0" w:firstLineChars="0"/>
              <w:jc w:val="center"/>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Разрыв</w:t>
            </w:r>
            <w:r>
              <w:rPr>
                <w:rFonts w:hint="default" w:ascii="Times New Roman" w:hAnsi="Times New Roman" w:eastAsia="Times New Roman" w:cs="Times New Roman"/>
                <w:sz w:val="24"/>
                <w:lang w:val="en-US" w:eastAsia="ru-RU"/>
              </w:rPr>
              <w:t xml:space="preserve"> между макс. и мин. значением, раз</w:t>
            </w:r>
          </w:p>
        </w:tc>
        <w:tc>
          <w:tcPr>
            <w:tcW w:w="1104" w:type="dxa"/>
            <w:shd w:val="clear" w:color="auto" w:fill="auto"/>
          </w:tcPr>
          <w:p w14:paraId="5B8CD648">
            <w:pPr>
              <w:spacing w:after="0" w:line="240" w:lineRule="auto"/>
              <w:ind w:left="-540" w:firstLine="540"/>
              <w:jc w:val="center"/>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Коэфф</w:t>
            </w:r>
            <w:r>
              <w:rPr>
                <w:rFonts w:hint="default" w:ascii="Times New Roman" w:hAnsi="Times New Roman" w:eastAsia="Times New Roman" w:cs="Times New Roman"/>
                <w:sz w:val="24"/>
                <w:lang w:val="en-US" w:eastAsia="ru-RU"/>
              </w:rPr>
              <w:t>.</w:t>
            </w:r>
          </w:p>
          <w:p w14:paraId="47E8B50B">
            <w:pPr>
              <w:spacing w:after="0" w:line="240" w:lineRule="auto"/>
              <w:ind w:left="0" w:leftChars="0" w:firstLine="0" w:firstLineChars="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корреляции с ВРП</w:t>
            </w:r>
          </w:p>
        </w:tc>
      </w:tr>
      <w:tr w14:paraId="7E433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3" w:type="dxa"/>
        </w:trPr>
        <w:tc>
          <w:tcPr>
            <w:tcW w:w="4262" w:type="dxa"/>
            <w:shd w:val="clear" w:color="auto" w:fill="auto"/>
          </w:tcPr>
          <w:p w14:paraId="7B67BB7A">
            <w:pPr>
              <w:spacing w:after="0" w:line="240" w:lineRule="auto"/>
              <w:ind w:left="-540" w:firstLine="540"/>
              <w:jc w:val="left"/>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ВРП</w:t>
            </w:r>
            <w:r>
              <w:rPr>
                <w:rFonts w:hint="default" w:ascii="Times New Roman" w:hAnsi="Times New Roman" w:eastAsia="Times New Roman" w:cs="Times New Roman"/>
                <w:sz w:val="24"/>
                <w:lang w:val="en-US" w:eastAsia="ru-RU"/>
              </w:rPr>
              <w:t xml:space="preserve"> в ценах в 2018 г., млн.руб.</w:t>
            </w:r>
          </w:p>
        </w:tc>
        <w:tc>
          <w:tcPr>
            <w:tcW w:w="1497" w:type="dxa"/>
            <w:shd w:val="clear" w:color="auto" w:fill="auto"/>
          </w:tcPr>
          <w:p w14:paraId="559030C7">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94,5</w:t>
            </w:r>
          </w:p>
        </w:tc>
        <w:tc>
          <w:tcPr>
            <w:tcW w:w="1236" w:type="dxa"/>
            <w:shd w:val="clear" w:color="auto" w:fill="auto"/>
          </w:tcPr>
          <w:p w14:paraId="1BC748FC">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2108298,2</w:t>
            </w:r>
          </w:p>
        </w:tc>
        <w:tc>
          <w:tcPr>
            <w:tcW w:w="1658" w:type="dxa"/>
            <w:shd w:val="clear" w:color="auto" w:fill="auto"/>
          </w:tcPr>
          <w:p w14:paraId="11994DC5">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368,9</w:t>
            </w:r>
          </w:p>
        </w:tc>
        <w:tc>
          <w:tcPr>
            <w:tcW w:w="1104" w:type="dxa"/>
            <w:shd w:val="clear" w:color="auto" w:fill="auto"/>
          </w:tcPr>
          <w:p w14:paraId="4349B8CC">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w:t>
            </w:r>
          </w:p>
        </w:tc>
      </w:tr>
      <w:tr w14:paraId="4D2D9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3" w:type="dxa"/>
        </w:trPr>
        <w:tc>
          <w:tcPr>
            <w:tcW w:w="4262" w:type="dxa"/>
            <w:shd w:val="clear" w:color="auto" w:fill="auto"/>
          </w:tcPr>
          <w:p w14:paraId="1824DCB4">
            <w:pPr>
              <w:spacing w:after="0" w:line="240" w:lineRule="auto"/>
              <w:ind w:left="0" w:leftChars="0" w:firstLine="0" w:firstLineChars="0"/>
              <w:jc w:val="left"/>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Стоимость</w:t>
            </w:r>
            <w:r>
              <w:rPr>
                <w:rFonts w:hint="default" w:ascii="Times New Roman" w:hAnsi="Times New Roman" w:eastAsia="Times New Roman" w:cs="Times New Roman"/>
                <w:sz w:val="24"/>
                <w:lang w:val="en-US" w:eastAsia="ru-RU"/>
              </w:rPr>
              <w:t xml:space="preserve"> основных фондов на конец года в ценах 2018 г., млн.руб.</w:t>
            </w:r>
          </w:p>
        </w:tc>
        <w:tc>
          <w:tcPr>
            <w:tcW w:w="1497" w:type="dxa"/>
            <w:shd w:val="clear" w:color="auto" w:fill="auto"/>
          </w:tcPr>
          <w:p w14:paraId="6D9F3DED">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90,0</w:t>
            </w:r>
          </w:p>
        </w:tc>
        <w:tc>
          <w:tcPr>
            <w:tcW w:w="1236" w:type="dxa"/>
            <w:shd w:val="clear" w:color="auto" w:fill="auto"/>
          </w:tcPr>
          <w:p w14:paraId="2710E13F">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5609978,0</w:t>
            </w:r>
          </w:p>
        </w:tc>
        <w:tc>
          <w:tcPr>
            <w:tcW w:w="1658" w:type="dxa"/>
            <w:shd w:val="clear" w:color="auto" w:fill="auto"/>
          </w:tcPr>
          <w:p w14:paraId="418150F5">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340,5</w:t>
            </w:r>
          </w:p>
        </w:tc>
        <w:tc>
          <w:tcPr>
            <w:tcW w:w="1104" w:type="dxa"/>
            <w:shd w:val="clear" w:color="auto" w:fill="auto"/>
          </w:tcPr>
          <w:p w14:paraId="1EF2DDAD">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0,99</w:t>
            </w:r>
          </w:p>
        </w:tc>
      </w:tr>
      <w:tr w14:paraId="746A6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3" w:type="dxa"/>
        </w:trPr>
        <w:tc>
          <w:tcPr>
            <w:tcW w:w="4262" w:type="dxa"/>
            <w:shd w:val="clear" w:color="auto" w:fill="auto"/>
          </w:tcPr>
          <w:p w14:paraId="77A38014">
            <w:pPr>
              <w:spacing w:after="0" w:line="240" w:lineRule="auto"/>
              <w:ind w:left="-540" w:firstLine="540"/>
              <w:jc w:val="left"/>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Индекс</w:t>
            </w:r>
            <w:r>
              <w:rPr>
                <w:rFonts w:hint="default" w:ascii="Times New Roman" w:hAnsi="Times New Roman" w:eastAsia="Times New Roman" w:cs="Times New Roman"/>
                <w:sz w:val="24"/>
                <w:lang w:val="en-US" w:eastAsia="ru-RU"/>
              </w:rPr>
              <w:t xml:space="preserve"> человеческого капитала</w:t>
            </w:r>
          </w:p>
        </w:tc>
        <w:tc>
          <w:tcPr>
            <w:tcW w:w="1497" w:type="dxa"/>
            <w:shd w:val="clear" w:color="auto" w:fill="auto"/>
          </w:tcPr>
          <w:p w14:paraId="025EAEAA">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15,8</w:t>
            </w:r>
          </w:p>
        </w:tc>
        <w:tc>
          <w:tcPr>
            <w:tcW w:w="1236" w:type="dxa"/>
            <w:shd w:val="clear" w:color="auto" w:fill="auto"/>
          </w:tcPr>
          <w:p w14:paraId="6CD80DAF">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0,394</w:t>
            </w:r>
          </w:p>
        </w:tc>
        <w:tc>
          <w:tcPr>
            <w:tcW w:w="1658" w:type="dxa"/>
            <w:shd w:val="clear" w:color="auto" w:fill="auto"/>
          </w:tcPr>
          <w:p w14:paraId="1B8E7AB5">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4,3</w:t>
            </w:r>
          </w:p>
        </w:tc>
        <w:tc>
          <w:tcPr>
            <w:tcW w:w="1104" w:type="dxa"/>
            <w:shd w:val="clear" w:color="auto" w:fill="auto"/>
          </w:tcPr>
          <w:p w14:paraId="279DB2DD">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0,62</w:t>
            </w:r>
          </w:p>
        </w:tc>
      </w:tr>
      <w:tr w14:paraId="2EF3B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3" w:type="dxa"/>
        </w:trPr>
        <w:tc>
          <w:tcPr>
            <w:tcW w:w="4262" w:type="dxa"/>
            <w:shd w:val="clear" w:color="auto" w:fill="auto"/>
          </w:tcPr>
          <w:p w14:paraId="0A582A65">
            <w:pPr>
              <w:spacing w:after="0" w:line="240" w:lineRule="auto"/>
              <w:ind w:left="-540" w:firstLine="540"/>
              <w:jc w:val="left"/>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Численность</w:t>
            </w:r>
            <w:r>
              <w:rPr>
                <w:rFonts w:hint="default" w:ascii="Times New Roman" w:hAnsi="Times New Roman" w:eastAsia="Times New Roman" w:cs="Times New Roman"/>
                <w:sz w:val="24"/>
                <w:lang w:val="en-US" w:eastAsia="ru-RU"/>
              </w:rPr>
              <w:t xml:space="preserve"> занятых, тыс. чел.</w:t>
            </w:r>
          </w:p>
        </w:tc>
        <w:tc>
          <w:tcPr>
            <w:tcW w:w="1497" w:type="dxa"/>
            <w:shd w:val="clear" w:color="auto" w:fill="auto"/>
          </w:tcPr>
          <w:p w14:paraId="7FB34DD4">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73</w:t>
            </w:r>
          </w:p>
        </w:tc>
        <w:tc>
          <w:tcPr>
            <w:tcW w:w="1236" w:type="dxa"/>
            <w:shd w:val="clear" w:color="auto" w:fill="auto"/>
          </w:tcPr>
          <w:p w14:paraId="5DFD4546">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862</w:t>
            </w:r>
          </w:p>
        </w:tc>
        <w:tc>
          <w:tcPr>
            <w:tcW w:w="1658" w:type="dxa"/>
            <w:shd w:val="clear" w:color="auto" w:fill="auto"/>
          </w:tcPr>
          <w:p w14:paraId="7EACCA29">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277,3</w:t>
            </w:r>
          </w:p>
        </w:tc>
        <w:tc>
          <w:tcPr>
            <w:tcW w:w="1104" w:type="dxa"/>
            <w:shd w:val="clear" w:color="auto" w:fill="auto"/>
          </w:tcPr>
          <w:p w14:paraId="7652B26A">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0,92</w:t>
            </w:r>
          </w:p>
        </w:tc>
      </w:tr>
      <w:tr w14:paraId="59ED1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3" w:type="dxa"/>
        </w:trPr>
        <w:tc>
          <w:tcPr>
            <w:tcW w:w="4262" w:type="dxa"/>
            <w:shd w:val="clear" w:color="auto" w:fill="auto"/>
          </w:tcPr>
          <w:p w14:paraId="0031BDE4">
            <w:pPr>
              <w:spacing w:after="0" w:line="240" w:lineRule="auto"/>
              <w:ind w:left="0" w:leftChars="0" w:firstLine="0" w:firstLineChars="0"/>
              <w:jc w:val="left"/>
              <w:rPr>
                <w:rFonts w:ascii="Times New Roman" w:hAnsi="Times New Roman" w:eastAsia="Times New Roman" w:cs="Times New Roman"/>
                <w:sz w:val="24"/>
                <w:lang w:eastAsia="ru-RU"/>
              </w:rPr>
            </w:pPr>
            <w:r>
              <w:rPr>
                <w:rFonts w:ascii="Times New Roman" w:hAnsi="Times New Roman" w:eastAsia="Times New Roman" w:cs="Times New Roman"/>
                <w:sz w:val="24"/>
                <w:lang w:eastAsia="ru-RU"/>
              </w:rPr>
              <w:t>ВРП</w:t>
            </w:r>
            <w:r>
              <w:rPr>
                <w:rFonts w:hint="default" w:ascii="Times New Roman" w:hAnsi="Times New Roman" w:eastAsia="Times New Roman" w:cs="Times New Roman"/>
                <w:sz w:val="24"/>
                <w:lang w:val="en-US" w:eastAsia="ru-RU"/>
              </w:rPr>
              <w:t xml:space="preserve"> в ценах в 2018 г. на 1 занятого, тыс.руб.</w:t>
            </w:r>
          </w:p>
        </w:tc>
        <w:tc>
          <w:tcPr>
            <w:tcW w:w="1497" w:type="dxa"/>
            <w:shd w:val="clear" w:color="auto" w:fill="auto"/>
          </w:tcPr>
          <w:p w14:paraId="1EBE5A13">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56,1</w:t>
            </w:r>
          </w:p>
        </w:tc>
        <w:tc>
          <w:tcPr>
            <w:tcW w:w="1236" w:type="dxa"/>
            <w:shd w:val="clear" w:color="auto" w:fill="auto"/>
          </w:tcPr>
          <w:p w14:paraId="513B49A9">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2387,4</w:t>
            </w:r>
          </w:p>
        </w:tc>
        <w:tc>
          <w:tcPr>
            <w:tcW w:w="1658" w:type="dxa"/>
            <w:shd w:val="clear" w:color="auto" w:fill="auto"/>
          </w:tcPr>
          <w:p w14:paraId="3FDF587D">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35,7</w:t>
            </w:r>
          </w:p>
        </w:tc>
        <w:tc>
          <w:tcPr>
            <w:tcW w:w="1104" w:type="dxa"/>
            <w:shd w:val="clear" w:color="auto" w:fill="auto"/>
          </w:tcPr>
          <w:p w14:paraId="7C1C5DC3">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w:t>
            </w:r>
          </w:p>
        </w:tc>
      </w:tr>
      <w:tr w14:paraId="61057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3" w:type="dxa"/>
        </w:trPr>
        <w:tc>
          <w:tcPr>
            <w:tcW w:w="4262" w:type="dxa"/>
            <w:shd w:val="clear" w:color="auto" w:fill="auto"/>
          </w:tcPr>
          <w:p w14:paraId="2ADFF4D4">
            <w:pPr>
              <w:spacing w:after="0" w:line="240" w:lineRule="auto"/>
              <w:ind w:left="-540" w:firstLine="540"/>
              <w:jc w:val="left"/>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Фондоотдача</w:t>
            </w:r>
            <w:r>
              <w:rPr>
                <w:rFonts w:hint="default" w:ascii="Times New Roman" w:hAnsi="Times New Roman" w:eastAsia="Times New Roman" w:cs="Times New Roman"/>
                <w:sz w:val="24"/>
                <w:lang w:val="en-US" w:eastAsia="ru-RU"/>
              </w:rPr>
              <w:t>, руб.</w:t>
            </w:r>
          </w:p>
        </w:tc>
        <w:tc>
          <w:tcPr>
            <w:tcW w:w="1497" w:type="dxa"/>
            <w:shd w:val="clear" w:color="auto" w:fill="auto"/>
          </w:tcPr>
          <w:p w14:paraId="432053CF">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53,7</w:t>
            </w:r>
          </w:p>
        </w:tc>
        <w:tc>
          <w:tcPr>
            <w:tcW w:w="1236" w:type="dxa"/>
            <w:shd w:val="clear" w:color="auto" w:fill="auto"/>
          </w:tcPr>
          <w:p w14:paraId="0C5621D4">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0,37</w:t>
            </w:r>
          </w:p>
        </w:tc>
        <w:tc>
          <w:tcPr>
            <w:tcW w:w="1658" w:type="dxa"/>
            <w:shd w:val="clear" w:color="auto" w:fill="auto"/>
          </w:tcPr>
          <w:p w14:paraId="79ECBC71">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3,7</w:t>
            </w:r>
          </w:p>
        </w:tc>
        <w:tc>
          <w:tcPr>
            <w:tcW w:w="1104" w:type="dxa"/>
            <w:shd w:val="clear" w:color="auto" w:fill="auto"/>
          </w:tcPr>
          <w:p w14:paraId="6D526331">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w:t>
            </w:r>
          </w:p>
        </w:tc>
      </w:tr>
      <w:tr w14:paraId="1E108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3" w:type="dxa"/>
        </w:trPr>
        <w:tc>
          <w:tcPr>
            <w:tcW w:w="4262" w:type="dxa"/>
            <w:shd w:val="clear" w:color="auto" w:fill="auto"/>
          </w:tcPr>
          <w:p w14:paraId="7CAF6466">
            <w:pPr>
              <w:spacing w:after="0" w:line="240" w:lineRule="auto"/>
              <w:ind w:left="-540" w:firstLine="540"/>
              <w:jc w:val="left"/>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Фондовооруженность</w:t>
            </w:r>
            <w:r>
              <w:rPr>
                <w:rFonts w:hint="default" w:ascii="Times New Roman" w:hAnsi="Times New Roman" w:eastAsia="Times New Roman" w:cs="Times New Roman"/>
                <w:sz w:val="24"/>
                <w:lang w:val="en-US" w:eastAsia="ru-RU"/>
              </w:rPr>
              <w:t>, тыс.руб.</w:t>
            </w:r>
          </w:p>
        </w:tc>
        <w:tc>
          <w:tcPr>
            <w:tcW w:w="1497" w:type="dxa"/>
            <w:shd w:val="clear" w:color="auto" w:fill="auto"/>
          </w:tcPr>
          <w:p w14:paraId="5BD8EE40">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17,7</w:t>
            </w:r>
          </w:p>
        </w:tc>
        <w:tc>
          <w:tcPr>
            <w:tcW w:w="1236" w:type="dxa"/>
            <w:shd w:val="clear" w:color="auto" w:fill="auto"/>
          </w:tcPr>
          <w:p w14:paraId="6B027FE9">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6527,5</w:t>
            </w:r>
          </w:p>
        </w:tc>
        <w:tc>
          <w:tcPr>
            <w:tcW w:w="1658" w:type="dxa"/>
            <w:shd w:val="clear" w:color="auto" w:fill="auto"/>
          </w:tcPr>
          <w:p w14:paraId="302A43B3">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33,5</w:t>
            </w:r>
          </w:p>
        </w:tc>
        <w:tc>
          <w:tcPr>
            <w:tcW w:w="1104" w:type="dxa"/>
            <w:shd w:val="clear" w:color="auto" w:fill="auto"/>
          </w:tcPr>
          <w:p w14:paraId="16D9E6DB">
            <w:pPr>
              <w:spacing w:after="0" w:line="240" w:lineRule="auto"/>
              <w:ind w:left="-540" w:firstLine="540"/>
              <w:jc w:val="center"/>
              <w:rPr>
                <w:rFonts w:hint="default" w:ascii="Times New Roman" w:hAnsi="Times New Roman" w:eastAsia="Times New Roman" w:cs="Times New Roman"/>
                <w:sz w:val="24"/>
                <w:lang w:val="en-US" w:eastAsia="ru-RU"/>
              </w:rPr>
            </w:pPr>
            <w:r>
              <w:rPr>
                <w:rFonts w:hint="default" w:ascii="Times New Roman" w:hAnsi="Times New Roman" w:eastAsia="Times New Roman" w:cs="Times New Roman"/>
                <w:sz w:val="24"/>
                <w:lang w:val="en-US" w:eastAsia="ru-RU"/>
              </w:rPr>
              <w:t>-</w:t>
            </w:r>
          </w:p>
        </w:tc>
      </w:tr>
      <w:tr w14:paraId="52671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20" w:type="dxa"/>
            <w:gridSpan w:val="6"/>
            <w:shd w:val="clear" w:color="auto" w:fill="auto"/>
          </w:tcPr>
          <w:p w14:paraId="73E92616">
            <w:pPr>
              <w:spacing w:after="0" w:line="240" w:lineRule="auto"/>
              <w:ind w:left="0" w:leftChars="0" w:firstLine="0" w:firstLineChars="0"/>
              <w:rPr>
                <w:rFonts w:hint="default" w:ascii="Times New Roman" w:hAnsi="Times New Roman" w:eastAsia="Times New Roman" w:cs="Times New Roman"/>
                <w:sz w:val="24"/>
                <w:lang w:val="en-US" w:eastAsia="ru-RU"/>
              </w:rPr>
            </w:pPr>
            <w:r>
              <w:rPr>
                <w:rFonts w:ascii="Times New Roman" w:hAnsi="Times New Roman" w:eastAsia="Times New Roman" w:cs="Times New Roman"/>
                <w:sz w:val="24"/>
                <w:lang w:eastAsia="ru-RU"/>
              </w:rPr>
              <w:t>Источник: Расчеты</w:t>
            </w:r>
            <w:r>
              <w:rPr>
                <w:rFonts w:hint="default" w:ascii="Times New Roman" w:hAnsi="Times New Roman" w:eastAsia="Times New Roman" w:cs="Times New Roman"/>
                <w:sz w:val="24"/>
                <w:lang w:val="en-US" w:eastAsia="ru-RU"/>
              </w:rPr>
              <w:t xml:space="preserve"> выполнены автором на основе Федеральной службы государственной статистики РФ</w:t>
            </w:r>
          </w:p>
        </w:tc>
      </w:tr>
    </w:tbl>
    <w:p w14:paraId="02221A8A">
      <w:pPr>
        <w:spacing w:after="0" w:line="240" w:lineRule="auto"/>
        <w:ind w:left="-540" w:firstLine="540"/>
        <w:jc w:val="center"/>
        <w:rPr>
          <w:rFonts w:ascii="Times New Roman" w:hAnsi="Times New Roman" w:eastAsia="Times New Roman" w:cs="Times New Roman"/>
          <w:sz w:val="24"/>
          <w:lang w:eastAsia="ru-RU"/>
        </w:rPr>
      </w:pPr>
    </w:p>
    <w:p w14:paraId="0812DA12">
      <w:pPr>
        <w:spacing w:after="0" w:line="240" w:lineRule="auto"/>
        <w:ind w:left="0" w:leftChars="0" w:firstLine="540" w:firstLineChars="0"/>
        <w:jc w:val="both"/>
        <w:rPr>
          <w:rFonts w:hint="default" w:ascii="Times New Roman" w:hAnsi="Times New Roman" w:eastAsia="Times New Roman"/>
          <w:sz w:val="24"/>
          <w:lang w:val="en-US" w:eastAsia="ru-RU"/>
        </w:rPr>
      </w:pPr>
      <w:r>
        <w:rPr>
          <w:rFonts w:hint="default" w:ascii="Times New Roman" w:hAnsi="Times New Roman" w:eastAsia="Times New Roman" w:cs="Times New Roman"/>
          <w:sz w:val="24"/>
          <w:lang w:val="en-US" w:eastAsia="ru-RU"/>
        </w:rPr>
        <w:t xml:space="preserve">Как видно из таблицы 1, данные свидетельствует о высокой дифференциации по показателям  региональной производительности труда. Коэффициенты вариации ниже 33 % зафиксированы в 2024 г. только по индексу человеческого капитала и фондовооруженности по российском регионам. При этом на ВРП существенное влияние оказывают наличие фондов и численность занятых (коэффициенты корреляции 0,99 и 0,92 соответственно). </w:t>
      </w:r>
      <w:r>
        <w:rPr>
          <w:rFonts w:hint="default" w:ascii="Times New Roman" w:hAnsi="Times New Roman" w:eastAsia="Times New Roman" w:cs="Times New Roman"/>
          <w:sz w:val="24"/>
          <w:lang w:val="ru-RU" w:eastAsia="ru-RU"/>
        </w:rPr>
        <w:t>При</w:t>
      </w:r>
      <w:r>
        <w:rPr>
          <w:rFonts w:hint="default" w:ascii="Times New Roman" w:hAnsi="Times New Roman" w:eastAsia="Times New Roman" w:cs="Times New Roman"/>
          <w:sz w:val="24"/>
          <w:lang w:val="en-US" w:eastAsia="ru-RU"/>
        </w:rPr>
        <w:t xml:space="preserve"> этом по показателю  ВРП на 1 занятого в основном лидируют регионы с сырьевой ориентацией: Ненецкий автономный округ (19181 тыс.руб.), </w:t>
      </w:r>
      <w:r>
        <w:rPr>
          <w:rFonts w:hint="default" w:ascii="Times New Roman" w:hAnsi="Times New Roman" w:eastAsia="Times New Roman"/>
          <w:sz w:val="24"/>
          <w:lang w:val="en-US" w:eastAsia="ru-RU"/>
        </w:rPr>
        <w:t xml:space="preserve">Ямало-Ненецкий автономный округ (14987 тыс.руб.), Ханты-Мансийский автономный округ – Югра (8860,7 тыс.руб.), Чукотский автономный округ (6264,8 тыс.руб.), Сахалинская область (6070,6 тыс.руб.), Магаданская область (6068,2 тыс.руб.), г. Москва (4619,9 тыс.руб.), Республика Саха (Якутия) (4554,4 тыс.руб.), г. Санкт-Петербург (3645,5 тыс.руб.), Мурманская область (3399,7 тыс.руб.) и др. Тогда по данному подходу, к группе регионов с самыми низкими значениями показателя можно отнести трудоизбыточные регионы: Республика Ингушетия (537,4 тыс.руб.), Республика Дагестан (868,4 тыс.руб.), Карачаево-Черкесская Республика (805,5 тыс.руб.), Республика Крым (931,4 тыс.руб.) и др. </w:t>
      </w:r>
    </w:p>
    <w:p w14:paraId="710D5AEE">
      <w:pPr>
        <w:spacing w:after="0" w:line="240" w:lineRule="auto"/>
        <w:ind w:left="0" w:leftChars="0" w:firstLine="540" w:firstLineChars="0"/>
        <w:jc w:val="both"/>
        <w:rPr>
          <w:rFonts w:hint="default" w:ascii="Times New Roman" w:hAnsi="Times New Roman" w:eastAsia="Times New Roman"/>
          <w:sz w:val="24"/>
          <w:lang w:val="en-US" w:eastAsia="ru-RU"/>
        </w:rPr>
      </w:pPr>
      <w:r>
        <w:rPr>
          <w:rFonts w:hint="default" w:ascii="Times New Roman" w:hAnsi="Times New Roman" w:eastAsia="Times New Roman"/>
          <w:sz w:val="24"/>
          <w:lang w:val="en-US" w:eastAsia="ru-RU"/>
        </w:rPr>
        <w:t xml:space="preserve">В 2024 г. фондоотдача по российским регионам составила в среднем  0,37. Такое положение дел в основном </w:t>
      </w:r>
      <w:r>
        <w:rPr>
          <w:rFonts w:hint="default" w:ascii="Times New Roman" w:hAnsi="Times New Roman" w:eastAsia="Times New Roman"/>
          <w:sz w:val="24"/>
          <w:lang w:val="ru-RU" w:eastAsia="ru-RU"/>
        </w:rPr>
        <w:t>может</w:t>
      </w:r>
      <w:r>
        <w:rPr>
          <w:rFonts w:hint="default" w:ascii="Times New Roman" w:hAnsi="Times New Roman" w:eastAsia="Times New Roman"/>
          <w:sz w:val="24"/>
          <w:lang w:val="en-US" w:eastAsia="ru-RU"/>
        </w:rPr>
        <w:t xml:space="preserve"> объясняется высокой степенью износа основных фондов (в среднем по РФ в 2024 г.- 48 %). При этом наиболее высокий степень износа основных фондов наблюдается в регионах Северо-Кавказского  (52,9 %), Приволжского (54,4 %) и Уральского (56 %) федеральных округах. Также высокая фондоотдача зафиксирована в Магаданской области (0,7), в Республике Северная Осетия –Алания (0,65), Республике Калмыкия (0,58), Республике Дагестан (0,56), Республике Тыва (0,53), Красноярском крае (0,5), Ульяновской области (0,49), Ульяновская область (0,49), г. Санкт-Петербург (0,48) и др. Как видно, в данный показатель достаточно высокий как промышленно развитых регионах, так и слаборазвитых территориях. Высокая фондотдача у слаборазвитых территорий (Республика Тыва, Дагестан и т.д.) обусловлен высокими темпами экономического роста при низких темпах роста стоимости основных фондов. Например, в 2024 г. темпы ВРП по Республике Тыва выросли на 21 % по сравнению с 2023 г, инвестиции в основной капитал на 46,5 % при высоких объемах дотации и высокой степени износа основных фондов (60,7 ;). Как видно, государственные инвестиции и дотации стимулируют рост ВРП на «устаревших» основных фондов, что обеспечивает им высокую фондоотдачу. При этом низкая фондоотдача в 2024 г. зафиксирована в Республике Крым (0, 19), Ленинградской области (0,23),Республике Коми (0,24), Республике Марий Эл (0,25), Тверской области (0,25), Еврейская автономная область (0,26), Архангельской области (0,27) и др.</w:t>
      </w:r>
    </w:p>
    <w:p w14:paraId="1C2EB2FB">
      <w:pPr>
        <w:spacing w:after="0" w:line="240" w:lineRule="auto"/>
        <w:ind w:left="0" w:leftChars="0" w:firstLine="540" w:firstLineChars="0"/>
        <w:jc w:val="both"/>
        <w:rPr>
          <w:rFonts w:hint="default" w:ascii="Times New Roman" w:hAnsi="Times New Roman" w:eastAsia="Times New Roman"/>
          <w:sz w:val="24"/>
          <w:lang w:val="en-US" w:eastAsia="ru-RU"/>
        </w:rPr>
      </w:pPr>
      <w:r>
        <w:rPr>
          <w:rFonts w:hint="default" w:ascii="Times New Roman" w:hAnsi="Times New Roman" w:eastAsia="Times New Roman"/>
          <w:sz w:val="24"/>
          <w:lang w:val="ru-RU" w:eastAsia="ru-RU"/>
        </w:rPr>
        <w:t>Показатель</w:t>
      </w:r>
      <w:r>
        <w:rPr>
          <w:rFonts w:hint="default" w:ascii="Times New Roman" w:hAnsi="Times New Roman" w:eastAsia="Times New Roman"/>
          <w:sz w:val="24"/>
          <w:lang w:val="en-US" w:eastAsia="ru-RU"/>
        </w:rPr>
        <w:t xml:space="preserve"> фондовооруженности региона определяет среднюю стоимость основных фондов, приходящихся на 1 занятого и характеризует техническую оснащенность производства. В 2024 г. высокая фондовооруженость зафиксирована в Ямало-Ненецком автономном округе (49963,4 тыс.руб.), Ненецком автономном округе (43019,3 тыс.руб.), Сахалинской области (19475,6 тыс.руб.), Ханты-Мансийскийом автономном округе – Югра (19253,4 тыс.руб.), Республике Коми (13663 тыс.руб.), Чукотском  автономном округе (12832,3 тыс.руб.), Республике Саха (Якутия) (11633,9 тыс.руб.), Мурманской области (11381,2 тыс.руб.) и др., т.е. регионы с капиталоемкими отраслями производства. Данные расчеты подтверждают исследования вариации производительности труда за 2012-2020 гг., в котором объясняют такое положение этих субъектов РФ структурой экономики регионов с преобладанием добывающих отраслей [6, c.27-35]. При этом низкая фондоворуженность наблюдается в Республике Ингушетия, Республике Дагестан, Республике Северная Осетия –Алания, Чеченской Республике, Кабардино-Балкарской Республике, Республике Тыва и др., т.е. преимущественно регионы, специализирующиеся на сельскохозяйственной деятельности.</w:t>
      </w:r>
    </w:p>
    <w:p w14:paraId="73CD6FD1">
      <w:pPr>
        <w:spacing w:after="0" w:line="240" w:lineRule="auto"/>
        <w:ind w:left="0" w:leftChars="0" w:firstLine="540" w:firstLineChars="0"/>
        <w:jc w:val="both"/>
        <w:rPr>
          <w:rFonts w:hint="default" w:ascii="Times New Roman" w:hAnsi="Times New Roman" w:eastAsia="Times New Roman"/>
          <w:sz w:val="24"/>
          <w:lang w:val="en-US" w:eastAsia="ru-RU"/>
        </w:rPr>
      </w:pPr>
      <w:r>
        <w:rPr>
          <w:rFonts w:hint="default" w:ascii="Times New Roman" w:hAnsi="Times New Roman" w:eastAsia="Times New Roman"/>
          <w:sz w:val="24"/>
          <w:lang w:val="en-US" w:eastAsia="ru-RU"/>
        </w:rPr>
        <w:t xml:space="preserve">Таким образом, на межрегиональную вариативность производительности труда в субъектах РФ существенное влияние оказывает отраслевая структура экономики, которая формирует спрос на соответствующие трудовые ресурсы и человеческий капитал. Кроме того, в регионах добывающей специализацией наблюдается более высокая производительность труда  по сравнению с трудоемкими отраслями. Поэтому Тюменская область, Ханты-Мансийский автономный округ и Ямало-Ненецкий автономный округ и др. демонстрируют высокие значения производительности труда. Однако в условиях колебания цен на ресурсы (сырье) и снижения спроса на них приводит к снижению объемов производства и производительности труда. При этом численность трудовых ресурсов при прочих равных условиях оказывают влияние только в регионах, специализирующих на трудоемких производствах. Вместе с тем, высокие значения показателей производительности центральных регионов во многом обусловлено формированием человеческого капитала региона, агломерационными эффектами за счет высокой концентрации инновационоактивного бизнеса, эффектом масштаба, развитой инфраструктурой (в том числе информационно-коммуникационной), инвестиционной и миграционной привлекательностью территорию. Поэтому так важно в рамках разработки стратегических документов, направленных на повышение производительности труда учитывать территориальные особенности. </w:t>
      </w:r>
    </w:p>
    <w:p w14:paraId="692BE86A">
      <w:pPr>
        <w:spacing w:after="0" w:line="240" w:lineRule="auto"/>
        <w:ind w:left="-540" w:firstLine="540"/>
        <w:jc w:val="center"/>
        <w:rPr>
          <w:rFonts w:ascii="Times New Roman" w:hAnsi="Times New Roman" w:eastAsia="Times New Roman" w:cs="Times New Roman"/>
          <w:b/>
          <w:sz w:val="24"/>
          <w:lang w:eastAsia="ru-RU"/>
        </w:rPr>
      </w:pPr>
    </w:p>
    <w:p w14:paraId="54801F8B">
      <w:pPr>
        <w:spacing w:after="0" w:line="240" w:lineRule="auto"/>
        <w:ind w:left="-540" w:firstLine="540"/>
        <w:jc w:val="center"/>
        <w:rPr>
          <w:rFonts w:ascii="Times New Roman" w:hAnsi="Times New Roman" w:eastAsia="Times New Roman" w:cs="Times New Roman"/>
          <w:b/>
          <w:sz w:val="24"/>
          <w:lang w:eastAsia="ru-RU"/>
        </w:rPr>
      </w:pPr>
      <w:r>
        <w:rPr>
          <w:rFonts w:ascii="Times New Roman" w:hAnsi="Times New Roman" w:eastAsia="Times New Roman" w:cs="Times New Roman"/>
          <w:b/>
          <w:sz w:val="24"/>
          <w:lang w:eastAsia="ru-RU"/>
        </w:rPr>
        <w:t>Библиографический список на русском языке</w:t>
      </w:r>
    </w:p>
    <w:p w14:paraId="29D4DB77">
      <w:pPr>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0" w:leftChars="0" w:firstLine="660" w:firstLineChars="275"/>
        <w:jc w:val="both"/>
        <w:textAlignment w:val="auto"/>
        <w:rPr>
          <w:rFonts w:hint="default" w:ascii="Times New Roman" w:hAnsi="Times New Roman" w:cs="Times New Roman"/>
          <w:sz w:val="24"/>
          <w:szCs w:val="24"/>
          <w:lang w:val="ru-RU" w:eastAsia="zh-CN"/>
        </w:rPr>
      </w:pPr>
      <w:r>
        <w:rPr>
          <w:rFonts w:hint="default" w:ascii="Times New Roman" w:hAnsi="Times New Roman" w:cs="Times New Roman"/>
          <w:sz w:val="24"/>
          <w:szCs w:val="24"/>
          <w:lang w:val="en-US" w:eastAsia="zh-CN"/>
        </w:rPr>
        <w:t>1</w:t>
      </w:r>
      <w:r>
        <w:rPr>
          <w:rFonts w:hint="default" w:ascii="Times New Roman" w:hAnsi="Times New Roman" w:cs="Times New Roman"/>
          <w:sz w:val="24"/>
          <w:szCs w:val="24"/>
          <w:lang w:val="ru-RU" w:eastAsia="zh-CN"/>
        </w:rPr>
        <w:t>.Аллагулов Р.Х.</w:t>
      </w:r>
      <w:r>
        <w:rPr>
          <w:rFonts w:hint="default" w:ascii="Times New Roman" w:hAnsi="Times New Roman" w:cs="Times New Roman"/>
          <w:sz w:val="24"/>
          <w:szCs w:val="24"/>
          <w:lang w:val="ru-RU"/>
        </w:rPr>
        <w:t>П</w:t>
      </w:r>
      <w:r>
        <w:rPr>
          <w:rFonts w:hint="default" w:ascii="Times New Roman" w:hAnsi="Times New Roman" w:cs="Times New Roman"/>
          <w:sz w:val="24"/>
          <w:szCs w:val="24"/>
        </w:rPr>
        <w:t xml:space="preserve">роизводственные инновации: </w:t>
      </w:r>
      <w:r>
        <w:rPr>
          <w:rFonts w:hint="default" w:ascii="Times New Roman" w:hAnsi="Times New Roman" w:cs="Times New Roman"/>
          <w:sz w:val="24"/>
          <w:szCs w:val="24"/>
          <w:lang w:val="ru-RU"/>
        </w:rPr>
        <w:t>о</w:t>
      </w:r>
      <w:r>
        <w:rPr>
          <w:rFonts w:hint="default" w:ascii="Times New Roman" w:hAnsi="Times New Roman" w:cs="Times New Roman"/>
          <w:sz w:val="24"/>
          <w:szCs w:val="24"/>
        </w:rPr>
        <w:t>бъединение автоматизации и цифровых решений для роста эффективнос</w:t>
      </w:r>
      <w:r>
        <w:rPr>
          <w:rFonts w:hint="default" w:ascii="Times New Roman" w:hAnsi="Times New Roman" w:cs="Times New Roman"/>
          <w:sz w:val="24"/>
          <w:szCs w:val="24"/>
          <w:lang w:val="ru-RU"/>
        </w:rPr>
        <w:t>ти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"https://www.elibrary.ru/contents.asp?id=89140220"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Вестник Поволжского государственного университета сервиса. Серия: Экономика</w:t>
      </w:r>
      <w:r>
        <w:rPr>
          <w:rFonts w:hint="default" w:ascii="Times New Roman" w:hAnsi="Times New Roman" w:cs="Times New Roman"/>
          <w:sz w:val="24"/>
          <w:szCs w:val="24"/>
        </w:rPr>
        <w:fldChar w:fldCharType="end"/>
      </w:r>
      <w:r>
        <w:rPr>
          <w:rFonts w:hint="default" w:ascii="Times New Roman" w:hAnsi="Times New Roman" w:cs="Times New Roman"/>
          <w:sz w:val="24"/>
          <w:szCs w:val="24"/>
        </w:rPr>
        <w:t>. 2026. Т. 22.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"https://www.elibrary.ru/contents.asp?id=89140220&amp;selid=89140221"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№ 1 (84)</w:t>
      </w:r>
      <w:r>
        <w:rPr>
          <w:rFonts w:hint="default" w:ascii="Times New Roman" w:hAnsi="Times New Roman" w:cs="Times New Roman"/>
          <w:sz w:val="24"/>
          <w:szCs w:val="24"/>
        </w:rPr>
        <w:fldChar w:fldCharType="end"/>
      </w:r>
      <w:r>
        <w:rPr>
          <w:rFonts w:hint="default" w:ascii="Times New Roman" w:hAnsi="Times New Roman" w:cs="Times New Roman"/>
          <w:sz w:val="24"/>
          <w:szCs w:val="24"/>
        </w:rPr>
        <w:t>. С. 5-8.</w:t>
      </w:r>
    </w:p>
    <w:p w14:paraId="223971DD">
      <w:pPr>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0" w:leftChars="0" w:firstLine="660" w:firstLineChars="275"/>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ru-RU" w:eastAsia="zh-CN"/>
        </w:rPr>
        <w:t>2.</w:t>
      </w:r>
      <w:r>
        <w:rPr>
          <w:rFonts w:hint="default" w:ascii="Times New Roman" w:hAnsi="Times New Roman" w:cs="Times New Roman"/>
          <w:sz w:val="24"/>
          <w:szCs w:val="24"/>
          <w:lang w:val="en-US" w:eastAsia="zh-CN"/>
        </w:rPr>
        <w:t>Бурцева Т.А., Френкель А.А., Сурков А.А. Статистическое моделирование региональной производительности труда</w:t>
      </w:r>
      <w:r>
        <w:rPr>
          <w:rFonts w:hint="default" w:ascii="Times New Roman" w:hAnsi="Times New Roman" w:cs="Times New Roman"/>
          <w:sz w:val="24"/>
          <w:szCs w:val="24"/>
          <w:lang w:val="ru-RU" w:eastAsia="zh-CN"/>
        </w:rPr>
        <w:t xml:space="preserve"> // </w:t>
      </w:r>
      <w:r>
        <w:rPr>
          <w:rFonts w:hint="default" w:ascii="Times New Roman" w:hAnsi="Times New Roman" w:cs="Times New Roman"/>
          <w:sz w:val="24"/>
          <w:szCs w:val="24"/>
          <w:lang w:val="en-US" w:eastAsia="zh-CN"/>
        </w:rPr>
        <w:t>Вопросы статистики. 2022</w:t>
      </w:r>
      <w:r>
        <w:rPr>
          <w:rFonts w:hint="default" w:ascii="Times New Roman" w:hAnsi="Times New Roman" w:cs="Times New Roman"/>
          <w:sz w:val="24"/>
          <w:szCs w:val="24"/>
          <w:lang w:val="ru-RU" w:eastAsia="zh-CN"/>
        </w:rPr>
        <w:t>. №</w:t>
      </w:r>
      <w:r>
        <w:rPr>
          <w:rFonts w:hint="default" w:ascii="Times New Roman" w:hAnsi="Times New Roman" w:cs="Times New Roman"/>
          <w:sz w:val="24"/>
          <w:szCs w:val="24"/>
          <w:lang w:val="en-US" w:eastAsia="zh-CN"/>
        </w:rPr>
        <w:t>29(4)</w:t>
      </w:r>
      <w:r>
        <w:rPr>
          <w:rFonts w:hint="default" w:ascii="Times New Roman" w:hAnsi="Times New Roman" w:cs="Times New Roman"/>
          <w:sz w:val="24"/>
          <w:szCs w:val="24"/>
          <w:lang w:val="ru-RU" w:eastAsia="zh-CN"/>
        </w:rPr>
        <w:t xml:space="preserve">. С. </w:t>
      </w:r>
      <w:r>
        <w:rPr>
          <w:rFonts w:hint="default" w:ascii="Times New Roman" w:hAnsi="Times New Roman" w:cs="Times New Roman"/>
          <w:sz w:val="24"/>
          <w:szCs w:val="24"/>
          <w:lang w:val="en-US" w:eastAsia="zh-CN"/>
        </w:rPr>
        <w:t>62–70.</w:t>
      </w:r>
    </w:p>
    <w:p w14:paraId="4933F9CE">
      <w:pPr>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0" w:leftChars="0" w:firstLine="660" w:firstLineChars="275"/>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ru-RU" w:eastAsia="zh-CN"/>
        </w:rPr>
        <w:t xml:space="preserve">3. </w:t>
      </w:r>
      <w:r>
        <w:rPr>
          <w:rFonts w:hint="default" w:ascii="Times New Roman" w:hAnsi="Times New Roman" w:cs="Times New Roman"/>
          <w:sz w:val="24"/>
          <w:szCs w:val="24"/>
          <w:lang w:val="en-US" w:eastAsia="zh-CN"/>
        </w:rPr>
        <w:t xml:space="preserve">Кадочникова, Е. И., Багаутдинова, Н. Г., Хомидов, С. О. Отраслевые тенденции совокупной факторной производительности: где потенциал роста? </w:t>
      </w:r>
      <w:r>
        <w:rPr>
          <w:rFonts w:hint="default" w:ascii="Times New Roman" w:hAnsi="Times New Roman" w:cs="Times New Roman"/>
          <w:sz w:val="24"/>
          <w:szCs w:val="24"/>
          <w:lang w:val="ru-RU" w:eastAsia="zh-CN"/>
        </w:rPr>
        <w:t>//</w:t>
      </w:r>
      <w:r>
        <w:rPr>
          <w:rFonts w:hint="default" w:ascii="Times New Roman" w:hAnsi="Times New Roman" w:cs="Times New Roman"/>
          <w:sz w:val="24"/>
          <w:szCs w:val="24"/>
          <w:lang w:val="en-US" w:eastAsia="zh-CN"/>
        </w:rPr>
        <w:t>Russian Journal of Economics and Law</w:t>
      </w:r>
      <w:r>
        <w:rPr>
          <w:rFonts w:hint="default" w:ascii="Times New Roman" w:hAnsi="Times New Roman" w:cs="Times New Roman"/>
          <w:sz w:val="24"/>
          <w:szCs w:val="24"/>
          <w:lang w:val="ru-RU" w:eastAsia="zh-CN"/>
        </w:rPr>
        <w:t>. 2024. №</w:t>
      </w:r>
      <w:r>
        <w:rPr>
          <w:rFonts w:hint="default" w:ascii="Times New Roman" w:hAnsi="Times New Roman" w:cs="Times New Roman"/>
          <w:sz w:val="24"/>
          <w:szCs w:val="24"/>
          <w:lang w:val="en-US" w:eastAsia="zh-CN"/>
        </w:rPr>
        <w:t xml:space="preserve"> 18(4)</w:t>
      </w:r>
      <w:r>
        <w:rPr>
          <w:rFonts w:hint="default" w:ascii="Times New Roman" w:hAnsi="Times New Roman" w:cs="Times New Roman"/>
          <w:sz w:val="24"/>
          <w:szCs w:val="24"/>
          <w:lang w:val="ru-RU" w:eastAsia="zh-CN"/>
        </w:rPr>
        <w:t>. С.</w:t>
      </w:r>
      <w:r>
        <w:rPr>
          <w:rFonts w:hint="default" w:ascii="Times New Roman" w:hAnsi="Times New Roman" w:cs="Times New Roman"/>
          <w:sz w:val="24"/>
          <w:szCs w:val="24"/>
          <w:lang w:val="en-US" w:eastAsia="zh-CN"/>
        </w:rPr>
        <w:t xml:space="preserve"> 876–897. </w:t>
      </w:r>
      <w:r>
        <w:rPr>
          <w:rFonts w:hint="default" w:ascii="Times New Roman" w:hAnsi="Times New Roman" w:cs="Times New Roman"/>
          <w:sz w:val="24"/>
          <w:szCs w:val="24"/>
          <w:lang w:val="en-US" w:eastAsia="zh-CN"/>
        </w:rPr>
        <w:fldChar w:fldCharType="begin"/>
      </w:r>
      <w:r>
        <w:rPr>
          <w:rFonts w:hint="default" w:ascii="Times New Roman" w:hAnsi="Times New Roman" w:cs="Times New Roman"/>
          <w:sz w:val="24"/>
          <w:szCs w:val="24"/>
          <w:lang w:val="en-US" w:eastAsia="zh-CN"/>
        </w:rPr>
        <w:instrText xml:space="preserve"> HYPERLINK "https://doi.org/10.21202/2782-2923.2024.4.876-897" </w:instrText>
      </w:r>
      <w:r>
        <w:rPr>
          <w:rFonts w:hint="default" w:ascii="Times New Roman" w:hAnsi="Times New Roman" w:cs="Times New Roman"/>
          <w:sz w:val="24"/>
          <w:szCs w:val="24"/>
          <w:lang w:val="en-US" w:eastAsia="zh-CN"/>
        </w:rPr>
        <w:fldChar w:fldCharType="separate"/>
      </w:r>
      <w:r>
        <w:rPr>
          <w:rFonts w:hint="default" w:ascii="Times New Roman" w:hAnsi="Times New Roman" w:cs="Times New Roman"/>
          <w:sz w:val="24"/>
          <w:szCs w:val="24"/>
          <w:lang w:val="en-US" w:eastAsia="zh-CN"/>
        </w:rPr>
        <w:t xml:space="preserve">DOI </w:t>
      </w:r>
      <w:r>
        <w:rPr>
          <w:rStyle w:val="6"/>
          <w:rFonts w:hint="default" w:ascii="Times New Roman" w:hAnsi="Times New Roman" w:cs="Times New Roman"/>
          <w:sz w:val="24"/>
          <w:szCs w:val="24"/>
          <w:lang w:val="en-US" w:eastAsia="zh-CN"/>
        </w:rPr>
        <w:t>/10.21202/2782-2923.2024.4.876-897</w:t>
      </w:r>
      <w:r>
        <w:rPr>
          <w:rFonts w:hint="default" w:ascii="Times New Roman" w:hAnsi="Times New Roman" w:cs="Times New Roman"/>
          <w:sz w:val="24"/>
          <w:szCs w:val="24"/>
          <w:lang w:val="en-US" w:eastAsia="zh-CN"/>
        </w:rPr>
        <w:fldChar w:fldCharType="end"/>
      </w:r>
    </w:p>
    <w:p w14:paraId="00363CEC">
      <w:pPr>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0" w:leftChars="0" w:firstLine="660" w:firstLineChars="275"/>
        <w:jc w:val="both"/>
        <w:textAlignment w:val="auto"/>
        <w:rPr>
          <w:rFonts w:hint="default" w:ascii="Times New Roman" w:hAnsi="Times New Roman" w:cs="Times New Roman"/>
          <w:sz w:val="24"/>
          <w:szCs w:val="24"/>
          <w:lang w:val="ru-RU" w:eastAsia="zh-CN"/>
        </w:rPr>
      </w:pPr>
      <w:r>
        <w:rPr>
          <w:rFonts w:hint="default" w:ascii="Times New Roman" w:hAnsi="Times New Roman" w:cs="Times New Roman"/>
          <w:sz w:val="24"/>
          <w:szCs w:val="24"/>
          <w:lang w:val="ru-RU"/>
        </w:rPr>
        <w:t xml:space="preserve">4. </w:t>
      </w:r>
      <w:r>
        <w:rPr>
          <w:rFonts w:hint="default" w:ascii="Times New Roman" w:hAnsi="Times New Roman" w:cs="Times New Roman"/>
          <w:sz w:val="24"/>
          <w:szCs w:val="24"/>
        </w:rPr>
        <w:t>Нелинейные эффекты влияния цифровизации на производительность труда в регионе / А. Ю. Анисимов, Р. Ю. Голиков, В. В. Дробот, И. И. Молчанов // Экономика труда.  2025.  Т. 12, № 6. С. 857-868.  DOI 10.18334/et.12.6.123227</w:t>
      </w:r>
    </w:p>
    <w:p w14:paraId="24E8BAFD">
      <w:pPr>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0" w:leftChars="0" w:firstLine="660" w:firstLineChars="275"/>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ru-RU"/>
        </w:rPr>
        <w:t xml:space="preserve">5. </w:t>
      </w:r>
      <w:r>
        <w:rPr>
          <w:rFonts w:hint="default" w:ascii="Times New Roman" w:hAnsi="Times New Roman" w:cs="Times New Roman"/>
          <w:sz w:val="24"/>
          <w:szCs w:val="24"/>
        </w:rPr>
        <w:t xml:space="preserve">Рачек, С. В. Оценка влияния системы факторов на уровень производительности </w:t>
      </w:r>
      <w:r>
        <w:rPr>
          <w:rFonts w:hint="default" w:ascii="Times New Roman" w:hAnsi="Times New Roman" w:cs="Times New Roman"/>
          <w:sz w:val="24"/>
          <w:szCs w:val="24"/>
        </w:rPr>
        <w:t>труда в ресурсных и нересурсных регионах России / С. В. Рачек, И. Н. Кобзева // Экономика, предпринимательство и право. 2024. Т. 14, № 5.  С. 2269-2282.  DOI 10.18334/epp.14.5.120875</w:t>
      </w:r>
    </w:p>
    <w:p w14:paraId="443E34CA">
      <w:pPr>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0" w:leftChars="0" w:firstLine="660" w:firstLineChars="275"/>
        <w:jc w:val="both"/>
        <w:textAlignment w:val="auto"/>
        <w:rPr>
          <w:rFonts w:hint="default" w:ascii="Times New Roman" w:hAnsi="Times New Roman" w:cs="Times New Roman"/>
          <w:sz w:val="24"/>
          <w:szCs w:val="24"/>
          <w:lang w:val="ru-RU"/>
        </w:rPr>
      </w:pPr>
      <w:r>
        <w:rPr>
          <w:rFonts w:hint="default" w:ascii="Times New Roman" w:hAnsi="Times New Roman" w:cs="Times New Roman"/>
          <w:sz w:val="24"/>
          <w:szCs w:val="24"/>
          <w:lang w:val="ru-RU"/>
        </w:rPr>
        <w:t xml:space="preserve">6. </w:t>
      </w:r>
      <w:r>
        <w:rPr>
          <w:rFonts w:hint="default" w:ascii="Times New Roman" w:hAnsi="Times New Roman" w:cs="Times New Roman"/>
          <w:sz w:val="24"/>
          <w:szCs w:val="24"/>
        </w:rPr>
        <w:t>Франц М</w:t>
      </w:r>
      <w:r>
        <w:rPr>
          <w:rFonts w:hint="default" w:ascii="Times New Roman" w:hAnsi="Times New Roman" w:cs="Times New Roman"/>
          <w:sz w:val="24"/>
          <w:szCs w:val="24"/>
          <w:lang w:val="ru-RU"/>
        </w:rPr>
        <w:t>.В.</w:t>
      </w:r>
      <w:r>
        <w:rPr>
          <w:rFonts w:hint="default" w:ascii="Times New Roman" w:hAnsi="Times New Roman" w:cs="Times New Roman"/>
          <w:sz w:val="24"/>
          <w:szCs w:val="24"/>
        </w:rPr>
        <w:t>, Потапцева Е</w:t>
      </w:r>
      <w:r>
        <w:rPr>
          <w:rFonts w:hint="default" w:ascii="Times New Roman" w:hAnsi="Times New Roman" w:cs="Times New Roman"/>
          <w:sz w:val="24"/>
          <w:szCs w:val="24"/>
          <w:lang w:val="ru-RU"/>
        </w:rPr>
        <w:t>. В.</w:t>
      </w:r>
      <w:r>
        <w:rPr>
          <w:rFonts w:hint="default" w:ascii="Times New Roman" w:hAnsi="Times New Roman" w:cs="Times New Roman"/>
          <w:sz w:val="24"/>
          <w:szCs w:val="24"/>
        </w:rPr>
        <w:t xml:space="preserve"> </w:t>
      </w:r>
      <w:r>
        <w:rPr>
          <w:rFonts w:hint="default" w:ascii="Times New Roman" w:hAnsi="Times New Roman" w:cs="Times New Roman"/>
          <w:sz w:val="24"/>
          <w:szCs w:val="24"/>
        </w:rPr>
        <w:t xml:space="preserve">Взаимосвязь производительности труда и зарплатоотдачи: эмпирический анализ данных регионов </w:t>
      </w:r>
      <w:r>
        <w:rPr>
          <w:rFonts w:hint="default" w:ascii="Times New Roman" w:hAnsi="Times New Roman" w:cs="Times New Roman"/>
          <w:sz w:val="24"/>
          <w:szCs w:val="24"/>
          <w:lang w:val="ru-RU"/>
        </w:rPr>
        <w:t>Р</w:t>
      </w:r>
      <w:r>
        <w:rPr>
          <w:rFonts w:hint="default" w:ascii="Times New Roman" w:hAnsi="Times New Roman" w:cs="Times New Roman"/>
          <w:sz w:val="24"/>
          <w:szCs w:val="24"/>
        </w:rPr>
        <w:t>осси</w:t>
      </w:r>
      <w:r>
        <w:rPr>
          <w:rFonts w:hint="default" w:ascii="Times New Roman" w:hAnsi="Times New Roman" w:cs="Times New Roman"/>
          <w:sz w:val="24"/>
          <w:szCs w:val="24"/>
          <w:lang w:val="ru-RU"/>
        </w:rPr>
        <w:t>и</w:t>
      </w:r>
      <w:r>
        <w:rPr>
          <w:rFonts w:hint="default" w:ascii="Times New Roman" w:hAnsi="Times New Roman" w:cs="Times New Roman"/>
          <w:sz w:val="24"/>
          <w:szCs w:val="24"/>
        </w:rPr>
        <w:t xml:space="preserve"> // ЭНСР. 2022. №3 (98).</w:t>
      </w:r>
      <w:r>
        <w:rPr>
          <w:rFonts w:hint="default" w:ascii="Times New Roman" w:hAnsi="Times New Roman" w:cs="Times New Roman"/>
          <w:sz w:val="24"/>
          <w:szCs w:val="24"/>
          <w:lang w:val="ru-RU"/>
        </w:rPr>
        <w:t xml:space="preserve"> С. 26-35.</w:t>
      </w:r>
    </w:p>
    <w:p w14:paraId="657E8137">
      <w:pPr>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0" w:leftChars="0" w:firstLine="660" w:firstLineChars="275"/>
        <w:jc w:val="both"/>
        <w:textAlignment w:val="auto"/>
        <w:rPr>
          <w:rFonts w:hint="default" w:ascii="Times New Roman" w:hAnsi="Times New Roman" w:cs="Times New Roman"/>
          <w:sz w:val="24"/>
          <w:szCs w:val="24"/>
          <w:lang w:val="en-US" w:eastAsia="zh-CN"/>
        </w:rPr>
      </w:pPr>
      <w:r>
        <w:rPr>
          <w:rFonts w:hint="default" w:ascii="Times New Roman" w:hAnsi="Times New Roman" w:cs="Times New Roman"/>
          <w:sz w:val="24"/>
          <w:szCs w:val="24"/>
          <w:lang w:val="ru-RU" w:eastAsia="zh-CN"/>
        </w:rPr>
        <w:t>7.</w:t>
      </w:r>
      <w:r>
        <w:rPr>
          <w:rFonts w:hint="default" w:ascii="Times New Roman" w:hAnsi="Times New Roman" w:cs="Times New Roman"/>
          <w:sz w:val="24"/>
          <w:szCs w:val="24"/>
          <w:lang w:val="en-US" w:eastAsia="zh-CN"/>
        </w:rPr>
        <w:t>Щербаков А.И. Производительность труда, как экономическая категория и обобщенный показатель эффективности // Социально</w:t>
      </w:r>
      <w:r>
        <w:rPr>
          <w:rFonts w:hint="default" w:ascii="Times New Roman" w:hAnsi="Times New Roman" w:cs="Times New Roman"/>
          <w:sz w:val="24"/>
          <w:szCs w:val="24"/>
          <w:lang w:val="ru-RU" w:eastAsia="zh-CN"/>
        </w:rPr>
        <w:t>-</w:t>
      </w:r>
      <w:r>
        <w:rPr>
          <w:rFonts w:hint="default" w:ascii="Times New Roman" w:hAnsi="Times New Roman" w:cs="Times New Roman"/>
          <w:sz w:val="24"/>
          <w:szCs w:val="24"/>
          <w:lang w:val="en-US" w:eastAsia="zh-CN"/>
        </w:rPr>
        <w:t>трудовые исследования. 2022</w:t>
      </w:r>
      <w:r>
        <w:rPr>
          <w:rFonts w:hint="default" w:ascii="Times New Roman" w:hAnsi="Times New Roman" w:cs="Times New Roman"/>
          <w:sz w:val="24"/>
          <w:szCs w:val="24"/>
          <w:lang w:val="ru-RU" w:eastAsia="zh-CN"/>
        </w:rPr>
        <w:t>. №</w:t>
      </w:r>
      <w:r>
        <w:rPr>
          <w:rFonts w:hint="default" w:ascii="Times New Roman" w:hAnsi="Times New Roman" w:cs="Times New Roman"/>
          <w:sz w:val="24"/>
          <w:szCs w:val="24"/>
          <w:lang w:val="en-US" w:eastAsia="zh-CN"/>
        </w:rPr>
        <w:t>48(3)</w:t>
      </w:r>
      <w:r>
        <w:rPr>
          <w:rFonts w:hint="default" w:ascii="Times New Roman" w:hAnsi="Times New Roman" w:cs="Times New Roman"/>
          <w:sz w:val="24"/>
          <w:szCs w:val="24"/>
          <w:lang w:val="ru-RU" w:eastAsia="zh-CN"/>
        </w:rPr>
        <w:t xml:space="preserve">. С. </w:t>
      </w:r>
      <w:r>
        <w:rPr>
          <w:rFonts w:hint="default" w:ascii="Times New Roman" w:hAnsi="Times New Roman" w:cs="Times New Roman"/>
          <w:sz w:val="24"/>
          <w:szCs w:val="24"/>
          <w:lang w:val="en-US" w:eastAsia="zh-CN"/>
        </w:rPr>
        <w:t>27-34. DOI 10.34022/2658-3712-2022-48-3-27-34.</w:t>
      </w:r>
    </w:p>
    <w:p w14:paraId="1CDEBBD7">
      <w:pPr>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0" w:leftChars="0" w:firstLine="660" w:firstLineChars="275"/>
        <w:jc w:val="both"/>
        <w:textAlignment w:val="auto"/>
        <w:rPr>
          <w:rFonts w:hint="default" w:ascii="Times New Roman" w:hAnsi="Times New Roman" w:cs="Times New Roman"/>
          <w:sz w:val="24"/>
          <w:szCs w:val="24"/>
          <w:lang w:val="en-US" w:eastAsia="zh-CN"/>
        </w:rPr>
      </w:pPr>
    </w:p>
    <w:p w14:paraId="6EA392F1">
      <w:pPr>
        <w:spacing w:after="0" w:line="240" w:lineRule="auto"/>
        <w:ind w:left="-540" w:firstLine="540"/>
        <w:jc w:val="center"/>
        <w:rPr>
          <w:rFonts w:ascii="Times New Roman" w:hAnsi="Times New Roman" w:eastAsia="Calibri" w:cs="Times New Roman"/>
          <w:b/>
          <w:sz w:val="24"/>
        </w:rPr>
      </w:pPr>
      <w:r>
        <w:rPr>
          <w:rFonts w:ascii="Times New Roman" w:hAnsi="Times New Roman" w:eastAsia="Calibri" w:cs="Times New Roman"/>
          <w:b/>
          <w:sz w:val="24"/>
        </w:rPr>
        <w:t>Информация об авторе (-ах) на русском языке</w:t>
      </w:r>
    </w:p>
    <w:p w14:paraId="14490D4E">
      <w:pPr>
        <w:spacing w:after="0" w:line="240" w:lineRule="auto"/>
        <w:ind w:left="0" w:leftChars="0" w:firstLine="660" w:firstLineChars="275"/>
        <w:jc w:val="both"/>
        <w:rPr>
          <w:rFonts w:ascii="Times New Roman" w:hAnsi="Times New Roman" w:eastAsia="Calibri" w:cs="Times New Roman"/>
          <w:sz w:val="24"/>
        </w:rPr>
      </w:pPr>
      <w:r>
        <w:rPr>
          <w:rFonts w:ascii="Times New Roman" w:hAnsi="Times New Roman" w:eastAsia="Calibri" w:cs="Times New Roman"/>
          <w:sz w:val="24"/>
          <w:lang w:val="ru-RU"/>
        </w:rPr>
        <w:t>Мухаметова</w:t>
      </w:r>
      <w:r>
        <w:rPr>
          <w:rFonts w:hint="default" w:ascii="Times New Roman" w:hAnsi="Times New Roman" w:eastAsia="Calibri" w:cs="Times New Roman"/>
          <w:sz w:val="24"/>
          <w:lang w:val="ru-RU"/>
        </w:rPr>
        <w:t xml:space="preserve"> Айгуль Данияровна</w:t>
      </w:r>
      <w:r>
        <w:rPr>
          <w:rFonts w:ascii="Times New Roman" w:hAnsi="Times New Roman" w:eastAsia="Calibri" w:cs="Times New Roman"/>
          <w:sz w:val="24"/>
        </w:rPr>
        <w:t xml:space="preserve"> (</w:t>
      </w:r>
      <w:r>
        <w:rPr>
          <w:rFonts w:ascii="Times New Roman" w:hAnsi="Times New Roman" w:eastAsia="Calibri" w:cs="Times New Roman"/>
          <w:sz w:val="24"/>
          <w:lang w:val="ru-RU"/>
        </w:rPr>
        <w:t>Российская</w:t>
      </w:r>
      <w:r>
        <w:rPr>
          <w:rFonts w:hint="default" w:ascii="Times New Roman" w:hAnsi="Times New Roman" w:eastAsia="Calibri" w:cs="Times New Roman"/>
          <w:sz w:val="24"/>
          <w:lang w:val="ru-RU"/>
        </w:rPr>
        <w:t xml:space="preserve"> Федерация</w:t>
      </w:r>
      <w:r>
        <w:rPr>
          <w:rFonts w:ascii="Times New Roman" w:hAnsi="Times New Roman" w:eastAsia="Calibri" w:cs="Times New Roman"/>
          <w:sz w:val="24"/>
        </w:rPr>
        <w:t xml:space="preserve">, </w:t>
      </w:r>
      <w:r>
        <w:rPr>
          <w:rFonts w:ascii="Times New Roman" w:hAnsi="Times New Roman" w:eastAsia="Calibri" w:cs="Times New Roman"/>
          <w:sz w:val="24"/>
          <w:lang w:val="ru-RU"/>
        </w:rPr>
        <w:t>г</w:t>
      </w:r>
      <w:r>
        <w:rPr>
          <w:rFonts w:hint="default" w:ascii="Times New Roman" w:hAnsi="Times New Roman" w:eastAsia="Calibri" w:cs="Times New Roman"/>
          <w:sz w:val="24"/>
          <w:lang w:val="ru-RU"/>
        </w:rPr>
        <w:t xml:space="preserve">. </w:t>
      </w:r>
      <w:r>
        <w:rPr>
          <w:rFonts w:ascii="Times New Roman" w:hAnsi="Times New Roman" w:eastAsia="Calibri" w:cs="Times New Roman"/>
          <w:sz w:val="24"/>
          <w:lang w:val="ru-RU"/>
        </w:rPr>
        <w:t>Уфа</w:t>
      </w:r>
      <w:r>
        <w:rPr>
          <w:rFonts w:ascii="Times New Roman" w:hAnsi="Times New Roman" w:eastAsia="Calibri" w:cs="Times New Roman"/>
          <w:sz w:val="24"/>
        </w:rPr>
        <w:t xml:space="preserve">) – </w:t>
      </w:r>
      <w:r>
        <w:rPr>
          <w:rFonts w:ascii="Times New Roman" w:hAnsi="Times New Roman" w:eastAsia="Calibri" w:cs="Times New Roman"/>
          <w:sz w:val="24"/>
          <w:lang w:val="ru-RU"/>
        </w:rPr>
        <w:t>старший</w:t>
      </w:r>
      <w:r>
        <w:rPr>
          <w:rFonts w:hint="default" w:ascii="Times New Roman" w:hAnsi="Times New Roman" w:eastAsia="Calibri" w:cs="Times New Roman"/>
          <w:sz w:val="24"/>
          <w:lang w:val="ru-RU"/>
        </w:rPr>
        <w:t xml:space="preserve"> прпедователь кафедры экономической теории и регионального развития</w:t>
      </w:r>
      <w:r>
        <w:rPr>
          <w:rFonts w:ascii="Times New Roman" w:hAnsi="Times New Roman" w:eastAsia="Calibri" w:cs="Times New Roman"/>
          <w:sz w:val="24"/>
        </w:rPr>
        <w:t xml:space="preserve">, </w:t>
      </w:r>
      <w:r>
        <w:rPr>
          <w:rFonts w:ascii="Times New Roman" w:hAnsi="Times New Roman" w:eastAsia="Calibri" w:cs="Times New Roman"/>
          <w:sz w:val="24"/>
          <w:lang w:val="ru-RU"/>
        </w:rPr>
        <w:t>ФГБОУ</w:t>
      </w:r>
      <w:r>
        <w:rPr>
          <w:rFonts w:hint="default" w:ascii="Times New Roman" w:hAnsi="Times New Roman" w:eastAsia="Calibri" w:cs="Times New Roman"/>
          <w:sz w:val="24"/>
          <w:lang w:val="ru-RU"/>
        </w:rPr>
        <w:t xml:space="preserve"> ВО «Уфимский университет науки и технологий»</w:t>
      </w:r>
      <w:r>
        <w:rPr>
          <w:rFonts w:ascii="Times New Roman" w:hAnsi="Times New Roman" w:eastAsia="Calibri" w:cs="Times New Roman"/>
          <w:sz w:val="24"/>
        </w:rPr>
        <w:t xml:space="preserve"> (</w:t>
      </w:r>
      <w:r>
        <w:rPr>
          <w:rFonts w:hint="default" w:ascii="Times New Roman" w:hAnsi="Times New Roman" w:eastAsia="Calibri" w:cs="Times New Roman"/>
          <w:sz w:val="24"/>
          <w:lang w:val="ru-RU"/>
        </w:rPr>
        <w:t>450076, РФ, РБ, г. Уфа, ул. Заки-Валиди,32</w:t>
      </w:r>
      <w:r>
        <w:rPr>
          <w:rFonts w:ascii="Times New Roman" w:hAnsi="Times New Roman" w:eastAsia="Calibri" w:cs="Times New Roman"/>
          <w:sz w:val="24"/>
        </w:rPr>
        <w:t xml:space="preserve">, </w:t>
      </w:r>
      <w:r>
        <w:rPr>
          <w:rFonts w:hint="default" w:ascii="Times New Roman" w:hAnsi="Times New Roman" w:eastAsia="Calibri" w:cs="Times New Roman"/>
          <w:sz w:val="24"/>
          <w:lang w:val="en-US"/>
        </w:rPr>
        <w:t>aigulmd@yandex.ru</w:t>
      </w:r>
      <w:r>
        <w:rPr>
          <w:rFonts w:ascii="Times New Roman" w:hAnsi="Times New Roman" w:eastAsia="Calibri" w:cs="Times New Roman"/>
          <w:sz w:val="24"/>
        </w:rPr>
        <w:t>).</w:t>
      </w:r>
    </w:p>
    <w:p w14:paraId="727C1169">
      <w:pPr>
        <w:spacing w:after="0" w:line="240" w:lineRule="auto"/>
        <w:ind w:left="-540" w:firstLine="540"/>
        <w:jc w:val="both"/>
        <w:rPr>
          <w:rFonts w:ascii="Times New Roman" w:hAnsi="Times New Roman" w:eastAsia="Calibri" w:cs="Times New Roman"/>
          <w:b/>
          <w:sz w:val="24"/>
        </w:rPr>
      </w:pPr>
    </w:p>
    <w:p w14:paraId="1CB4EB73">
      <w:pPr>
        <w:wordWrap w:val="0"/>
        <w:spacing w:after="0" w:line="240" w:lineRule="auto"/>
        <w:ind w:left="-540" w:firstLine="540"/>
        <w:jc w:val="right"/>
        <w:rPr>
          <w:rFonts w:hint="default" w:ascii="Times New Roman" w:hAnsi="Times New Roman" w:eastAsia="Calibri" w:cs="Times New Roman"/>
          <w:b/>
          <w:sz w:val="24"/>
          <w:lang w:val="en-US"/>
        </w:rPr>
      </w:pPr>
      <w:r>
        <w:rPr>
          <w:rFonts w:hint="default" w:ascii="Times New Roman" w:hAnsi="Times New Roman" w:eastAsia="Calibri" w:cs="Times New Roman"/>
          <w:b/>
          <w:sz w:val="24"/>
          <w:lang w:val="en-US"/>
        </w:rPr>
        <w:t>Mukhametova A.D.</w:t>
      </w:r>
    </w:p>
    <w:p w14:paraId="59B385FD">
      <w:pPr>
        <w:spacing w:after="0" w:line="240" w:lineRule="auto"/>
        <w:ind w:left="-540" w:firstLine="540"/>
        <w:jc w:val="center"/>
        <w:rPr>
          <w:rFonts w:hint="default" w:ascii="Times New Roman" w:hAnsi="Times New Roman" w:eastAsia="Times New Roman" w:cs="Times New Roman"/>
          <w:b/>
          <w:bCs/>
          <w:sz w:val="24"/>
          <w:szCs w:val="24"/>
          <w:lang w:eastAsia="ru-RU"/>
        </w:rPr>
      </w:pPr>
      <w:r>
        <w:rPr>
          <w:rFonts w:hint="default" w:ascii="Times New Roman" w:hAnsi="Times New Roman" w:eastAsia="Arial" w:cs="Times New Roman"/>
          <w:b/>
          <w:bCs/>
          <w:i w:val="0"/>
          <w:iCs w:val="0"/>
          <w:caps w:val="0"/>
          <w:color w:val="000000"/>
          <w:spacing w:val="0"/>
          <w:sz w:val="24"/>
          <w:szCs w:val="24"/>
        </w:rPr>
        <w:t>FACTORS OF INTERREGIONAL VARIABILITY OF LABOR PRODUCTIVITY IN THE SUBJECTS OF THE RUSSIAN FEDERATION</w:t>
      </w:r>
      <w:r>
        <w:rPr>
          <w:rFonts w:hint="default" w:ascii="Times New Roman" w:hAnsi="Times New Roman" w:eastAsia="Times New Roman" w:cs="Times New Roman"/>
          <w:b/>
          <w:bCs/>
          <w:sz w:val="24"/>
          <w:szCs w:val="24"/>
          <w:lang w:eastAsia="ru-RU"/>
        </w:rPr>
        <w:t xml:space="preserve"> </w:t>
      </w:r>
    </w:p>
    <w:p w14:paraId="60EDE7A6">
      <w:pPr>
        <w:spacing w:after="0" w:line="240" w:lineRule="auto"/>
        <w:ind w:left="0" w:leftChars="0" w:firstLine="660" w:firstLineChars="275"/>
        <w:jc w:val="both"/>
        <w:rPr>
          <w:rFonts w:hint="default" w:ascii="Times New Roman" w:hAnsi="Times New Roman" w:eastAsia="Times New Roman"/>
          <w:b w:val="0"/>
          <w:bCs/>
          <w:sz w:val="24"/>
          <w:lang w:eastAsia="ru-RU"/>
        </w:rPr>
      </w:pPr>
      <w:r>
        <w:rPr>
          <w:rFonts w:hint="default" w:ascii="Times New Roman" w:hAnsi="Times New Roman" w:eastAsia="Times New Roman"/>
          <w:b w:val="0"/>
          <w:bCs/>
          <w:sz w:val="24"/>
          <w:lang w:eastAsia="ru-RU"/>
        </w:rPr>
        <w:t>This article examines the determinants of interregional variability in labor productivity with the aim of identifying the factors driving spatial inequality. The study analyzes indicators such as GRP, GRP per capita per employed person, capital productivity, capital-labor ratio, and others. Specifically, regional territorial characteristics, specialization, capital intensity, and labor intensity influence interregional variability in labor productivity across Russian Federation constituent entities.</w:t>
      </w:r>
    </w:p>
    <w:p w14:paraId="4F49689F">
      <w:pPr>
        <w:spacing w:after="0" w:line="240" w:lineRule="auto"/>
        <w:ind w:left="0" w:leftChars="0" w:firstLine="660" w:firstLineChars="275"/>
        <w:jc w:val="both"/>
        <w:rPr>
          <w:rFonts w:hint="default" w:ascii="Times New Roman" w:hAnsi="Times New Roman" w:eastAsia="Times New Roman" w:cs="Times New Roman"/>
          <w:b w:val="0"/>
          <w:bCs/>
          <w:sz w:val="24"/>
          <w:szCs w:val="24"/>
          <w:lang w:eastAsia="ru-RU"/>
        </w:rPr>
      </w:pPr>
      <w:bookmarkStart w:id="0" w:name="_GoBack"/>
      <w:bookmarkEnd w:id="0"/>
      <w:r>
        <w:rPr>
          <w:rFonts w:hint="default" w:ascii="Times New Roman" w:hAnsi="Times New Roman" w:eastAsia="Times New Roman" w:cs="Times New Roman"/>
          <w:b w:val="0"/>
          <w:bCs/>
          <w:sz w:val="24"/>
          <w:szCs w:val="24"/>
          <w:lang w:eastAsia="ru-RU"/>
        </w:rPr>
        <w:t xml:space="preserve">Regional economic development, labor productivity, </w:t>
      </w:r>
      <w:r>
        <w:rPr>
          <w:rFonts w:hint="default" w:ascii="Times New Roman" w:hAnsi="Times New Roman" w:eastAsia="Arial" w:cs="Times New Roman"/>
          <w:i w:val="0"/>
          <w:iCs w:val="0"/>
          <w:caps w:val="0"/>
          <w:color w:val="000000"/>
          <w:spacing w:val="0"/>
          <w:sz w:val="24"/>
          <w:szCs w:val="24"/>
        </w:rPr>
        <w:t>factors, return on capital, capital intensity, employment, and human capital</w:t>
      </w:r>
    </w:p>
    <w:p w14:paraId="51963322">
      <w:pPr>
        <w:spacing w:after="0" w:line="240" w:lineRule="auto"/>
        <w:ind w:left="0" w:leftChars="0" w:firstLine="660" w:firstLineChars="275"/>
        <w:jc w:val="center"/>
        <w:rPr>
          <w:rFonts w:ascii="Times New Roman" w:hAnsi="Times New Roman" w:eastAsia="Times New Roman" w:cs="Times New Roman"/>
          <w:b/>
          <w:sz w:val="24"/>
          <w:lang w:eastAsia="ru-RU"/>
        </w:rPr>
      </w:pPr>
    </w:p>
    <w:p w14:paraId="673A6289">
      <w:pPr>
        <w:spacing w:after="0" w:line="240" w:lineRule="auto"/>
        <w:ind w:left="0" w:leftChars="0" w:firstLine="660" w:firstLineChars="275"/>
        <w:jc w:val="center"/>
        <w:rPr>
          <w:rFonts w:ascii="Times New Roman" w:hAnsi="Times New Roman" w:eastAsia="Times New Roman" w:cs="Times New Roman"/>
          <w:b/>
          <w:sz w:val="24"/>
          <w:lang w:eastAsia="ru-RU"/>
        </w:rPr>
      </w:pPr>
      <w:r>
        <w:rPr>
          <w:rFonts w:ascii="Times New Roman" w:hAnsi="Times New Roman" w:eastAsia="Times New Roman" w:cs="Times New Roman"/>
          <w:b/>
          <w:sz w:val="24"/>
          <w:lang w:eastAsia="ru-RU"/>
        </w:rPr>
        <w:t>Информация об авторе (-ах) на английском языке</w:t>
      </w:r>
    </w:p>
    <w:p w14:paraId="1BF5A170">
      <w:pPr>
        <w:spacing w:after="0" w:line="240" w:lineRule="auto"/>
        <w:ind w:left="0" w:leftChars="0" w:firstLine="660" w:firstLineChars="275"/>
        <w:jc w:val="both"/>
        <w:rPr>
          <w:rFonts w:hint="default" w:ascii="Times New Roman" w:hAnsi="Times New Roman" w:eastAsia="Times New Roman"/>
          <w:sz w:val="24"/>
          <w:u w:val="none"/>
          <w:lang w:eastAsia="ru-RU"/>
        </w:rPr>
      </w:pPr>
      <w:r>
        <w:rPr>
          <w:rFonts w:hint="default" w:ascii="Times New Roman" w:hAnsi="Times New Roman" w:eastAsia="Times New Roman"/>
          <w:sz w:val="24"/>
          <w:u w:val="none"/>
          <w:lang w:eastAsia="ru-RU"/>
        </w:rPr>
        <w:t xml:space="preserve">Mukhametova Aigul Daniyarovna (Russian Federation, Ufa) – Senior Lecturer, Department of Economic Theory and Regional Development, Ufa University of Science and Technology (450076, </w:t>
      </w:r>
      <w:r>
        <w:rPr>
          <w:rFonts w:hint="default" w:ascii="Times New Roman" w:hAnsi="Times New Roman" w:eastAsia="Times New Roman"/>
          <w:sz w:val="24"/>
          <w:u w:val="none"/>
          <w:lang w:val="en-US" w:eastAsia="ru-RU"/>
        </w:rPr>
        <w:t xml:space="preserve">app. 32, </w:t>
      </w:r>
      <w:r>
        <w:rPr>
          <w:rFonts w:hint="default" w:ascii="Times New Roman" w:hAnsi="Times New Roman" w:eastAsia="Times New Roman"/>
          <w:sz w:val="24"/>
          <w:u w:val="none"/>
          <w:lang w:eastAsia="ru-RU"/>
        </w:rPr>
        <w:t>Zaki Validi St</w:t>
      </w:r>
      <w:r>
        <w:rPr>
          <w:rFonts w:hint="default" w:ascii="Times New Roman" w:hAnsi="Times New Roman" w:eastAsia="Times New Roman"/>
          <w:sz w:val="24"/>
          <w:u w:val="none"/>
          <w:lang w:val="en-US" w:eastAsia="ru-RU"/>
        </w:rPr>
        <w:t xml:space="preserve">., </w:t>
      </w:r>
      <w:r>
        <w:rPr>
          <w:rFonts w:hint="default" w:ascii="Times New Roman" w:hAnsi="Times New Roman" w:eastAsia="Times New Roman"/>
          <w:sz w:val="24"/>
          <w:u w:val="none"/>
          <w:lang w:eastAsia="ru-RU"/>
        </w:rPr>
        <w:t>Ufa,</w:t>
      </w:r>
      <w:r>
        <w:rPr>
          <w:rFonts w:hint="default" w:ascii="Times New Roman" w:hAnsi="Times New Roman" w:eastAsia="Times New Roman"/>
          <w:sz w:val="24"/>
          <w:u w:val="none"/>
          <w:lang w:val="en-US" w:eastAsia="ru-RU"/>
        </w:rPr>
        <w:t xml:space="preserve"> </w:t>
      </w:r>
      <w:r>
        <w:rPr>
          <w:rFonts w:hint="default" w:ascii="Times New Roman" w:hAnsi="Times New Roman" w:eastAsia="Times New Roman"/>
          <w:sz w:val="24"/>
          <w:u w:val="none"/>
          <w:lang w:eastAsia="ru-RU"/>
        </w:rPr>
        <w:t>Russian Federation</w:t>
      </w:r>
      <w:r>
        <w:rPr>
          <w:rFonts w:hint="default" w:ascii="Times New Roman" w:hAnsi="Times New Roman" w:eastAsia="Times New Roman"/>
          <w:sz w:val="24"/>
          <w:u w:val="none"/>
          <w:lang w:val="en-US" w:eastAsia="ru-RU"/>
        </w:rPr>
        <w:t>)</w:t>
      </w:r>
      <w:r>
        <w:rPr>
          <w:rFonts w:hint="default" w:ascii="Times New Roman" w:hAnsi="Times New Roman" w:eastAsia="Times New Roman"/>
          <w:sz w:val="24"/>
          <w:u w:val="none"/>
          <w:lang w:eastAsia="ru-RU"/>
        </w:rPr>
        <w:t xml:space="preserve"> aigulmd@yandex.ru).</w:t>
      </w:r>
    </w:p>
    <w:p w14:paraId="1EFBC674">
      <w:pPr>
        <w:spacing w:after="0" w:line="240" w:lineRule="auto"/>
        <w:ind w:left="-540" w:firstLine="540"/>
        <w:jc w:val="both"/>
        <w:rPr>
          <w:rFonts w:hint="default" w:ascii="Times New Roman" w:hAnsi="Times New Roman" w:eastAsia="Times New Roman"/>
          <w:sz w:val="24"/>
          <w:u w:val="none"/>
          <w:lang w:eastAsia="ru-RU"/>
        </w:rPr>
      </w:pPr>
    </w:p>
    <w:p w14:paraId="359B1F21">
      <w:pPr>
        <w:spacing w:after="0" w:line="240" w:lineRule="auto"/>
        <w:ind w:left="-540" w:firstLine="540"/>
        <w:jc w:val="center"/>
        <w:rPr>
          <w:rFonts w:ascii="Times New Roman" w:hAnsi="Times New Roman" w:eastAsia="Times New Roman" w:cs="Times New Roman"/>
          <w:b/>
          <w:sz w:val="24"/>
          <w:lang w:eastAsia="ru-RU"/>
        </w:rPr>
      </w:pPr>
      <w:r>
        <w:rPr>
          <w:rFonts w:ascii="Times New Roman" w:hAnsi="Times New Roman" w:eastAsia="Times New Roman" w:cs="Times New Roman"/>
          <w:b/>
          <w:sz w:val="24"/>
          <w:lang w:eastAsia="ru-RU"/>
        </w:rPr>
        <w:t>Библиографический список на английском языке</w:t>
      </w:r>
    </w:p>
    <w:p w14:paraId="642BB7BA">
      <w:pPr>
        <w:widowControl w:val="0"/>
        <w:suppressAutoHyphens/>
        <w:spacing w:after="0" w:line="240" w:lineRule="auto"/>
        <w:ind w:left="0" w:leftChars="0" w:firstLine="660" w:firstLineChars="275"/>
        <w:jc w:val="both"/>
        <w:rPr>
          <w:rFonts w:hint="default" w:ascii="Times New Roman" w:hAnsi="Times New Roman" w:eastAsia="Times New Roman"/>
          <w:sz w:val="24"/>
          <w:lang w:eastAsia="ru-RU"/>
        </w:rPr>
      </w:pPr>
      <w:r>
        <w:rPr>
          <w:rFonts w:hint="default" w:ascii="Times New Roman" w:hAnsi="Times New Roman" w:eastAsia="Times New Roman"/>
          <w:sz w:val="24"/>
          <w:lang w:val="en-US" w:eastAsia="ru-RU"/>
        </w:rPr>
        <w:t>1.</w:t>
      </w:r>
      <w:r>
        <w:rPr>
          <w:rFonts w:hint="default" w:ascii="Times New Roman" w:hAnsi="Times New Roman" w:eastAsia="Times New Roman"/>
          <w:sz w:val="24"/>
          <w:lang w:eastAsia="ru-RU"/>
        </w:rPr>
        <w:t>Allagulov R.Kh. Production Innovations: Combining Automation and Digital Solutions for Efficiency Growth // Bulletin of the Volga Region State University of Service. Series: Economics. 2026. Vol. 22. No. 1 (84). Pp. 5-8.</w:t>
      </w:r>
    </w:p>
    <w:p w14:paraId="7AA81091">
      <w:pPr>
        <w:widowControl w:val="0"/>
        <w:suppressAutoHyphens/>
        <w:spacing w:after="0" w:line="240" w:lineRule="auto"/>
        <w:ind w:left="0" w:leftChars="0" w:firstLine="660" w:firstLineChars="275"/>
        <w:jc w:val="both"/>
        <w:rPr>
          <w:rFonts w:hint="default" w:ascii="Times New Roman" w:hAnsi="Times New Roman" w:eastAsia="Times New Roman"/>
          <w:sz w:val="24"/>
          <w:lang w:eastAsia="ru-RU"/>
        </w:rPr>
      </w:pPr>
      <w:r>
        <w:rPr>
          <w:rFonts w:hint="default" w:ascii="Times New Roman" w:hAnsi="Times New Roman" w:eastAsia="Times New Roman"/>
          <w:sz w:val="24"/>
          <w:lang w:eastAsia="ru-RU"/>
        </w:rPr>
        <w:t>2. Burtseva T.A., Frenkel A.A., Surkov A.A. Statistical Modeling of Regional Labor Productivity // Voprosy Statistiki. 2022. No. 29 (4). Pp. 62-70.</w:t>
      </w:r>
    </w:p>
    <w:p w14:paraId="34FEC151">
      <w:pPr>
        <w:widowControl w:val="0"/>
        <w:suppressAutoHyphens/>
        <w:spacing w:after="0" w:line="240" w:lineRule="auto"/>
        <w:ind w:left="0" w:leftChars="0" w:firstLine="660" w:firstLineChars="275"/>
        <w:jc w:val="both"/>
        <w:rPr>
          <w:rFonts w:hint="default" w:ascii="Times New Roman" w:hAnsi="Times New Roman" w:eastAsia="Times New Roman"/>
          <w:sz w:val="24"/>
          <w:lang w:eastAsia="ru-RU"/>
        </w:rPr>
      </w:pPr>
      <w:r>
        <w:rPr>
          <w:rFonts w:hint="default" w:ascii="Times New Roman" w:hAnsi="Times New Roman" w:eastAsia="Times New Roman"/>
          <w:sz w:val="24"/>
          <w:lang w:eastAsia="ru-RU"/>
        </w:rPr>
        <w:t>3. Kadochnikova, E.I., Bagautdinova, N.G., Khomidov, S.O. Industry Trends in Total Factor Productivity: Where is the Growth Potential? // Russian Journal of Economics and Law. 2024. No. 18 (4). Pp. 876-897. DOI /10.21202/2782-2923.2024.4.876-897</w:t>
      </w:r>
    </w:p>
    <w:p w14:paraId="29BA75EA">
      <w:pPr>
        <w:widowControl w:val="0"/>
        <w:suppressAutoHyphens/>
        <w:spacing w:after="0" w:line="240" w:lineRule="auto"/>
        <w:ind w:left="0" w:leftChars="0" w:firstLine="660" w:firstLineChars="275"/>
        <w:jc w:val="both"/>
        <w:rPr>
          <w:rFonts w:hint="default" w:ascii="Times New Roman" w:hAnsi="Times New Roman" w:eastAsia="Times New Roman"/>
          <w:sz w:val="24"/>
          <w:lang w:eastAsia="ru-RU"/>
        </w:rPr>
      </w:pPr>
      <w:r>
        <w:rPr>
          <w:rFonts w:hint="default" w:ascii="Times New Roman" w:hAnsi="Times New Roman" w:eastAsia="Times New Roman"/>
          <w:sz w:val="24"/>
          <w:lang w:eastAsia="ru-RU"/>
        </w:rPr>
        <w:t>4. Nonlinear effects of digitalization on labor productivity in the region / A. Yu. Anisimov, R. Yu. Golikov, V. V. Drobot, I. I. Molchanov // Labor Economics. 2025. Vol. 12, No. 6. Pp. 857-868. DOI 10.18334/et.12.6.123227</w:t>
      </w:r>
    </w:p>
    <w:p w14:paraId="7EF580EA">
      <w:pPr>
        <w:widowControl w:val="0"/>
        <w:suppressAutoHyphens/>
        <w:spacing w:after="0" w:line="240" w:lineRule="auto"/>
        <w:ind w:left="0" w:leftChars="0" w:firstLine="660" w:firstLineChars="275"/>
        <w:jc w:val="both"/>
        <w:rPr>
          <w:rFonts w:hint="default" w:ascii="Times New Roman" w:hAnsi="Times New Roman" w:eastAsia="Times New Roman"/>
          <w:sz w:val="24"/>
          <w:lang w:eastAsia="ru-RU"/>
        </w:rPr>
      </w:pPr>
      <w:r>
        <w:rPr>
          <w:rFonts w:hint="default" w:ascii="Times New Roman" w:hAnsi="Times New Roman" w:eastAsia="Times New Roman"/>
          <w:sz w:val="24"/>
          <w:lang w:eastAsia="ru-RU"/>
        </w:rPr>
        <w:t>5. Rachek, S. V. Assessing the influence of the factor system on the level of labor productivity in resource and non-resource regions of Russia / S. V. Rachek, I. N. Kobzeva // Economy, Entrepreneurship and Law. 2024. Vol. 14, No. 5. Pp. 2269-2282. DOI 10.18334/epp.14.5.120875</w:t>
      </w:r>
    </w:p>
    <w:p w14:paraId="1F45546D">
      <w:pPr>
        <w:widowControl w:val="0"/>
        <w:suppressAutoHyphens/>
        <w:spacing w:after="0" w:line="240" w:lineRule="auto"/>
        <w:ind w:left="0" w:leftChars="0" w:firstLine="660" w:firstLineChars="275"/>
        <w:jc w:val="both"/>
        <w:rPr>
          <w:rFonts w:hint="default" w:ascii="Times New Roman" w:hAnsi="Times New Roman" w:eastAsia="Times New Roman"/>
          <w:sz w:val="24"/>
          <w:lang w:eastAsia="ru-RU"/>
        </w:rPr>
      </w:pPr>
      <w:r>
        <w:rPr>
          <w:rFonts w:hint="default" w:ascii="Times New Roman" w:hAnsi="Times New Roman" w:eastAsia="Times New Roman"/>
          <w:sz w:val="24"/>
          <w:lang w:eastAsia="ru-RU"/>
        </w:rPr>
        <w:t>6. Franz M.V., Potaptseva E.V. The relationship between labor productivity and wage returns: an empirical analysis of data from Russian regions // ENSR. 2022. No. 3 (98). P. 26-35.</w:t>
      </w:r>
    </w:p>
    <w:p w14:paraId="6BA7EDF5">
      <w:pPr>
        <w:widowControl w:val="0"/>
        <w:numPr>
          <w:ilvl w:val="0"/>
          <w:numId w:val="1"/>
        </w:numPr>
        <w:suppressAutoHyphens/>
        <w:spacing w:after="0" w:line="240" w:lineRule="auto"/>
        <w:ind w:left="0" w:leftChars="0" w:firstLine="660" w:firstLineChars="275"/>
        <w:jc w:val="both"/>
        <w:rPr>
          <w:rFonts w:hint="default" w:ascii="Times New Roman" w:hAnsi="Times New Roman" w:eastAsia="Times New Roman"/>
          <w:sz w:val="24"/>
          <w:lang w:eastAsia="ru-RU"/>
        </w:rPr>
      </w:pPr>
      <w:r>
        <w:rPr>
          <w:rFonts w:hint="default" w:ascii="Times New Roman" w:hAnsi="Times New Roman" w:eastAsia="Times New Roman"/>
          <w:sz w:val="24"/>
          <w:lang w:eastAsia="ru-RU"/>
        </w:rPr>
        <w:t>Shcherbakov A.I. Labor productivity as an economic category and a generalized indicator of efficiency // Social and labor studies. 2022. No. 48(3). P. 27-34. DOI 10.34022/2658-3712-2022-48-3-27-34.</w:t>
      </w:r>
    </w:p>
    <w:p w14:paraId="250E39FC">
      <w:pPr>
        <w:widowControl w:val="0"/>
        <w:suppressAutoHyphens/>
        <w:spacing w:after="0" w:line="240" w:lineRule="auto"/>
        <w:jc w:val="both"/>
        <w:rPr>
          <w:rFonts w:ascii="Times New Roman" w:hAnsi="Times New Roman" w:eastAsia="Times New Roman" w:cs="Times New Roman"/>
          <w:sz w:val="24"/>
          <w:lang w:eastAsia="ru-RU"/>
        </w:rPr>
      </w:pPr>
    </w:p>
    <w:p w14:paraId="2DD34487">
      <w:pPr>
        <w:widowControl w:val="0"/>
        <w:suppressAutoHyphens/>
        <w:spacing w:after="0" w:line="240" w:lineRule="auto"/>
        <w:jc w:val="both"/>
        <w:rPr>
          <w:rFonts w:ascii="Times New Roman" w:hAnsi="Times New Roman" w:eastAsia="Times New Roman" w:cs="Times New Roman"/>
          <w:sz w:val="24"/>
          <w:lang w:eastAsia="ru-RU"/>
        </w:rPr>
      </w:pPr>
    </w:p>
    <w:p w14:paraId="725E2135">
      <w:pPr>
        <w:spacing w:after="0" w:line="240" w:lineRule="auto"/>
        <w:rPr>
          <w:rFonts w:hint="default" w:ascii="Times New Roman" w:hAnsi="Times New Roman" w:eastAsia="Helvetica" w:cs="Times New Roman"/>
          <w:i w:val="0"/>
          <w:iCs w:val="0"/>
          <w:caps w:val="0"/>
          <w:color w:val="383838"/>
          <w:spacing w:val="0"/>
          <w:sz w:val="28"/>
          <w:szCs w:val="28"/>
          <w:shd w:val="clear" w:fill="F6F6F3"/>
        </w:rPr>
      </w:pPr>
    </w:p>
    <w:sectPr>
      <w:pgSz w:w="11906" w:h="16838"/>
      <w:pgMar w:top="1134" w:right="1134" w:bottom="1134" w:left="1134"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CC"/>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w:panose1 w:val="020F0502020204030204"/>
    <w:charset w:val="01"/>
    <w:family w:val="auto"/>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Calibri Light">
    <w:panose1 w:val="020F0302020204030204"/>
    <w:charset w:val="00"/>
    <w:family w:val="auto"/>
    <w:pitch w:val="default"/>
    <w:sig w:usb0="E4002EFF" w:usb1="C000247B" w:usb2="00000009" w:usb3="00000000" w:csb0="200001FF" w:csb1="00000000"/>
  </w:font>
  <w:font w:name="Symbol">
    <w:panose1 w:val="05050102010706020507"/>
    <w:charset w:val="00"/>
    <w:family w:val="auto"/>
    <w:pitch w:val="default"/>
    <w:sig w:usb0="00000000" w:usb1="00000000" w:usb2="00000000" w:usb3="00000000" w:csb0="80000000" w:csb1="00000000"/>
  </w:font>
  <w:font w:name="Bahnschrift Condensed">
    <w:panose1 w:val="020B0502040204020203"/>
    <w:charset w:val="00"/>
    <w:family w:val="auto"/>
    <w:pitch w:val="default"/>
    <w:sig w:usb0="A00002C7" w:usb1="00000002" w:usb2="00000000" w:usb3="00000000" w:csb0="2000019F" w:csb1="00000000"/>
  </w:font>
  <w:font w:name="sans-serif">
    <w:altName w:val="Segoe Print"/>
    <w:panose1 w:val="00000000000000000000"/>
    <w:charset w:val="00"/>
    <w:family w:val="auto"/>
    <w:pitch w:val="default"/>
    <w:sig w:usb0="00000000" w:usb1="00000000" w:usb2="00000000" w:usb3="00000000" w:csb0="00000000" w:csb1="00000000"/>
  </w:font>
  <w:font w:name="Segoe UI Light">
    <w:panose1 w:val="020B0502040204020203"/>
    <w:charset w:val="00"/>
    <w:family w:val="auto"/>
    <w:pitch w:val="default"/>
    <w:sig w:usb0="E4002EFF" w:usb1="C000E47F"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D85BC7"/>
    <w:multiLevelType w:val="singleLevel"/>
    <w:tmpl w:val="DFD85BC7"/>
    <w:lvl w:ilvl="0" w:tentative="0">
      <w:start w:val="7"/>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08"/>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93BEC"/>
    <w:rsid w:val="00136F77"/>
    <w:rsid w:val="00190B14"/>
    <w:rsid w:val="001B5953"/>
    <w:rsid w:val="00287F75"/>
    <w:rsid w:val="002E1784"/>
    <w:rsid w:val="00353244"/>
    <w:rsid w:val="0044325D"/>
    <w:rsid w:val="00590F6E"/>
    <w:rsid w:val="005F5AF9"/>
    <w:rsid w:val="00787640"/>
    <w:rsid w:val="007C5690"/>
    <w:rsid w:val="007D79E0"/>
    <w:rsid w:val="00827E82"/>
    <w:rsid w:val="00854770"/>
    <w:rsid w:val="008C75C1"/>
    <w:rsid w:val="0091447E"/>
    <w:rsid w:val="00916BF7"/>
    <w:rsid w:val="00BC155A"/>
    <w:rsid w:val="00EA4672"/>
    <w:rsid w:val="01F30842"/>
    <w:rsid w:val="0499033E"/>
    <w:rsid w:val="05C63706"/>
    <w:rsid w:val="05D76768"/>
    <w:rsid w:val="0997600A"/>
    <w:rsid w:val="09BC1108"/>
    <w:rsid w:val="0A657C42"/>
    <w:rsid w:val="0F0F2FF0"/>
    <w:rsid w:val="11391E53"/>
    <w:rsid w:val="1363535C"/>
    <w:rsid w:val="16B52250"/>
    <w:rsid w:val="18282FDA"/>
    <w:rsid w:val="196E6BC6"/>
    <w:rsid w:val="1A706810"/>
    <w:rsid w:val="1ACF5A35"/>
    <w:rsid w:val="1B693F80"/>
    <w:rsid w:val="1B9A1EBC"/>
    <w:rsid w:val="1BC10699"/>
    <w:rsid w:val="1D295DF7"/>
    <w:rsid w:val="1E1E39F6"/>
    <w:rsid w:val="1E38526F"/>
    <w:rsid w:val="2105123B"/>
    <w:rsid w:val="230A5871"/>
    <w:rsid w:val="235A2E3C"/>
    <w:rsid w:val="2AB770A3"/>
    <w:rsid w:val="2BD3639E"/>
    <w:rsid w:val="2E591798"/>
    <w:rsid w:val="303C2AC0"/>
    <w:rsid w:val="32096FCD"/>
    <w:rsid w:val="332F6AAA"/>
    <w:rsid w:val="350D3027"/>
    <w:rsid w:val="35D04E83"/>
    <w:rsid w:val="36FC7442"/>
    <w:rsid w:val="37C73291"/>
    <w:rsid w:val="380C2E83"/>
    <w:rsid w:val="38735D2A"/>
    <w:rsid w:val="3EA73F87"/>
    <w:rsid w:val="3F727B73"/>
    <w:rsid w:val="3FE21DB9"/>
    <w:rsid w:val="421C6B06"/>
    <w:rsid w:val="42736C5B"/>
    <w:rsid w:val="45F1666A"/>
    <w:rsid w:val="462D2033"/>
    <w:rsid w:val="468A6DA0"/>
    <w:rsid w:val="47D420F5"/>
    <w:rsid w:val="489B1216"/>
    <w:rsid w:val="494729C5"/>
    <w:rsid w:val="49E863A7"/>
    <w:rsid w:val="4BD51E2F"/>
    <w:rsid w:val="4BE22E3F"/>
    <w:rsid w:val="4DDD1B44"/>
    <w:rsid w:val="515776DE"/>
    <w:rsid w:val="51767037"/>
    <w:rsid w:val="519E7FF6"/>
    <w:rsid w:val="51E33C81"/>
    <w:rsid w:val="529D3D17"/>
    <w:rsid w:val="537B604E"/>
    <w:rsid w:val="53B82FE0"/>
    <w:rsid w:val="5CE91EE0"/>
    <w:rsid w:val="5DA96867"/>
    <w:rsid w:val="5E975F32"/>
    <w:rsid w:val="5FE20FDE"/>
    <w:rsid w:val="61C21F70"/>
    <w:rsid w:val="650349CD"/>
    <w:rsid w:val="657B30F6"/>
    <w:rsid w:val="662621A5"/>
    <w:rsid w:val="665B4BFD"/>
    <w:rsid w:val="6686466B"/>
    <w:rsid w:val="6A0C1A42"/>
    <w:rsid w:val="6B313889"/>
    <w:rsid w:val="6DD05449"/>
    <w:rsid w:val="6ECE20D9"/>
    <w:rsid w:val="6F423626"/>
    <w:rsid w:val="724A1166"/>
    <w:rsid w:val="7254330D"/>
    <w:rsid w:val="7403672E"/>
    <w:rsid w:val="762627B2"/>
    <w:rsid w:val="76BC6069"/>
    <w:rsid w:val="78E540CE"/>
    <w:rsid w:val="78F91889"/>
    <w:rsid w:val="7AC86B24"/>
    <w:rsid w:val="7E2E1411"/>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ru-RU" w:eastAsia="en-US" w:bidi="ar-SA"/>
    </w:rPr>
  </w:style>
  <w:style w:type="paragraph" w:styleId="2">
    <w:name w:val="heading 1"/>
    <w:basedOn w:val="1"/>
    <w:next w:val="1"/>
    <w:link w:val="11"/>
    <w:qFormat/>
    <w:uiPriority w:val="9"/>
    <w:pPr>
      <w:keepNext/>
      <w:keepLines/>
      <w:spacing w:before="240" w:after="0"/>
      <w:outlineLvl w:val="0"/>
    </w:pPr>
    <w:rPr>
      <w:rFonts w:asciiTheme="majorHAnsi" w:hAnsiTheme="majorHAnsi" w:eastAsiaTheme="majorEastAsia" w:cstheme="majorBidi"/>
      <w:color w:val="2E75B6" w:themeColor="accent1" w:themeShade="BF"/>
      <w:sz w:val="32"/>
      <w:szCs w:val="32"/>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footnote reference"/>
    <w:basedOn w:val="3"/>
    <w:unhideWhenUsed/>
    <w:qFormat/>
    <w:uiPriority w:val="99"/>
    <w:rPr>
      <w:vertAlign w:val="superscript"/>
    </w:rPr>
  </w:style>
  <w:style w:type="character" w:styleId="6">
    <w:name w:val="Hyperlink"/>
    <w:basedOn w:val="3"/>
    <w:unhideWhenUsed/>
    <w:qFormat/>
    <w:uiPriority w:val="99"/>
    <w:rPr>
      <w:color w:val="0563C1" w:themeColor="hyperlink"/>
      <w:u w:val="single"/>
      <w14:textFill>
        <w14:solidFill>
          <w14:schemeClr w14:val="hlink"/>
        </w14:solidFill>
      </w14:textFill>
    </w:rPr>
  </w:style>
  <w:style w:type="character" w:customStyle="1" w:styleId="7">
    <w:name w:val="Заголовок №1_"/>
    <w:basedOn w:val="3"/>
    <w:link w:val="8"/>
    <w:qFormat/>
    <w:locked/>
    <w:uiPriority w:val="99"/>
    <w:rPr>
      <w:rFonts w:ascii="Times New Roman" w:hAnsi="Times New Roman" w:cs="Times New Roman"/>
      <w:b/>
      <w:bCs/>
      <w:spacing w:val="-7"/>
      <w:sz w:val="24"/>
      <w:szCs w:val="31"/>
      <w:shd w:val="clear" w:color="auto" w:fill="FFFFFF"/>
    </w:rPr>
  </w:style>
  <w:style w:type="paragraph" w:customStyle="1" w:styleId="8">
    <w:name w:val="Заголовок №1"/>
    <w:basedOn w:val="1"/>
    <w:link w:val="7"/>
    <w:qFormat/>
    <w:uiPriority w:val="99"/>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paragraph" w:customStyle="1" w:styleId="9">
    <w:name w:val="Заголовок123"/>
    <w:basedOn w:val="2"/>
    <w:link w:val="10"/>
    <w:qFormat/>
    <w:uiPriority w:val="0"/>
    <w:pPr>
      <w:spacing w:before="0" w:line="360" w:lineRule="auto"/>
      <w:ind w:firstLine="425"/>
      <w:jc w:val="center"/>
    </w:pPr>
    <w:rPr>
      <w:rFonts w:ascii="Times New Roman" w:hAnsi="Times New Roman"/>
      <w:b/>
      <w:snapToGrid w:val="0"/>
      <w:color w:val="000000" w:themeColor="text1"/>
      <w:sz w:val="24"/>
      <w:lang w:eastAsia="ru-RU"/>
      <w14:textFill>
        <w14:solidFill>
          <w14:schemeClr w14:val="tx1"/>
        </w14:solidFill>
      </w14:textFill>
    </w:rPr>
  </w:style>
  <w:style w:type="character" w:customStyle="1" w:styleId="10">
    <w:name w:val="Заголовок123 Знак"/>
    <w:basedOn w:val="3"/>
    <w:link w:val="9"/>
    <w:qFormat/>
    <w:uiPriority w:val="0"/>
    <w:rPr>
      <w:rFonts w:ascii="Times New Roman" w:hAnsi="Times New Roman" w:eastAsiaTheme="majorEastAsia" w:cstheme="majorBidi"/>
      <w:b/>
      <w:snapToGrid w:val="0"/>
      <w:color w:val="000000" w:themeColor="text1"/>
      <w:sz w:val="24"/>
      <w:szCs w:val="32"/>
      <w:lang w:eastAsia="ru-RU"/>
      <w14:textFill>
        <w14:solidFill>
          <w14:schemeClr w14:val="tx1"/>
        </w14:solidFill>
      </w14:textFill>
    </w:rPr>
  </w:style>
  <w:style w:type="character" w:customStyle="1" w:styleId="11">
    <w:name w:val="Заголовок 1 Знак"/>
    <w:basedOn w:val="3"/>
    <w:link w:val="2"/>
    <w:qFormat/>
    <w:uiPriority w:val="9"/>
    <w:rPr>
      <w:rFonts w:asciiTheme="majorHAnsi" w:hAnsiTheme="majorHAnsi" w:eastAsiaTheme="majorEastAsia" w:cstheme="majorBidi"/>
      <w:color w:val="2E75B6" w:themeColor="accent1" w:themeShade="BF"/>
      <w:sz w:val="32"/>
      <w:szCs w:val="32"/>
    </w:rPr>
  </w:style>
  <w:style w:type="character" w:customStyle="1" w:styleId="12">
    <w:name w:val="Unresolved Mention"/>
    <w:basedOn w:val="3"/>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541</Words>
  <Characters>3084</Characters>
  <Lines>25</Lines>
  <Paragraphs>7</Paragraphs>
  <TotalTime>22</TotalTime>
  <ScaleCrop>false</ScaleCrop>
  <LinksUpToDate>false</LinksUpToDate>
  <CharactersWithSpaces>3618</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2022-04-20T10:54:00Z</dcterms:created>
  <dc:creator>Екатерина Георгиевна Леонидова</dc:creator>
  <cp:lastModifiedBy>Принцесса</cp:lastModifiedBy>
  <dcterms:modified xsi:type="dcterms:W3CDTF">2026-05-15T11:10:04Z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1049-12.2.0.23196</vt:lpwstr>
  </property>
  <property fmtid="{D5CDD505-2E9C-101B-9397-08002B2CF9AE}" pid="3" name="ICV">
    <vt:lpwstr>D7A929ED5CE84E1AB511418656A5BED3_13</vt:lpwstr>
  </property>
</Properties>
</file>