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2F1BC" w14:textId="77777777" w:rsidR="00CA3F3D" w:rsidRPr="004D2F6F" w:rsidRDefault="00CA3F3D" w:rsidP="00CA3F3D">
      <w:pPr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  <w:b/>
          <w:bCs/>
        </w:rPr>
        <w:t>УДК 336.22</w:t>
      </w:r>
      <w:r w:rsidRPr="004D2F6F">
        <w:rPr>
          <w:rFonts w:ascii="Times New Roman" w:hAnsi="Times New Roman" w:cs="Times New Roman"/>
        </w:rPr>
        <w:br/>
      </w:r>
      <w:r w:rsidRPr="004D2F6F">
        <w:rPr>
          <w:rFonts w:ascii="Times New Roman" w:hAnsi="Times New Roman" w:cs="Times New Roman"/>
          <w:b/>
          <w:bCs/>
        </w:rPr>
        <w:t>ББК 65.261.4</w:t>
      </w:r>
    </w:p>
    <w:p w14:paraId="1CB987F1" w14:textId="0E1A7A0C" w:rsidR="00CA3F3D" w:rsidRPr="004D2F6F" w:rsidRDefault="00EB5556" w:rsidP="004D2F6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</w:t>
      </w:r>
      <w:r w:rsidR="00CA3F3D" w:rsidRPr="004D2F6F">
        <w:rPr>
          <w:rFonts w:ascii="Times New Roman" w:hAnsi="Times New Roman" w:cs="Times New Roman"/>
          <w:b/>
          <w:bCs/>
        </w:rPr>
        <w:t>Зильберт</w:t>
      </w:r>
      <w:r w:rsidR="00172406" w:rsidRPr="004D2F6F">
        <w:rPr>
          <w:rFonts w:ascii="Times New Roman" w:hAnsi="Times New Roman" w:cs="Times New Roman"/>
          <w:b/>
          <w:bCs/>
        </w:rPr>
        <w:t xml:space="preserve"> Г.А.</w:t>
      </w:r>
      <w:r w:rsidR="00CA3F3D" w:rsidRPr="004D2F6F">
        <w:rPr>
          <w:rFonts w:ascii="Times New Roman" w:hAnsi="Times New Roman" w:cs="Times New Roman"/>
        </w:rPr>
        <w:br/>
      </w:r>
      <w:r w:rsidR="00CA3F3D" w:rsidRPr="004D2F6F">
        <w:rPr>
          <w:rFonts w:ascii="Times New Roman" w:hAnsi="Times New Roman" w:cs="Times New Roman"/>
          <w:b/>
          <w:bCs/>
        </w:rPr>
        <w:t>НАЛОГОВЫЕ ИНСТРУМЕНТЫ СТИМУЛИРОВАНИЯ ЖИЛИЩНОГО СТРОИТЕЛЬСТВА ЯРОСЛАВСКОЙ ОБЛАСТИ: ПОТЕНЦИАЛ И ОГРАНИЧЕНИЯ</w:t>
      </w:r>
    </w:p>
    <w:p w14:paraId="1C005EDA" w14:textId="77777777" w:rsidR="00D3278E" w:rsidRPr="004D2F6F" w:rsidRDefault="00D3278E" w:rsidP="00D3278E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35CF57F4" w14:textId="57C89EB2" w:rsidR="00D3278E" w:rsidRPr="00EB5556" w:rsidRDefault="00CA3F3D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4D2F6F">
        <w:rPr>
          <w:rFonts w:ascii="Times New Roman" w:hAnsi="Times New Roman" w:cs="Times New Roman"/>
          <w:b/>
          <w:bCs/>
        </w:rPr>
        <w:t>Аннотация</w:t>
      </w:r>
      <w:r w:rsidR="00EB5556">
        <w:rPr>
          <w:rFonts w:ascii="Times New Roman" w:hAnsi="Times New Roman" w:cs="Times New Roman"/>
          <w:b/>
          <w:bCs/>
        </w:rPr>
        <w:t xml:space="preserve">. </w:t>
      </w:r>
      <w:r w:rsidR="00F45B89" w:rsidRPr="00EB5556">
        <w:rPr>
          <w:rFonts w:ascii="Times New Roman" w:hAnsi="Times New Roman" w:cs="Times New Roman"/>
          <w:i/>
          <w:iCs/>
        </w:rPr>
        <w:t>С</w:t>
      </w:r>
      <w:r w:rsidRPr="00EB5556">
        <w:rPr>
          <w:rFonts w:ascii="Times New Roman" w:hAnsi="Times New Roman" w:cs="Times New Roman"/>
          <w:i/>
          <w:iCs/>
        </w:rPr>
        <w:t>истематизированы налоговые инструменты стимулирования жилищного строительства в Ярославской области. Сделан вывод о нереализованном потенциале стимулирования на фоне усиления налоговой нагрузки.</w:t>
      </w:r>
    </w:p>
    <w:p w14:paraId="19C7BAFB" w14:textId="77777777" w:rsidR="00EB5556" w:rsidRDefault="00CA3F3D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  <w:b/>
          <w:bCs/>
        </w:rPr>
        <w:t>Ключевые слова:</w:t>
      </w:r>
      <w:r w:rsidRPr="004D2F6F">
        <w:rPr>
          <w:rFonts w:ascii="Times New Roman" w:hAnsi="Times New Roman" w:cs="Times New Roman"/>
        </w:rPr>
        <w:t> </w:t>
      </w:r>
      <w:r w:rsidRPr="00EB5556">
        <w:rPr>
          <w:rFonts w:ascii="Times New Roman" w:hAnsi="Times New Roman" w:cs="Times New Roman"/>
          <w:i/>
          <w:iCs/>
        </w:rPr>
        <w:t>налоговые инструменты, жилищное строительство, Ярославская область, инвестиционный налоговый вычет, налог на прибыль, УСН, КРТ.</w:t>
      </w:r>
    </w:p>
    <w:p w14:paraId="6D5634B8" w14:textId="77777777" w:rsid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ADB6673" w14:textId="1E5CE8A8" w:rsidR="00594523" w:rsidRPr="00EB5556" w:rsidRDefault="00594523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>Жилищное строительство остаётся одним из ключевых драйверов экономического роста Ярославской области — по итогам 2025 г. в регионе введено 939 тыс. кв. м жилья (101% от плана), из которых почти 600 тыс. кв. м приходится на индивидуальное жилищное строительство (ИЖС), продемонстрировавшее рост на 7,4% относительно 2024 г. [5]. Количество заключённых соглашений о комплексном развитии территорий (КРТ) достигло 23, а совокупный градостроительный потенциал площадок КРТ превысил 2,56 млн кв. м [</w:t>
      </w:r>
      <w:r w:rsidR="00CA6349" w:rsidRPr="004D2F6F">
        <w:rPr>
          <w:rFonts w:ascii="Times New Roman" w:hAnsi="Times New Roman" w:cs="Times New Roman"/>
        </w:rPr>
        <w:t>6</w:t>
      </w:r>
      <w:r w:rsidRPr="004D2F6F">
        <w:rPr>
          <w:rFonts w:ascii="Times New Roman" w:hAnsi="Times New Roman" w:cs="Times New Roman"/>
        </w:rPr>
        <w:t>]. Вместе с тем, несмотря на формальное наличие линейки налоговых инструментов, их реальная доступность для застройщиков остаётся ограниченной, что и определило цель настоящей работы — систематизировать налоговые инструменты стимулирования жилищного строительства (ЖС) в Ярославской области (ЯО), определить, какие из них используются, какие — нет, и выявить ключевые ограничения.</w:t>
      </w:r>
    </w:p>
    <w:p w14:paraId="6DF602CC" w14:textId="77777777" w:rsidR="00594523" w:rsidRPr="00A828F0" w:rsidRDefault="00594523" w:rsidP="0098467D">
      <w:pPr>
        <w:pStyle w:val="ac"/>
        <w:keepNext/>
        <w:spacing w:after="0"/>
        <w:ind w:firstLine="709"/>
        <w:jc w:val="both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Проведённый анализ нормативно-правовой базы и правоприменительной практики 2025–2026 гг. позволил выделить пять основных налоговых инструментов, прямо или косвенно затрагивающих жилищное строительство в регионе (таблица 1).</w:t>
      </w:r>
    </w:p>
    <w:p w14:paraId="0242466F" w14:textId="77777777" w:rsidR="004D2F6F" w:rsidRPr="00A828F0" w:rsidRDefault="004D2F6F" w:rsidP="0043650E">
      <w:pPr>
        <w:spacing w:after="0" w:line="240" w:lineRule="auto"/>
      </w:pPr>
    </w:p>
    <w:p w14:paraId="723BB8D0" w14:textId="37C2E78E" w:rsidR="00D3278E" w:rsidRPr="004D2F6F" w:rsidRDefault="00D3278E" w:rsidP="00017398">
      <w:pPr>
        <w:pStyle w:val="ac"/>
        <w:keepNext/>
        <w:spacing w:after="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Таблица </w:t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Таблица \* ARABIC </w:instrText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2437EB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1</w:t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="00F45B89"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</w:t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  <w:r w:rsidR="00172406" w:rsidRPr="004D2F6F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Проблемы и ограничения использования налоговых инструментов стимулирования жилищного строительства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1785"/>
        <w:gridCol w:w="2752"/>
        <w:gridCol w:w="2487"/>
        <w:gridCol w:w="2321"/>
      </w:tblGrid>
      <w:tr w:rsidR="004D2F6F" w:rsidRPr="00260D1E" w14:paraId="4C33E7B7" w14:textId="1EB07B8D" w:rsidTr="00172406">
        <w:tc>
          <w:tcPr>
            <w:tcW w:w="0" w:type="auto"/>
            <w:vAlign w:val="center"/>
          </w:tcPr>
          <w:p w14:paraId="54EB9453" w14:textId="320C1A07" w:rsidR="00172406" w:rsidRPr="00A828F0" w:rsidRDefault="00172406" w:rsidP="0017240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Инструмент</w:t>
            </w:r>
          </w:p>
        </w:tc>
        <w:tc>
          <w:tcPr>
            <w:tcW w:w="0" w:type="auto"/>
            <w:vAlign w:val="center"/>
          </w:tcPr>
          <w:p w14:paraId="6CA615EE" w14:textId="154F5DC8" w:rsidR="00172406" w:rsidRPr="00A828F0" w:rsidRDefault="00172406" w:rsidP="0017240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Параметры в Ярославской области</w:t>
            </w:r>
          </w:p>
        </w:tc>
        <w:tc>
          <w:tcPr>
            <w:tcW w:w="0" w:type="auto"/>
            <w:vAlign w:val="center"/>
          </w:tcPr>
          <w:p w14:paraId="3AA44D3D" w14:textId="20CD6FF7" w:rsidR="00172406" w:rsidRPr="00A828F0" w:rsidRDefault="00172406" w:rsidP="0017240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Статус / Применимость к жилищному строительству</w:t>
            </w:r>
          </w:p>
        </w:tc>
        <w:tc>
          <w:tcPr>
            <w:tcW w:w="0" w:type="auto"/>
          </w:tcPr>
          <w:p w14:paraId="738090CF" w14:textId="1EEB3AB7" w:rsidR="00172406" w:rsidRPr="00A828F0" w:rsidRDefault="0017240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Проблемы и ограничения использования</w:t>
            </w:r>
          </w:p>
        </w:tc>
      </w:tr>
      <w:tr w:rsidR="004D2F6F" w:rsidRPr="00260D1E" w14:paraId="56F9365E" w14:textId="26404512" w:rsidTr="00172406">
        <w:tc>
          <w:tcPr>
            <w:tcW w:w="0" w:type="auto"/>
            <w:vAlign w:val="center"/>
          </w:tcPr>
          <w:p w14:paraId="7E4D270D" w14:textId="3097C7C3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Налог на прибыль (льгота 0 %)</w:t>
            </w:r>
          </w:p>
        </w:tc>
        <w:tc>
          <w:tcPr>
            <w:tcW w:w="0" w:type="auto"/>
            <w:vAlign w:val="center"/>
          </w:tcPr>
          <w:p w14:paraId="70E01A2D" w14:textId="7B499BAC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0 % до 01.01.2025 для участников приоритетных инвестиционных проектов (ПИП)</w:t>
            </w:r>
          </w:p>
        </w:tc>
        <w:tc>
          <w:tcPr>
            <w:tcW w:w="0" w:type="auto"/>
            <w:vAlign w:val="center"/>
          </w:tcPr>
          <w:p w14:paraId="6059254F" w14:textId="62C21574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Льготный период истёк 01.01.2025; проекты жилищного строительства де-факто не включены в перечень ПИП</w:t>
            </w:r>
          </w:p>
        </w:tc>
        <w:tc>
          <w:tcPr>
            <w:tcW w:w="0" w:type="auto"/>
            <w:vAlign w:val="center"/>
          </w:tcPr>
          <w:p w14:paraId="0AA67E5D" w14:textId="45039EEE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Застройщики жилья не признавались приоритетными инвесторами, поэтому льгота для них была недоступна даже в период действия</w:t>
            </w:r>
          </w:p>
        </w:tc>
      </w:tr>
      <w:tr w:rsidR="004D2F6F" w:rsidRPr="00260D1E" w14:paraId="772116F1" w14:textId="304A5974" w:rsidTr="00172406">
        <w:tc>
          <w:tcPr>
            <w:tcW w:w="0" w:type="auto"/>
            <w:vAlign w:val="center"/>
          </w:tcPr>
          <w:p w14:paraId="31A798DA" w14:textId="4ABDFDF3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Региональный инвестиционный налоговый вычет (ИНВ)</w:t>
            </w:r>
          </w:p>
        </w:tc>
        <w:tc>
          <w:tcPr>
            <w:tcW w:w="0" w:type="auto"/>
            <w:vAlign w:val="center"/>
          </w:tcPr>
          <w:p w14:paraId="059FC1D5" w14:textId="56B0EFDE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Вычет до 90 % от стоимости основных средств (ОС) третьей – десятой амортизационных групп, кроме зданий, сооружений, передаточных устройств восьмой – десятой групп и легковых автомобилей</w:t>
            </w:r>
          </w:p>
        </w:tc>
        <w:tc>
          <w:tcPr>
            <w:tcW w:w="0" w:type="auto"/>
            <w:vAlign w:val="center"/>
          </w:tcPr>
          <w:p w14:paraId="5CDBCBAA" w14:textId="00575CD8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Формально действует, но сведений о предоставлении именно застройщикам жилья нет</w:t>
            </w:r>
          </w:p>
        </w:tc>
        <w:tc>
          <w:tcPr>
            <w:tcW w:w="0" w:type="auto"/>
            <w:vAlign w:val="center"/>
          </w:tcPr>
          <w:p w14:paraId="2F567C4D" w14:textId="04A6E702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Не востребован застройщиками из-за специфики бизнеса: основные средства часто арендуются, а на инвестиционной стадии прибыль отсутствует</w:t>
            </w:r>
          </w:p>
        </w:tc>
      </w:tr>
      <w:tr w:rsidR="004D2F6F" w:rsidRPr="00260D1E" w14:paraId="28E0D803" w14:textId="23EB628D" w:rsidTr="00172406">
        <w:tc>
          <w:tcPr>
            <w:tcW w:w="0" w:type="auto"/>
            <w:vAlign w:val="center"/>
          </w:tcPr>
          <w:p w14:paraId="4B7A01C1" w14:textId="32917DCC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Федеральный инвестиционный налоговый вычет (ФИНВ)</w:t>
            </w:r>
          </w:p>
        </w:tc>
        <w:tc>
          <w:tcPr>
            <w:tcW w:w="0" w:type="auto"/>
            <w:vAlign w:val="center"/>
          </w:tcPr>
          <w:p w14:paraId="22A219AA" w14:textId="1293BED9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Устанавливается НК РФ для отдельных отраслей</w:t>
            </w:r>
          </w:p>
        </w:tc>
        <w:tc>
          <w:tcPr>
            <w:tcW w:w="0" w:type="auto"/>
            <w:vAlign w:val="center"/>
          </w:tcPr>
          <w:p w14:paraId="3FBF4C59" w14:textId="7B76E729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Строительная отрасль не включена в перечень приоритетных, поэтому вычет не применяется</w:t>
            </w:r>
          </w:p>
        </w:tc>
        <w:tc>
          <w:tcPr>
            <w:tcW w:w="0" w:type="auto"/>
            <w:vAlign w:val="center"/>
          </w:tcPr>
          <w:p w14:paraId="18308721" w14:textId="24C0D0E6" w:rsidR="00172406" w:rsidRPr="00A828F0" w:rsidRDefault="00172406" w:rsidP="00756AC7">
            <w:pPr>
              <w:jc w:val="center"/>
              <w:rPr>
                <w:rStyle w:val="af8"/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Полное отсутствие доступа для застройщиков жилья</w:t>
            </w:r>
          </w:p>
        </w:tc>
      </w:tr>
      <w:tr w:rsidR="004D2F6F" w:rsidRPr="00260D1E" w14:paraId="44C59EEC" w14:textId="18BCB08B" w:rsidTr="00172406">
        <w:tc>
          <w:tcPr>
            <w:tcW w:w="0" w:type="auto"/>
            <w:vAlign w:val="center"/>
          </w:tcPr>
          <w:p w14:paraId="54CBB139" w14:textId="1B8EFB6C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Налог на имущество организаций</w:t>
            </w:r>
          </w:p>
        </w:tc>
        <w:tc>
          <w:tcPr>
            <w:tcW w:w="0" w:type="auto"/>
            <w:vAlign w:val="center"/>
          </w:tcPr>
          <w:p w14:paraId="255AB226" w14:textId="67F3221F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2,5 % (кадастровая стоимость &gt; 300 млн руб.); 100 % льгота для приоритетных проектов</w:t>
            </w:r>
          </w:p>
        </w:tc>
        <w:tc>
          <w:tcPr>
            <w:tcW w:w="0" w:type="auto"/>
            <w:vAlign w:val="center"/>
          </w:tcPr>
          <w:p w14:paraId="23711880" w14:textId="4B82B92D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Повышение ставки с 2 до 2,5 % усилило нагрузку; льгота доступна только при включении в перечень ПИП, куда проекты ЖС не входят</w:t>
            </w:r>
          </w:p>
        </w:tc>
        <w:tc>
          <w:tcPr>
            <w:tcW w:w="0" w:type="auto"/>
            <w:vAlign w:val="center"/>
          </w:tcPr>
          <w:p w14:paraId="19CD76C7" w14:textId="23060832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Рост фискальной нагрузки; узкий круг бенефициаров, из которого застройщики жилья исключены</w:t>
            </w:r>
          </w:p>
        </w:tc>
      </w:tr>
      <w:tr w:rsidR="004D2F6F" w:rsidRPr="00260D1E" w14:paraId="28550007" w14:textId="7A525F32" w:rsidTr="00172406">
        <w:tc>
          <w:tcPr>
            <w:tcW w:w="0" w:type="auto"/>
            <w:vAlign w:val="center"/>
          </w:tcPr>
          <w:p w14:paraId="6C6E94F4" w14:textId="7106DFB1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УСН (пониженные ставки)</w:t>
            </w:r>
          </w:p>
        </w:tc>
        <w:tc>
          <w:tcPr>
            <w:tcW w:w="0" w:type="auto"/>
            <w:vAlign w:val="center"/>
          </w:tcPr>
          <w:p w14:paraId="695550F2" w14:textId="3E7B8D33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Пониженные ставки для отдельных отраслей: животноводство, растениеводство, рыбоводство, </w:t>
            </w:r>
            <w:r w:rsidRPr="00A828F0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обрабатывающие производства, услуги паллиативной медицины</w:t>
            </w:r>
          </w:p>
        </w:tc>
        <w:tc>
          <w:tcPr>
            <w:tcW w:w="0" w:type="auto"/>
            <w:vAlign w:val="center"/>
          </w:tcPr>
          <w:p w14:paraId="090F3AF2" w14:textId="34E658EB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Строительство </w:t>
            </w: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не включено</w:t>
            </w: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 в перечень льготируемых отраслей; таким образом, пониженные </w:t>
            </w:r>
            <w:r w:rsidRPr="00A828F0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ставки УСН для застройщиков недоступны</w:t>
            </w:r>
          </w:p>
        </w:tc>
        <w:tc>
          <w:tcPr>
            <w:tcW w:w="0" w:type="auto"/>
            <w:vAlign w:val="center"/>
          </w:tcPr>
          <w:p w14:paraId="451AF621" w14:textId="4A52C247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Один из потенциально эффективных инструментов де-факто не </w:t>
            </w:r>
            <w:r w:rsidRPr="00A828F0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применяется в жилищном строительстве</w:t>
            </w:r>
          </w:p>
        </w:tc>
      </w:tr>
      <w:tr w:rsidR="004D2F6F" w:rsidRPr="00260D1E" w14:paraId="7C5D4EC1" w14:textId="77777777" w:rsidTr="00172406">
        <w:tc>
          <w:tcPr>
            <w:tcW w:w="0" w:type="auto"/>
            <w:vAlign w:val="center"/>
          </w:tcPr>
          <w:p w14:paraId="5AC74DC5" w14:textId="63F3F8C1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lastRenderedPageBreak/>
              <w:t>Земельный налог</w:t>
            </w:r>
          </w:p>
        </w:tc>
        <w:tc>
          <w:tcPr>
            <w:tcW w:w="0" w:type="auto"/>
            <w:vAlign w:val="center"/>
          </w:tcPr>
          <w:p w14:paraId="2AFF5BC7" w14:textId="55DB3CC1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0 % для участков под ПИП; 0,3 % для участков под ИЖС; с 2025 г. для участков стоимостью &gt; 300 млн руб. ставка повышена до 1,5 % </w:t>
            </w:r>
          </w:p>
        </w:tc>
        <w:tc>
          <w:tcPr>
            <w:tcW w:w="0" w:type="auto"/>
            <w:vAlign w:val="center"/>
          </w:tcPr>
          <w:p w14:paraId="2170B9A3" w14:textId="5032C96E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Льгота 0 % – только для проектов из перечня ПИП (жильё не включено); ставка 0,3 % действует для ИЖС; для крупных участков нагрузка выросла</w:t>
            </w:r>
          </w:p>
        </w:tc>
        <w:tc>
          <w:tcPr>
            <w:tcW w:w="0" w:type="auto"/>
            <w:vAlign w:val="center"/>
          </w:tcPr>
          <w:p w14:paraId="7C8E5B9B" w14:textId="476654CE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Существенный рост нагрузки на этапе землеотвода для застройщиков, не входящих в ПИП</w:t>
            </w:r>
          </w:p>
        </w:tc>
      </w:tr>
      <w:tr w:rsidR="004D2F6F" w:rsidRPr="00260D1E" w14:paraId="1B95DE9C" w14:textId="77777777" w:rsidTr="00172406">
        <w:tc>
          <w:tcPr>
            <w:tcW w:w="0" w:type="auto"/>
            <w:vAlign w:val="center"/>
          </w:tcPr>
          <w:p w14:paraId="5F753DAC" w14:textId="3BD0467E" w:rsidR="00172406" w:rsidRPr="00A828F0" w:rsidRDefault="00172406" w:rsidP="00756AC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828F0">
              <w:rPr>
                <w:rStyle w:val="af8"/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Налог на имущество физических лиц</w:t>
            </w:r>
          </w:p>
        </w:tc>
        <w:tc>
          <w:tcPr>
            <w:tcW w:w="0" w:type="auto"/>
            <w:vAlign w:val="center"/>
          </w:tcPr>
          <w:p w14:paraId="2FCBD3D1" w14:textId="434B263F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0,3 % для жилых домов, квартир, гаражей на участках для ИЖС </w:t>
            </w:r>
          </w:p>
        </w:tc>
        <w:tc>
          <w:tcPr>
            <w:tcW w:w="0" w:type="auto"/>
            <w:vAlign w:val="center"/>
          </w:tcPr>
          <w:p w14:paraId="3989B4B8" w14:textId="1D3B1963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Повышение с 0,1 до 0,3 % увеличивает налоговую нагрузку на собственников и косвенно снижает привлекательность ИЖС</w:t>
            </w:r>
          </w:p>
        </w:tc>
        <w:tc>
          <w:tcPr>
            <w:tcW w:w="0" w:type="auto"/>
            <w:vAlign w:val="center"/>
          </w:tcPr>
          <w:p w14:paraId="72E6CEBB" w14:textId="7F499D8A" w:rsidR="00172406" w:rsidRPr="00A828F0" w:rsidRDefault="00172406" w:rsidP="00756AC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Дополнительное фискальное давление на конечных приобретателей жилья</w:t>
            </w:r>
          </w:p>
        </w:tc>
      </w:tr>
      <w:tr w:rsidR="00756AC7" w:rsidRPr="00260D1E" w14:paraId="18368795" w14:textId="77777777" w:rsidTr="00565A30">
        <w:tc>
          <w:tcPr>
            <w:tcW w:w="0" w:type="auto"/>
            <w:gridSpan w:val="4"/>
            <w:vAlign w:val="center"/>
          </w:tcPr>
          <w:p w14:paraId="10834D3B" w14:textId="789B999A" w:rsidR="00756AC7" w:rsidRPr="00A828F0" w:rsidRDefault="00260D1E" w:rsidP="00260D1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Источник: составлено автором на основе [1–4, 7–9].</w:t>
            </w:r>
          </w:p>
        </w:tc>
      </w:tr>
    </w:tbl>
    <w:p w14:paraId="414D0929" w14:textId="77777777" w:rsidR="00F45B89" w:rsidRPr="004D2F6F" w:rsidRDefault="00F45B89" w:rsidP="0043650E">
      <w:pPr>
        <w:spacing w:after="0" w:line="240" w:lineRule="auto"/>
        <w:rPr>
          <w:rFonts w:ascii="Times New Roman" w:hAnsi="Times New Roman" w:cs="Times New Roman"/>
        </w:rPr>
      </w:pPr>
    </w:p>
    <w:p w14:paraId="1463CDBD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Рассмотрим фактическое использование каждого из перечисленных инструментов применительно к жилищному строительству.</w:t>
      </w:r>
    </w:p>
    <w:p w14:paraId="53D89337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Пониженная ставка налога на прибыль (0 % до 01.01.2025) формально являлась одной из преференций для участников приоритетных инвестиционных проектов (ПИП) Ярославской области. Однако анализ перечня ПИП показывает, что в нём отсутствуют специализированные застройщики жилья: проекты жилищного строительства де-факто не признавались регионом приоритетными, и, следовательно, данная льгота для застройщиков была недоступна даже в период её действия [4].</w:t>
      </w:r>
    </w:p>
    <w:p w14:paraId="369490BA" w14:textId="601E7639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Региональный инвестиционный налоговый вычет (ИНВ) в размере до 90% от стоимости основных средств формально сохранён. Право субъектов РФ устанавливать такой вычет закреплено статьёй 286.1 Налогового кодекса Российской Федерации [1]. Его предоставление регулируется Законом Ярославской области от 05.10.2021 № 73-з «Об инвестиционном налоговом вычете» [9] и Законом Ярославской области от 19.12.2005 № 83-з «О снижении ставки налога на прибыль организаций для отдельных категорий налогоплательщиков» [7]. Вычет применяется к объектам основных средств третьей – десятой амортизационных групп (за исключением зданий, сооружений, передаточных устройств восьмой – десятой групп и легковых автомобилей) [9]. Однако, по имеющимся данным, застройщики жилья практически не обращаются за его получением, что объясняется спецификой девелоперского бизнеса: основные средства (краны, опалубка) часто арендуются, а не приобретаются в собственность, что лишает компанию права на вычет. Кроме того, сама конструкция вычета опирается на долю прибыли по приоритетному проекту в общей налогооблагаемой прибыли организации, а на инвестиционной стадии проекта эта прибыль у застройщика, как правило, отсутствует [7; 9].</w:t>
      </w:r>
    </w:p>
    <w:p w14:paraId="7C81110C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Федеральный инвестиционный налоговый вычет (ФИНВ) для строительной отрасли не предусмотрен — соответствующие положения Налогового кодекса РФ не включают жилищное строительство в число приоритетных направлений, что полностью исключает данный инструмент из арсенала застройщиков.</w:t>
      </w:r>
    </w:p>
    <w:p w14:paraId="7E78059F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Налог на имущество организаций в Ярославской области с 2025 г. исчисляется по кадастровой стоимости для объектов дороже 300 млн руб. по ставке 2,5 % (вместо прежних 2 %) [2]. Для участников приоритетных инвестиционных проектов предусмотрена 100-процентная льгота, однако её получение обусловлено включением проекта в перечень ПИП [4]. Поскольку проекты жилищного строительства в этот перечень не входят, строительные компании уплачивают налог по полной ставке, что создаёт дополнительную фискальную нагрузку.</w:t>
      </w:r>
    </w:p>
    <w:p w14:paraId="5D7CA629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 xml:space="preserve">Льготы по упрощённой системе налогообложения (УСН) в Ярославской области установлены Законом Ярославской области от 30.11.2005 № 69-з «О налоговых ставках по налогу, взимаемому в связи с применением упрощённой системы налогообложения, для отдельных категорий налогоплательщиков» и сохранены только для узкого перечня отраслей: животноводство, растениеводство, рыбоводство, обрабатывающие производства, услуги паллиативной медицины [8]. Строительная отрасль, включая подрядные организации, занятые в жилищном строительстве и ИЖС, в данный перечень не входит. </w:t>
      </w:r>
      <w:r w:rsidRPr="00172406">
        <w:rPr>
          <w:rFonts w:ascii="Times New Roman" w:hAnsi="Times New Roman" w:cs="Times New Roman"/>
        </w:rPr>
        <w:lastRenderedPageBreak/>
        <w:t>Таким образом, пониженные ставки УСН де-факто недоступны для застройщиков. (Следует отметить, что в отличие от многих других субъектов РФ, где строительство пользуется пониженными ставками, в Ярославской области эта мера поддержки отсутствует.)</w:t>
      </w:r>
    </w:p>
    <w:p w14:paraId="11FF6769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Земельный налог для участков под приоритетные проекты может быть обнулён на срок до 9 лет — соответствующая норма закреплена в региональном законодательстве [4]. Для участков, используемых под ИЖС, действует пониженная ставка 0,3 % от кадастровой стоимости [4]. Вместе с тем для земельных участков стоимостью свыше 300 млн руб. с 2025 г. кадастровая ставка повышена с 0,3 до 1,5 % [9]. Для застройщиков, не вошедших в перечень приоритетных, это означает существенный рост фискальной нагрузки на этапе землеотвода и подготовки площадки.</w:t>
      </w:r>
    </w:p>
    <w:p w14:paraId="391DD98F" w14:textId="77777777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Сопоставление используемых и неиспользуемых инструментов выявляет системный дисбаланс. Если по итогам 2025 г. объёмы жилищного строительства в области удержаны за счёт ИЖС (+7,4 %), то многоквартирное строительство сократилось на 14,2 % [5; 6]. Дальнейшее сжатие сегмента МКД без адекватного налогового стимулирования ставит под вопрос достижение целевых показателей по проектам КРТ, которые предусматривают возведение 2,5 млн кв. м жилья в ближайшие годы [6]. При этом анализ нормативной базы не выявил специальных налоговых льгот для проектов КРТ — соответствующие преференции на региональном уровне не предусмотрены, что подтверждается данными реестра налоговых расходов Минфина России.</w:t>
      </w:r>
    </w:p>
    <w:p w14:paraId="49302375" w14:textId="4C933E30" w:rsidR="00172406" w:rsidRPr="004D2F6F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Существующий портфель проектов КРТ характеризуется присутствием как местных, так и иногородних девелоперов. В таблице 2</w:t>
      </w:r>
      <w:r w:rsidRPr="004D2F6F">
        <w:rPr>
          <w:rFonts w:ascii="Times New Roman" w:hAnsi="Times New Roman" w:cs="Times New Roman"/>
        </w:rPr>
        <w:t xml:space="preserve"> </w:t>
      </w:r>
      <w:r w:rsidRPr="00172406">
        <w:rPr>
          <w:rFonts w:ascii="Times New Roman" w:hAnsi="Times New Roman" w:cs="Times New Roman"/>
        </w:rPr>
        <w:t>приведены сводные данные о крупнейших проектах.</w:t>
      </w:r>
    </w:p>
    <w:p w14:paraId="10609E99" w14:textId="77777777" w:rsidR="00EB5556" w:rsidRDefault="00EB5556" w:rsidP="00017398">
      <w:pPr>
        <w:pStyle w:val="ac"/>
        <w:keepNext/>
        <w:spacing w:after="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</w:p>
    <w:p w14:paraId="30246EA7" w14:textId="057FBC1F" w:rsidR="00017398" w:rsidRDefault="00017398" w:rsidP="00017398">
      <w:pPr>
        <w:pStyle w:val="ac"/>
        <w:keepNext/>
        <w:spacing w:after="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Таблица </w:t>
      </w:r>
      <w:r w:rsidR="00172406"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</w:t>
      </w:r>
      <w:r w:rsidRPr="004D2F6F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- Ключевые проекты комплексного развития территорий (КРТ) в Ярославской области (по состоянию на апрель 2026 г.)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1998"/>
        <w:gridCol w:w="2725"/>
        <w:gridCol w:w="4622"/>
      </w:tblGrid>
      <w:tr w:rsidR="0043650E" w14:paraId="6B64EB37" w14:textId="77777777" w:rsidTr="0043650E">
        <w:tc>
          <w:tcPr>
            <w:tcW w:w="0" w:type="auto"/>
            <w:vAlign w:val="center"/>
          </w:tcPr>
          <w:p w14:paraId="21D136E9" w14:textId="3AC63905" w:rsidR="0043650E" w:rsidRPr="00A828F0" w:rsidRDefault="0043650E" w:rsidP="0043650E">
            <w:pPr>
              <w:jc w:val="center"/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Проект / Площадка</w:t>
            </w:r>
          </w:p>
        </w:tc>
        <w:tc>
          <w:tcPr>
            <w:tcW w:w="0" w:type="auto"/>
            <w:vAlign w:val="center"/>
          </w:tcPr>
          <w:p w14:paraId="72344BED" w14:textId="6186577F" w:rsidR="0043650E" w:rsidRPr="00A828F0" w:rsidRDefault="0043650E" w:rsidP="0043650E">
            <w:pPr>
              <w:jc w:val="center"/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Инвестор (застройщик)</w:t>
            </w:r>
          </w:p>
        </w:tc>
        <w:tc>
          <w:tcPr>
            <w:tcW w:w="0" w:type="auto"/>
            <w:vAlign w:val="center"/>
          </w:tcPr>
          <w:p w14:paraId="5B51C7A5" w14:textId="79D78570" w:rsidR="0043650E" w:rsidRPr="00A828F0" w:rsidRDefault="0043650E" w:rsidP="0043650E">
            <w:pPr>
              <w:jc w:val="center"/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Параметры проекта</w:t>
            </w:r>
          </w:p>
        </w:tc>
      </w:tr>
      <w:tr w:rsidR="0043650E" w14:paraId="2C9C4F3C" w14:textId="77777777" w:rsidTr="0043650E">
        <w:tc>
          <w:tcPr>
            <w:tcW w:w="0" w:type="auto"/>
            <w:vAlign w:val="center"/>
          </w:tcPr>
          <w:p w14:paraId="19A09ADD" w14:textId="5C2725E0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КРТ в районе ул. Старые и Новые Куксенки, Ярославль</w:t>
            </w:r>
          </w:p>
        </w:tc>
        <w:tc>
          <w:tcPr>
            <w:tcW w:w="0" w:type="auto"/>
            <w:vAlign w:val="center"/>
          </w:tcPr>
          <w:p w14:paraId="4161C9C1" w14:textId="64E4FCE1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Определяется по итогам аукциона (начальная цена — 131 млн руб.)</w:t>
            </w:r>
          </w:p>
        </w:tc>
        <w:tc>
          <w:tcPr>
            <w:tcW w:w="0" w:type="auto"/>
            <w:vAlign w:val="center"/>
          </w:tcPr>
          <w:p w14:paraId="5F85D72A" w14:textId="3FC64344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Площадь участка — 234 тыс. кв. м; начальная стоимость права — 131 млн руб.; градостроительный потенциал — 101,41 тыс. кв. м</w:t>
            </w:r>
          </w:p>
        </w:tc>
      </w:tr>
      <w:tr w:rsidR="0043650E" w14:paraId="0C38A2A6" w14:textId="77777777" w:rsidTr="0043650E">
        <w:tc>
          <w:tcPr>
            <w:tcW w:w="0" w:type="auto"/>
            <w:vAlign w:val="center"/>
          </w:tcPr>
          <w:p w14:paraId="039876A2" w14:textId="340F6763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КРТ в районе пос. Толга, Ярославль</w:t>
            </w:r>
          </w:p>
        </w:tc>
        <w:tc>
          <w:tcPr>
            <w:tcW w:w="0" w:type="auto"/>
            <w:vAlign w:val="center"/>
          </w:tcPr>
          <w:p w14:paraId="0B0BE36C" w14:textId="4DFE1914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Определяется по итогам аукциона (начальная цена — 270,6 млн руб.)</w:t>
            </w:r>
          </w:p>
        </w:tc>
        <w:tc>
          <w:tcPr>
            <w:tcW w:w="0" w:type="auto"/>
            <w:vAlign w:val="center"/>
          </w:tcPr>
          <w:p w14:paraId="62204D0C" w14:textId="2815057C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Площадь участка — 573 тыс. кв. м; жилая застройка — не менее 297 тыс. кв. м; детский сад на 250 мест, школа на ≥ 800 мест, 42 квартиры и помещение под пункт полиции — на безвозмездной основе</w:t>
            </w:r>
          </w:p>
        </w:tc>
      </w:tr>
      <w:tr w:rsidR="0043650E" w14:paraId="5B655F2D" w14:textId="77777777" w:rsidTr="0043650E">
        <w:tc>
          <w:tcPr>
            <w:tcW w:w="0" w:type="auto"/>
            <w:vAlign w:val="center"/>
          </w:tcPr>
          <w:p w14:paraId="73C4733F" w14:textId="49802B21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КРТ «</w:t>
            </w:r>
            <w:proofErr w:type="spellStart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Губцево</w:t>
            </w:r>
            <w:proofErr w:type="spellEnd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» (86,4 га у д. </w:t>
            </w:r>
            <w:proofErr w:type="spellStart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Губцево</w:t>
            </w:r>
            <w:proofErr w:type="spellEnd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0" w:type="auto"/>
            <w:vAlign w:val="center"/>
          </w:tcPr>
          <w:p w14:paraId="528639E3" w14:textId="55037CF6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ООО СХ «Характер» (Краснодар)</w:t>
            </w:r>
          </w:p>
        </w:tc>
        <w:tc>
          <w:tcPr>
            <w:tcW w:w="0" w:type="auto"/>
            <w:vAlign w:val="center"/>
          </w:tcPr>
          <w:p w14:paraId="02679901" w14:textId="01DDB965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Инвестиции &gt; 30 млрд руб.; жильё &gt; 340 тыс. кв. м; срок — 15 лет; часть возведенных домов застройщик передаст ДОМ.РФ под социальные нужды.</w:t>
            </w:r>
          </w:p>
        </w:tc>
      </w:tr>
      <w:tr w:rsidR="0043650E" w14:paraId="513D758A" w14:textId="77777777" w:rsidTr="0043650E">
        <w:tc>
          <w:tcPr>
            <w:tcW w:w="0" w:type="auto"/>
            <w:vAlign w:val="center"/>
          </w:tcPr>
          <w:p w14:paraId="5B013ACF" w14:textId="321E0ADE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Новый микрорайон в </w:t>
            </w:r>
            <w:proofErr w:type="spellStart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Тверицах</w:t>
            </w:r>
            <w:proofErr w:type="spellEnd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 (Заволжский район, Ярославль)</w:t>
            </w:r>
          </w:p>
        </w:tc>
        <w:tc>
          <w:tcPr>
            <w:tcW w:w="0" w:type="auto"/>
            <w:vAlign w:val="center"/>
          </w:tcPr>
          <w:p w14:paraId="5939F289" w14:textId="4593C2D0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ООО «Специализированный застройщик «</w:t>
            </w:r>
            <w:proofErr w:type="spellStart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Гудград</w:t>
            </w:r>
            <w:proofErr w:type="spellEnd"/>
            <w:r w:rsidRPr="00A828F0">
              <w:rPr>
                <w:rFonts w:ascii="Times New Roman" w:hAnsi="Times New Roman" w:cs="Times New Roman"/>
                <w:sz w:val="18"/>
                <w:szCs w:val="18"/>
              </w:rPr>
              <w:t>»</w:t>
            </w:r>
          </w:p>
        </w:tc>
        <w:tc>
          <w:tcPr>
            <w:tcW w:w="0" w:type="auto"/>
            <w:vAlign w:val="center"/>
          </w:tcPr>
          <w:p w14:paraId="1F1A5BB8" w14:textId="50A58013" w:rsidR="0043650E" w:rsidRPr="00A828F0" w:rsidRDefault="0043650E" w:rsidP="0043650E">
            <w:pPr>
              <w:rPr>
                <w:sz w:val="18"/>
                <w:szCs w:val="18"/>
              </w:rPr>
            </w:pPr>
            <w:r w:rsidRPr="00A828F0">
              <w:rPr>
                <w:rFonts w:ascii="Times New Roman" w:hAnsi="Times New Roman" w:cs="Times New Roman"/>
                <w:sz w:val="18"/>
                <w:szCs w:val="18"/>
              </w:rPr>
              <w:t xml:space="preserve">Микрорайон на 8000 жителей; в рамках проекта подготовлена ПСД для двух детских садов на 220 и 250 мест </w:t>
            </w:r>
          </w:p>
        </w:tc>
      </w:tr>
      <w:tr w:rsidR="0043650E" w14:paraId="4624B550" w14:textId="77777777" w:rsidTr="0043650E">
        <w:tc>
          <w:tcPr>
            <w:tcW w:w="0" w:type="auto"/>
            <w:gridSpan w:val="3"/>
          </w:tcPr>
          <w:p w14:paraId="0BCCAD65" w14:textId="241008C2" w:rsidR="0043650E" w:rsidRDefault="0043650E" w:rsidP="0043650E">
            <w:r w:rsidRPr="00260D1E">
              <w:rPr>
                <w:rFonts w:ascii="Times New Roman" w:hAnsi="Times New Roman" w:cs="Times New Roman"/>
                <w:sz w:val="22"/>
                <w:szCs w:val="22"/>
              </w:rPr>
              <w:t>Источник: составлено автором на основе [6] и данных Инвестиционного портала Ярославской области [4].</w:t>
            </w:r>
          </w:p>
        </w:tc>
      </w:tr>
    </w:tbl>
    <w:p w14:paraId="216DFC81" w14:textId="77777777" w:rsidR="00C02317" w:rsidRDefault="00C02317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3BEA278A" w14:textId="028567F8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 xml:space="preserve">Проведённый анализ позволяет сформулировать следующие выводы. Во-первых, из всего спектра формально существующих в Ярославской области налоговых инструментов стимулирования жилищного строительства реально доступными для застройщиков остаются лишь </w:t>
      </w:r>
      <w:r w:rsidR="00C02317" w:rsidRPr="00172406">
        <w:rPr>
          <w:rFonts w:ascii="Times New Roman" w:hAnsi="Times New Roman" w:cs="Times New Roman"/>
        </w:rPr>
        <w:t>льготы</w:t>
      </w:r>
      <w:r w:rsidR="00C02317">
        <w:rPr>
          <w:rFonts w:ascii="Times New Roman" w:hAnsi="Times New Roman" w:cs="Times New Roman"/>
        </w:rPr>
        <w:t xml:space="preserve"> по</w:t>
      </w:r>
      <w:r w:rsidR="00C02317" w:rsidRPr="00172406">
        <w:rPr>
          <w:rFonts w:ascii="Times New Roman" w:hAnsi="Times New Roman" w:cs="Times New Roman"/>
        </w:rPr>
        <w:t xml:space="preserve"> </w:t>
      </w:r>
      <w:r w:rsidR="00C02317">
        <w:rPr>
          <w:rFonts w:ascii="Times New Roman" w:hAnsi="Times New Roman" w:cs="Times New Roman"/>
        </w:rPr>
        <w:t>налогу на имущество организаций и земельному налогу</w:t>
      </w:r>
      <w:r w:rsidRPr="00172406">
        <w:rPr>
          <w:rFonts w:ascii="Times New Roman" w:hAnsi="Times New Roman" w:cs="Times New Roman"/>
        </w:rPr>
        <w:t xml:space="preserve"> в рамках статуса приоритетного инвестиционного проекта. Однако получение такого статуса сопряжено с выполнением жёстких критериев эффективности, а главное — проекты жилищного строительства в перечень приоритетных не включены, что полностью исключает застройщиков из числа потенциальных бенефициаров [4]. Во-вторых, ключевой механизм — нулевая ставка налога на прибыль для приоритетных проектов — прекратил действие с 1 января 2025 г., а региональный ИНВ не адаптирован под бизнес-модель девелоперов [3; 7; 9]. Федеральный ИНВ для строительной отрасли также не предусмотрен. В-третьих, пониженные ставки УСН для строительной отрасли отсутствуют, что особенно критично для подрядчиков ИЖС. Наконец, повышение кадастровых ставок по налогу на имущество (до 2,5 %) и земельному налогу (до 1,5 %) для крупных объектов фактически </w:t>
      </w:r>
      <w:r w:rsidRPr="00172406">
        <w:rPr>
          <w:rFonts w:ascii="Times New Roman" w:hAnsi="Times New Roman" w:cs="Times New Roman"/>
        </w:rPr>
        <w:lastRenderedPageBreak/>
        <w:t>означает не смягчение, а ужесточение налогового режима [2; 9]. Специальные налоговые стимулы для проектов КРТ не установлены.</w:t>
      </w:r>
    </w:p>
    <w:p w14:paraId="20FBB2D3" w14:textId="3E6DFC3A" w:rsidR="00172406" w:rsidRPr="00172406" w:rsidRDefault="00172406" w:rsidP="0017240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72406">
        <w:rPr>
          <w:rFonts w:ascii="Times New Roman" w:hAnsi="Times New Roman" w:cs="Times New Roman"/>
        </w:rPr>
        <w:t>Таким образом, налоговый потенциал стимулирования жилищного строительства в Ярославской области</w:t>
      </w:r>
      <w:r w:rsidRPr="004D2F6F">
        <w:rPr>
          <w:rFonts w:ascii="Times New Roman" w:hAnsi="Times New Roman" w:cs="Times New Roman"/>
        </w:rPr>
        <w:t xml:space="preserve"> не</w:t>
      </w:r>
      <w:r w:rsidRPr="00172406">
        <w:rPr>
          <w:rFonts w:ascii="Times New Roman" w:hAnsi="Times New Roman" w:cs="Times New Roman"/>
        </w:rPr>
        <w:t xml:space="preserve"> реализован: на фоне роста фискальной нагрузки доступный застройщикам арсенал преференций объективно сузился. Дальнейшее развитие ситуации будет зависеть от того, предложит ли регион альтернативные механизмы — в частности, налоговые вычеты на инфраструктурные расходы застройщиков в рамках КРТ и расширение перечня льготируемых отраслей по УСН за счёт включения строительного сектора.</w:t>
      </w:r>
    </w:p>
    <w:p w14:paraId="66955CE0" w14:textId="6DDAFE2F" w:rsidR="00594523" w:rsidRPr="004D2F6F" w:rsidRDefault="00594523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551BF8F5" w14:textId="77777777" w:rsidR="0098467D" w:rsidRPr="004D2F6F" w:rsidRDefault="0098467D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BEE033B" w14:textId="363289C9" w:rsidR="00017398" w:rsidRPr="004D2F6F" w:rsidRDefault="004D2F6F" w:rsidP="004D2F6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Библиографический список</w:t>
      </w:r>
    </w:p>
    <w:p w14:paraId="74FED90E" w14:textId="4FDB5FBE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1. </w:t>
      </w:r>
      <w:r w:rsidR="00B962C3" w:rsidRPr="004D2F6F">
        <w:rPr>
          <w:rFonts w:ascii="Times New Roman" w:hAnsi="Times New Roman" w:cs="Times New Roman"/>
        </w:rPr>
        <w:t xml:space="preserve">Налоговый кодекс Российской Федерации (часть вторая) от 05.08.2000 № 117‑ФЗ (ред. от 01.01.2026). – Режим доступа: </w:t>
      </w:r>
      <w:hyperlink r:id="rId8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https://www.consultant.ru/cons/cgi/online.cgi?req=doc;base=LAW;n=525528;dst=100279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6FD9DA34" w14:textId="0AD3064D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2. </w:t>
      </w:r>
      <w:r w:rsidR="00B962C3" w:rsidRPr="004D2F6F">
        <w:rPr>
          <w:rFonts w:ascii="Times New Roman" w:hAnsi="Times New Roman" w:cs="Times New Roman"/>
        </w:rPr>
        <w:t xml:space="preserve">Закон Ярославской области от 18.09.2024 № 48‑з «О внесении изменения в статью 3.1 Закона Ярославской области «О налоге на имущество организаций в Ярославской области». – Режим доступа: </w:t>
      </w:r>
      <w:hyperlink r:id="rId9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https://base.garant.ru/410414471/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4757DBD7" w14:textId="77777777" w:rsidR="00B962C3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3. </w:t>
      </w:r>
      <w:r w:rsidR="00B962C3" w:rsidRPr="004D2F6F">
        <w:rPr>
          <w:rFonts w:ascii="Times New Roman" w:hAnsi="Times New Roman" w:cs="Times New Roman"/>
        </w:rPr>
        <w:t xml:space="preserve">Закон Ярославской области от 24.02.1998 № 2‑з «О порядке и условиях предоставления льгот по налогам и сборам» (ред. от 06.08.2024). – Режим доступа: </w:t>
      </w:r>
      <w:hyperlink r:id="rId10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https://base.garant.ru/24608218/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565F4C39" w14:textId="6C34F996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>4. Налоговые льготы участника приоритетных инвестиционных проектов [Электронный ресурс] // Инвестиционный портал Ярославской области. — Режим доступа: </w:t>
      </w:r>
      <w:hyperlink r:id="rId11" w:tgtFrame="_blank" w:history="1">
        <w:r w:rsidRPr="004D2F6F">
          <w:rPr>
            <w:rStyle w:val="af0"/>
            <w:rFonts w:ascii="Times New Roman" w:hAnsi="Times New Roman" w:cs="Times New Roman"/>
            <w:color w:val="auto"/>
          </w:rPr>
          <w:t>https://invest76.ru/selection-supports/nalogovye-lgoty-ucastnika-prioritetnyx-investicionnyx-proektov</w:t>
        </w:r>
      </w:hyperlink>
      <w:r w:rsidRPr="004D2F6F">
        <w:rPr>
          <w:rFonts w:ascii="Times New Roman" w:hAnsi="Times New Roman" w:cs="Times New Roman"/>
        </w:rPr>
        <w:t>.</w:t>
      </w:r>
    </w:p>
    <w:p w14:paraId="20FC0678" w14:textId="519D3E58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5. </w:t>
      </w:r>
      <w:r w:rsidR="00B962C3" w:rsidRPr="004D2F6F">
        <w:rPr>
          <w:rFonts w:ascii="Times New Roman" w:hAnsi="Times New Roman" w:cs="Times New Roman"/>
        </w:rPr>
        <w:t xml:space="preserve">В Ярославской области в 2025 году построили меньше жилья // Коммерсантъ. – 08.02.2026. – Режим доступа: </w:t>
      </w:r>
      <w:hyperlink r:id="rId12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https://www.kommersant.ru/doc/8419027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7F90E250" w14:textId="72D77BB2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6. </w:t>
      </w:r>
      <w:r w:rsidR="00B962C3" w:rsidRPr="004D2F6F">
        <w:rPr>
          <w:rFonts w:ascii="Times New Roman" w:hAnsi="Times New Roman" w:cs="Times New Roman"/>
        </w:rPr>
        <w:t xml:space="preserve">Евраев: 2,5 млн кв. м жилья построят в ЯО по проектам КРТ // АиФ-Ярославль. – 17.03.2026. – Режим доступа: </w:t>
      </w:r>
      <w:hyperlink r:id="rId13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https://yar.aif.ru/society/evraev-2-5-mln-kv-m-zhilya-postroyat-v-yao-po-proektam-krt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74470428" w14:textId="5A7E9426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7. </w:t>
      </w:r>
      <w:r w:rsidR="00B962C3" w:rsidRPr="004D2F6F">
        <w:rPr>
          <w:rFonts w:ascii="Times New Roman" w:hAnsi="Times New Roman" w:cs="Times New Roman"/>
        </w:rPr>
        <w:t xml:space="preserve">Президентская академия: как рост налогов на дорогую недвижимость влияет на бюджет региона // МК. – 25.11.2025. – Режим доступа: </w:t>
      </w:r>
      <w:hyperlink r:id="rId14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https://www.mk.ru/economics/2025/11/25/prezidentskaya-akademiya-kak-rost-nalogov-na-doroguyu-nedvizhimost-vliyaet-na-byudzhet-regiona.html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63775E5A" w14:textId="431B0341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8. </w:t>
      </w:r>
      <w:r w:rsidR="00B962C3" w:rsidRPr="004D2F6F">
        <w:rPr>
          <w:rFonts w:ascii="Times New Roman" w:hAnsi="Times New Roman" w:cs="Times New Roman"/>
        </w:rPr>
        <w:t xml:space="preserve">Закон Ярославской области от 30.11.2005 № 69‑з «О применении упрощённой системы налогообложения на территории Ярославской области» (с изм. и доп.). – Режим доступа: </w:t>
      </w:r>
      <w:hyperlink r:id="rId15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https://base.garant.ru/24531898/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756B8B38" w14:textId="75C1A374" w:rsidR="00017398" w:rsidRPr="004D2F6F" w:rsidRDefault="00017398" w:rsidP="00017398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 xml:space="preserve">9. </w:t>
      </w:r>
      <w:r w:rsidR="00B962C3" w:rsidRPr="004D2F6F">
        <w:rPr>
          <w:rFonts w:ascii="Times New Roman" w:hAnsi="Times New Roman" w:cs="Times New Roman"/>
        </w:rPr>
        <w:t xml:space="preserve">Закон Ярославской области от 05.10.2021 № 73‑з «Об установлении инвестиционного налогового вычета по налогу на прибыль организаций» (с изм. и доп.). – Режим доступа: </w:t>
      </w:r>
      <w:hyperlink r:id="rId16" w:history="1">
        <w:r w:rsidR="00B962C3" w:rsidRPr="004D2F6F">
          <w:rPr>
            <w:rStyle w:val="af0"/>
            <w:rFonts w:ascii="Times New Roman" w:hAnsi="Times New Roman" w:cs="Times New Roman"/>
            <w:color w:val="auto"/>
          </w:rPr>
          <w:t>https://base.garant.ru/402893907/</w:t>
        </w:r>
      </w:hyperlink>
      <w:r w:rsidR="00B962C3" w:rsidRPr="004D2F6F">
        <w:rPr>
          <w:rFonts w:ascii="Times New Roman" w:hAnsi="Times New Roman" w:cs="Times New Roman"/>
        </w:rPr>
        <w:t xml:space="preserve"> </w:t>
      </w:r>
    </w:p>
    <w:p w14:paraId="6D7A91F2" w14:textId="77777777" w:rsidR="004D2F6F" w:rsidRDefault="004D2F6F" w:rsidP="004D2F6F">
      <w:pPr>
        <w:rPr>
          <w:rFonts w:ascii="Times New Roman" w:hAnsi="Times New Roman" w:cs="Times New Roman"/>
          <w:b/>
        </w:rPr>
      </w:pPr>
    </w:p>
    <w:p w14:paraId="52CA833C" w14:textId="77777777" w:rsidR="00EB5556" w:rsidRDefault="00EB5556" w:rsidP="004D2F6F">
      <w:pPr>
        <w:jc w:val="center"/>
        <w:rPr>
          <w:rFonts w:ascii="Times New Roman" w:hAnsi="Times New Roman" w:cs="Times New Roman"/>
          <w:b/>
        </w:rPr>
      </w:pPr>
    </w:p>
    <w:p w14:paraId="01A5088C" w14:textId="65B102EF" w:rsidR="004D2F6F" w:rsidRDefault="004D2F6F" w:rsidP="004D2F6F">
      <w:pPr>
        <w:jc w:val="center"/>
        <w:rPr>
          <w:rFonts w:ascii="Times New Roman" w:hAnsi="Times New Roman" w:cs="Times New Roman"/>
          <w:b/>
        </w:rPr>
      </w:pPr>
      <w:r w:rsidRPr="004D2F6F">
        <w:rPr>
          <w:rFonts w:ascii="Times New Roman" w:hAnsi="Times New Roman" w:cs="Times New Roman"/>
          <w:b/>
        </w:rPr>
        <w:t>Информация об авторе</w:t>
      </w:r>
    </w:p>
    <w:p w14:paraId="6A809E70" w14:textId="18CB088D" w:rsidR="004D2F6F" w:rsidRPr="004D2F6F" w:rsidRDefault="004D2F6F" w:rsidP="004D2F6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D2F6F">
        <w:rPr>
          <w:rFonts w:ascii="Times New Roman" w:hAnsi="Times New Roman" w:cs="Times New Roman"/>
        </w:rPr>
        <w:t>Зильберт Георгий Александрович, аспирант 1-го курса E-mail: </w:t>
      </w:r>
      <w:hyperlink r:id="rId17" w:history="1">
        <w:r w:rsidRPr="004D2F6F">
          <w:rPr>
            <w:rStyle w:val="af0"/>
            <w:rFonts w:ascii="Times New Roman" w:hAnsi="Times New Roman" w:cs="Times New Roman"/>
            <w:lang w:val="en-US"/>
          </w:rPr>
          <w:t>zilbert</w:t>
        </w:r>
        <w:r w:rsidRPr="004D2F6F">
          <w:rPr>
            <w:rStyle w:val="af0"/>
            <w:rFonts w:ascii="Times New Roman" w:hAnsi="Times New Roman" w:cs="Times New Roman"/>
          </w:rPr>
          <w:t>2020@</w:t>
        </w:r>
        <w:r w:rsidRPr="004D2F6F">
          <w:rPr>
            <w:rStyle w:val="af0"/>
            <w:rFonts w:ascii="Times New Roman" w:hAnsi="Times New Roman" w:cs="Times New Roman"/>
            <w:lang w:val="en-US"/>
          </w:rPr>
          <w:t>yandex</w:t>
        </w:r>
        <w:r w:rsidRPr="004D2F6F">
          <w:rPr>
            <w:rStyle w:val="af0"/>
            <w:rFonts w:ascii="Times New Roman" w:hAnsi="Times New Roman" w:cs="Times New Roman"/>
          </w:rPr>
          <w:t>.ru</w:t>
        </w:r>
      </w:hyperlink>
      <w:r w:rsidRPr="004D2F6F">
        <w:rPr>
          <w:rFonts w:ascii="Times New Roman" w:hAnsi="Times New Roman" w:cs="Times New Roman"/>
        </w:rPr>
        <w:t xml:space="preserve"> Научный руководитель – А.А. Пугачев</w:t>
      </w:r>
      <w:r w:rsidRPr="004D2F6F">
        <w:rPr>
          <w:rFonts w:ascii="Times New Roman" w:hAnsi="Times New Roman" w:cs="Times New Roman"/>
        </w:rPr>
        <w:br/>
        <w:t>канд. экон. наук, доцент, доцент кафедры финансов и кредита E-mail: </w:t>
      </w:r>
      <w:hyperlink r:id="rId18" w:history="1">
        <w:r w:rsidRPr="004D2F6F">
          <w:rPr>
            <w:rStyle w:val="af0"/>
            <w:rFonts w:ascii="Times New Roman" w:eastAsia="Times New Roman" w:hAnsi="Times New Roman" w:cs="Times New Roman"/>
            <w:lang w:val="en-US"/>
          </w:rPr>
          <w:t>andrxim</w:t>
        </w:r>
        <w:r w:rsidRPr="004D2F6F">
          <w:rPr>
            <w:rStyle w:val="af0"/>
            <w:rFonts w:ascii="Times New Roman" w:eastAsia="Times New Roman" w:hAnsi="Times New Roman" w:cs="Times New Roman"/>
          </w:rPr>
          <w:t>@</w:t>
        </w:r>
        <w:r w:rsidRPr="004D2F6F">
          <w:rPr>
            <w:rStyle w:val="af0"/>
            <w:rFonts w:ascii="Times New Roman" w:eastAsia="Times New Roman" w:hAnsi="Times New Roman" w:cs="Times New Roman"/>
            <w:lang w:val="en-US"/>
          </w:rPr>
          <w:t>yandex</w:t>
        </w:r>
        <w:r w:rsidRPr="004D2F6F">
          <w:rPr>
            <w:rStyle w:val="af0"/>
            <w:rFonts w:ascii="Times New Roman" w:eastAsia="Times New Roman" w:hAnsi="Times New Roman" w:cs="Times New Roman"/>
          </w:rPr>
          <w:t>.</w:t>
        </w:r>
        <w:proofErr w:type="spellStart"/>
        <w:r w:rsidRPr="004D2F6F">
          <w:rPr>
            <w:rStyle w:val="af0"/>
            <w:rFonts w:ascii="Times New Roman" w:eastAsia="Times New Roman" w:hAnsi="Times New Roman" w:cs="Times New Roman"/>
          </w:rPr>
          <w:t>ru</w:t>
        </w:r>
        <w:proofErr w:type="spellEnd"/>
      </w:hyperlink>
      <w:r w:rsidRPr="004D2F6F">
        <w:rPr>
          <w:rFonts w:ascii="Times New Roman" w:hAnsi="Times New Roman" w:cs="Times New Roman"/>
        </w:rPr>
        <w:t xml:space="preserve"> Ярославский государственный университет им. П.Г. Демидова (Ярославль) экономический факультет, кафедра финансов и кредита, г. Ярославль, Россия.</w:t>
      </w:r>
    </w:p>
    <w:p w14:paraId="56F10462" w14:textId="3E196AAA" w:rsidR="00EB5556" w:rsidRPr="00EB5556" w:rsidRDefault="00EB5556" w:rsidP="00EB5556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3650E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</w:t>
      </w:r>
    </w:p>
    <w:p w14:paraId="72A213DF" w14:textId="54EA9F73" w:rsidR="00EB5556" w:rsidRDefault="00EB5556" w:rsidP="00EB5556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0043650E">
        <w:rPr>
          <w:rFonts w:ascii="Times New Roman" w:hAnsi="Times New Roman" w:cs="Times New Roman"/>
          <w:b/>
          <w:bCs/>
        </w:rPr>
        <w:lastRenderedPageBreak/>
        <w:t xml:space="preserve">                      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Zilbert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G.A.</w:t>
      </w:r>
    </w:p>
    <w:p w14:paraId="23663DC9" w14:textId="1D9EDD72" w:rsidR="00EB5556" w:rsidRPr="004D2F6F" w:rsidRDefault="00EB5556" w:rsidP="00EB5556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004D2F6F">
        <w:rPr>
          <w:rFonts w:ascii="Times New Roman" w:hAnsi="Times New Roman" w:cs="Times New Roman"/>
          <w:b/>
          <w:bCs/>
          <w:lang w:val="en-US"/>
        </w:rPr>
        <w:t>TAX INSTRUMENTS FOR STIMULATING HOUSING CONSTRUCTION IN THE YAROSLAVL REGION: POTENTIAL AND LIMITATIONS</w:t>
      </w:r>
    </w:p>
    <w:p w14:paraId="245D1E30" w14:textId="77777777" w:rsidR="00EB5556" w:rsidRPr="004D2F6F" w:rsidRDefault="00EB5556" w:rsidP="00EB5556">
      <w:pPr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</w:p>
    <w:p w14:paraId="235BECEF" w14:textId="467D06E1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lang w:val="en-US"/>
        </w:rPr>
      </w:pPr>
      <w:r w:rsidRPr="004D2F6F">
        <w:rPr>
          <w:rFonts w:ascii="Times New Roman" w:hAnsi="Times New Roman" w:cs="Times New Roman"/>
          <w:b/>
          <w:bCs/>
          <w:lang w:val="en-US"/>
        </w:rPr>
        <w:t>Abstract</w:t>
      </w:r>
      <w:r w:rsidRPr="00EB5556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EB5556">
        <w:rPr>
          <w:rFonts w:ascii="Times New Roman" w:hAnsi="Times New Roman" w:cs="Times New Roman"/>
          <w:i/>
          <w:iCs/>
          <w:lang w:val="en-US"/>
        </w:rPr>
        <w:t>The article systematizes tax instruments for stimulating housing construction in the Yaroslavl Oblast. A conclusion is drawn about the unrealized potential for stimulation against the background of an increasing tax burden.</w:t>
      </w:r>
    </w:p>
    <w:p w14:paraId="189D49F8" w14:textId="77777777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lang w:val="en-US"/>
        </w:rPr>
      </w:pPr>
      <w:r w:rsidRPr="004D2F6F">
        <w:rPr>
          <w:rFonts w:ascii="Times New Roman" w:hAnsi="Times New Roman" w:cs="Times New Roman"/>
          <w:b/>
          <w:bCs/>
          <w:lang w:val="en-US"/>
        </w:rPr>
        <w:t>Keywords</w:t>
      </w:r>
      <w:r w:rsidRPr="00EB5556">
        <w:rPr>
          <w:rFonts w:ascii="Times New Roman" w:hAnsi="Times New Roman" w:cs="Times New Roman"/>
          <w:b/>
          <w:bCs/>
          <w:i/>
          <w:iCs/>
          <w:lang w:val="en-US"/>
        </w:rPr>
        <w:t>:</w:t>
      </w:r>
      <w:r w:rsidRPr="00EB5556">
        <w:rPr>
          <w:rFonts w:ascii="Times New Roman" w:hAnsi="Times New Roman" w:cs="Times New Roman"/>
          <w:i/>
          <w:iCs/>
          <w:lang w:val="en-US"/>
        </w:rPr>
        <w:t> tax instruments, housing construction, Yaroslavl Oblast, investment tax deduction, income tax, simplified tax system, integrated territorial development.</w:t>
      </w:r>
    </w:p>
    <w:p w14:paraId="2D81A6FE" w14:textId="77777777" w:rsidR="00594523" w:rsidRDefault="00594523" w:rsidP="00CA3F3D">
      <w:pPr>
        <w:rPr>
          <w:rFonts w:ascii="Times New Roman" w:hAnsi="Times New Roman" w:cs="Times New Roman"/>
          <w:lang w:val="en-US"/>
        </w:rPr>
      </w:pPr>
    </w:p>
    <w:p w14:paraId="741FB0A8" w14:textId="4D354D1B" w:rsidR="00EB5556" w:rsidRDefault="00EB5556" w:rsidP="00EB5556">
      <w:pPr>
        <w:jc w:val="center"/>
        <w:rPr>
          <w:rFonts w:ascii="Times New Roman" w:hAnsi="Times New Roman" w:cs="Times New Roman"/>
          <w:b/>
          <w:lang w:val="en-US"/>
        </w:rPr>
      </w:pPr>
      <w:r w:rsidRPr="00EB5556">
        <w:rPr>
          <w:rFonts w:ascii="Times New Roman" w:hAnsi="Times New Roman" w:cs="Times New Roman"/>
          <w:b/>
          <w:lang w:val="en-US"/>
        </w:rPr>
        <w:t>Information about Author</w:t>
      </w:r>
    </w:p>
    <w:p w14:paraId="0480D520" w14:textId="185B5D76" w:rsidR="00EB5556" w:rsidRPr="004D2F6F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4D2F6F">
        <w:rPr>
          <w:rFonts w:ascii="Times New Roman" w:hAnsi="Times New Roman" w:cs="Times New Roman"/>
          <w:lang w:val="en-US"/>
        </w:rPr>
        <w:t>Zilbert</w:t>
      </w:r>
      <w:proofErr w:type="spellEnd"/>
      <w:r w:rsidRPr="004D2F6F">
        <w:rPr>
          <w:rFonts w:ascii="Times New Roman" w:hAnsi="Times New Roman" w:cs="Times New Roman"/>
          <w:lang w:val="en-US"/>
        </w:rPr>
        <w:t xml:space="preserve"> G</w:t>
      </w:r>
      <w:r>
        <w:rPr>
          <w:rFonts w:ascii="Times New Roman" w:hAnsi="Times New Roman" w:cs="Times New Roman"/>
          <w:lang w:val="en-US"/>
        </w:rPr>
        <w:t xml:space="preserve">eorgy </w:t>
      </w:r>
      <w:proofErr w:type="spellStart"/>
      <w:r w:rsidRPr="004D2F6F">
        <w:rPr>
          <w:rFonts w:ascii="Times New Roman" w:hAnsi="Times New Roman" w:cs="Times New Roman"/>
          <w:lang w:val="en-US"/>
        </w:rPr>
        <w:t>A</w:t>
      </w:r>
      <w:r>
        <w:rPr>
          <w:rFonts w:ascii="Times New Roman" w:hAnsi="Times New Roman" w:cs="Times New Roman"/>
          <w:lang w:val="en-US"/>
        </w:rPr>
        <w:t>lexandrovich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Postgraduate student, 1st year</w:t>
      </w:r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 xml:space="preserve">Scientific supervisor – A.A. </w:t>
      </w:r>
      <w:proofErr w:type="spellStart"/>
      <w:r w:rsidRPr="004D2F6F">
        <w:rPr>
          <w:rFonts w:ascii="Times New Roman" w:hAnsi="Times New Roman" w:cs="Times New Roman"/>
          <w:lang w:val="en-US"/>
        </w:rPr>
        <w:t>Pugachev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Candidate of Economic Sciences, Associate Professor,</w:t>
      </w:r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Associate Professor of the</w:t>
      </w:r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Department of Finance and Credit</w:t>
      </w:r>
      <w:r w:rsidRPr="004D2F6F" w:rsidDel="0014257F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P.G. Demidov Yaroslavl State University (Yaroslavl)</w:t>
      </w:r>
      <w:r>
        <w:rPr>
          <w:rFonts w:ascii="Times New Roman" w:hAnsi="Times New Roman" w:cs="Times New Roman"/>
          <w:lang w:val="en-US"/>
        </w:rPr>
        <w:t xml:space="preserve"> </w:t>
      </w:r>
      <w:r w:rsidRPr="004D2F6F">
        <w:rPr>
          <w:rFonts w:ascii="Times New Roman" w:hAnsi="Times New Roman" w:cs="Times New Roman"/>
          <w:lang w:val="en-US"/>
        </w:rPr>
        <w:t>Faculty of Economics, Department of Finance and Credit, Yaroslavl, Russia.</w:t>
      </w:r>
    </w:p>
    <w:p w14:paraId="08404989" w14:textId="77777777" w:rsidR="00EB5556" w:rsidRPr="0043650E" w:rsidRDefault="00EB5556" w:rsidP="00EB5556">
      <w:pPr>
        <w:rPr>
          <w:rFonts w:ascii="Times New Roman" w:hAnsi="Times New Roman" w:cs="Times New Roman"/>
          <w:lang w:val="en-US"/>
        </w:rPr>
      </w:pPr>
    </w:p>
    <w:p w14:paraId="7772646C" w14:textId="77777777" w:rsidR="00EB5556" w:rsidRPr="00EB5556" w:rsidRDefault="00EB5556" w:rsidP="00EB5556">
      <w:pPr>
        <w:jc w:val="center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b/>
          <w:lang w:val="en-US"/>
        </w:rPr>
        <w:t>Bibliographic list</w:t>
      </w:r>
    </w:p>
    <w:p w14:paraId="4D83C5D5" w14:textId="353D12E1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1. Tax Code of the Russian Federation (Part Two) of 05.08.2000 No. 117-FZ (as amended on 01.01.2026). – Available at: </w:t>
      </w:r>
      <w:hyperlink r:id="rId19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https://www.consultant.ru/cons/cgi/online.cgi?req=doc;base=LAW;n=525528;dst=100279</w:t>
        </w:r>
      </w:hyperlink>
    </w:p>
    <w:p w14:paraId="53495997" w14:textId="6FE8DBB3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2. Law of the Yaroslavl Region of 18.09.2024 No. 48-z “On Amending Article 3.1 of the Yaroslavl Region Law ‘On Corporate Property Tax in the Yaroslavl Region’”. – Available at: </w:t>
      </w:r>
      <w:hyperlink r:id="rId20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https://base.garant.ru/410414471/</w:t>
        </w:r>
      </w:hyperlink>
    </w:p>
    <w:p w14:paraId="3FFECE32" w14:textId="518212CF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3. Law of the Yaroslavl Region of 24.02.1998 No. 2-z “On the Procedure and Conditions for Granting Tax and Levy Benefits” (as amended on 06.08.2024). – Available at: </w:t>
      </w:r>
      <w:hyperlink r:id="rId21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https://base.garant.ru/24608218/</w:t>
        </w:r>
      </w:hyperlink>
    </w:p>
    <w:p w14:paraId="2D3933ED" w14:textId="67ABB474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4. Tax Benefits for Participants of Priority Investment Projects [Electronic resource] // Investment Portal of the Yaroslavl Region. – Available at: </w:t>
      </w:r>
      <w:hyperlink r:id="rId22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https://invest76.ru/selection-supports/nalogovye-lgoty-ucastnika-prioritetnyx-investicionnyx-proektov</w:t>
        </w:r>
      </w:hyperlink>
    </w:p>
    <w:p w14:paraId="0689C3D2" w14:textId="2E69B466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 xml:space="preserve">5. In the Yaroslavl Region, Less Housing Was Built in 2025 // </w:t>
      </w:r>
      <w:proofErr w:type="spellStart"/>
      <w:r w:rsidRPr="00EB5556">
        <w:rPr>
          <w:rFonts w:ascii="Times New Roman" w:hAnsi="Times New Roman" w:cs="Times New Roman"/>
          <w:lang w:val="en-US"/>
        </w:rPr>
        <w:t>Kommersant</w:t>
      </w:r>
      <w:proofErr w:type="spellEnd"/>
      <w:r w:rsidRPr="00EB5556">
        <w:rPr>
          <w:rFonts w:ascii="Times New Roman" w:hAnsi="Times New Roman" w:cs="Times New Roman"/>
          <w:lang w:val="en-US"/>
        </w:rPr>
        <w:t>. – 08.02.2026. – Available at: </w:t>
      </w:r>
      <w:hyperlink r:id="rId23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https://www.kommersant.ru/doc/8419027</w:t>
        </w:r>
      </w:hyperlink>
    </w:p>
    <w:p w14:paraId="6E2A1605" w14:textId="16AE40CD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 xml:space="preserve">6. </w:t>
      </w:r>
      <w:proofErr w:type="spellStart"/>
      <w:r w:rsidRPr="00EB5556">
        <w:rPr>
          <w:rFonts w:ascii="Times New Roman" w:hAnsi="Times New Roman" w:cs="Times New Roman"/>
          <w:lang w:val="en-US"/>
        </w:rPr>
        <w:t>Evraev</w:t>
      </w:r>
      <w:proofErr w:type="spellEnd"/>
      <w:r w:rsidRPr="00EB5556">
        <w:rPr>
          <w:rFonts w:ascii="Times New Roman" w:hAnsi="Times New Roman" w:cs="Times New Roman"/>
          <w:lang w:val="en-US"/>
        </w:rPr>
        <w:t xml:space="preserve">: 2.5 Million Square </w:t>
      </w:r>
      <w:proofErr w:type="spellStart"/>
      <w:r w:rsidRPr="00EB5556">
        <w:rPr>
          <w:rFonts w:ascii="Times New Roman" w:hAnsi="Times New Roman" w:cs="Times New Roman"/>
          <w:lang w:val="en-US"/>
        </w:rPr>
        <w:t>Metres</w:t>
      </w:r>
      <w:proofErr w:type="spellEnd"/>
      <w:r w:rsidRPr="00EB5556">
        <w:rPr>
          <w:rFonts w:ascii="Times New Roman" w:hAnsi="Times New Roman" w:cs="Times New Roman"/>
          <w:lang w:val="en-US"/>
        </w:rPr>
        <w:t xml:space="preserve"> of Housing Will Be Built in the Yaroslavl Region under Integrated Development Projects // </w:t>
      </w:r>
      <w:proofErr w:type="spellStart"/>
      <w:r w:rsidRPr="00EB5556">
        <w:rPr>
          <w:rFonts w:ascii="Times New Roman" w:hAnsi="Times New Roman" w:cs="Times New Roman"/>
          <w:lang w:val="en-US"/>
        </w:rPr>
        <w:t>AiF</w:t>
      </w:r>
      <w:proofErr w:type="spellEnd"/>
      <w:r w:rsidRPr="00EB5556">
        <w:rPr>
          <w:rFonts w:ascii="Times New Roman" w:hAnsi="Times New Roman" w:cs="Times New Roman"/>
          <w:lang w:val="en-US"/>
        </w:rPr>
        <w:t>-Yaroslavl. – 17.03.2026. – Available at: </w:t>
      </w:r>
      <w:hyperlink r:id="rId24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https://yar.aif.ru/society/evraev-2-5-mln-kv-m-zhilya-postroyat-v-yao-po-proektam-krt</w:t>
        </w:r>
      </w:hyperlink>
    </w:p>
    <w:p w14:paraId="5F9BA9A3" w14:textId="07165E56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7. Presidential Academy: How Tax Increases on Expensive Real Estate Affect Regional Budgets // MK. – 25.11.2025. – Available at: </w:t>
      </w:r>
      <w:hyperlink r:id="rId25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https://www.mk.ru/economics/2025/11/25/prezidentskaya-akademiya-kak-rost-nalogov-na-doroguyu-nedvizhimost-vliyaet-na-byudzhet-regiona.html</w:t>
        </w:r>
      </w:hyperlink>
    </w:p>
    <w:p w14:paraId="71C7BABD" w14:textId="38E0EF95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8. Law of the Yaroslavl Region of 30.11.2005 No. 69-z “On the Application of the Simplified Taxation System in the Yaroslavl Region” (with amendments and additions). – Available at: </w:t>
      </w:r>
      <w:hyperlink r:id="rId26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https://base.garant.ru/24531898/</w:t>
        </w:r>
      </w:hyperlink>
    </w:p>
    <w:p w14:paraId="1653CD6A" w14:textId="6486C4B6" w:rsidR="00EB5556" w:rsidRPr="00EB5556" w:rsidRDefault="00EB5556" w:rsidP="00EB5556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EB5556">
        <w:rPr>
          <w:rFonts w:ascii="Times New Roman" w:hAnsi="Times New Roman" w:cs="Times New Roman"/>
          <w:lang w:val="en-US"/>
        </w:rPr>
        <w:t>9. Law of the Yaroslavl Region of 05.10.2021 No. 73-z “On the Introduction of the Investment Tax Deduction on Corporate Profit Tax” (with amendments and additions). – Available at: </w:t>
      </w:r>
      <w:hyperlink r:id="rId27" w:tgtFrame="_blank" w:history="1">
        <w:r w:rsidRPr="00EB5556">
          <w:rPr>
            <w:rStyle w:val="af0"/>
            <w:rFonts w:ascii="Times New Roman" w:hAnsi="Times New Roman" w:cs="Times New Roman"/>
            <w:lang w:val="en-US"/>
          </w:rPr>
          <w:t>https://base.garant.ru/402893907/</w:t>
        </w:r>
      </w:hyperlink>
    </w:p>
    <w:p w14:paraId="0FAED3FF" w14:textId="1A4B7316" w:rsidR="00EB5556" w:rsidRPr="00D64C11" w:rsidRDefault="00EB5556" w:rsidP="00EB5556">
      <w:pPr>
        <w:rPr>
          <w:rFonts w:ascii="Times New Roman" w:hAnsi="Times New Roman" w:cs="Times New Roman"/>
          <w:lang w:val="en-US"/>
        </w:rPr>
      </w:pPr>
    </w:p>
    <w:p w14:paraId="065CAF9A" w14:textId="3DAC692B" w:rsidR="0047385A" w:rsidRPr="00D64C11" w:rsidRDefault="0047385A" w:rsidP="00EB5556">
      <w:pPr>
        <w:rPr>
          <w:rFonts w:ascii="Times New Roman" w:hAnsi="Times New Roman" w:cs="Times New Roman"/>
          <w:lang w:val="en-US"/>
        </w:rPr>
      </w:pPr>
    </w:p>
    <w:sectPr w:rsidR="0047385A" w:rsidRPr="00D64C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19AB0" w14:textId="77777777" w:rsidR="002E3A0A" w:rsidRDefault="002E3A0A" w:rsidP="00024A36">
      <w:pPr>
        <w:spacing w:after="0" w:line="240" w:lineRule="auto"/>
      </w:pPr>
      <w:r>
        <w:separator/>
      </w:r>
    </w:p>
  </w:endnote>
  <w:endnote w:type="continuationSeparator" w:id="0">
    <w:p w14:paraId="1E8BBE50" w14:textId="77777777" w:rsidR="002E3A0A" w:rsidRDefault="002E3A0A" w:rsidP="00024A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ED86F8" w14:textId="77777777" w:rsidR="002E3A0A" w:rsidRDefault="002E3A0A" w:rsidP="00024A36">
      <w:pPr>
        <w:spacing w:after="0" w:line="240" w:lineRule="auto"/>
      </w:pPr>
      <w:r>
        <w:separator/>
      </w:r>
    </w:p>
  </w:footnote>
  <w:footnote w:type="continuationSeparator" w:id="0">
    <w:p w14:paraId="4DBDD287" w14:textId="77777777" w:rsidR="002E3A0A" w:rsidRDefault="002E3A0A" w:rsidP="00024A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85910"/>
    <w:multiLevelType w:val="multilevel"/>
    <w:tmpl w:val="F3EC3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2D300E"/>
    <w:multiLevelType w:val="multilevel"/>
    <w:tmpl w:val="7C38F1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BA1896"/>
    <w:multiLevelType w:val="hybridMultilevel"/>
    <w:tmpl w:val="075CD2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6608C6"/>
    <w:multiLevelType w:val="multilevel"/>
    <w:tmpl w:val="64B4BD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44777842">
    <w:abstractNumId w:val="1"/>
  </w:num>
  <w:num w:numId="2" w16cid:durableId="1925533954">
    <w:abstractNumId w:val="2"/>
  </w:num>
  <w:num w:numId="3" w16cid:durableId="442000850">
    <w:abstractNumId w:val="0"/>
  </w:num>
  <w:num w:numId="4" w16cid:durableId="21039928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001"/>
    <w:rsid w:val="00001581"/>
    <w:rsid w:val="00002865"/>
    <w:rsid w:val="00017398"/>
    <w:rsid w:val="00024A36"/>
    <w:rsid w:val="001413E9"/>
    <w:rsid w:val="00167C6F"/>
    <w:rsid w:val="00172406"/>
    <w:rsid w:val="00186C1E"/>
    <w:rsid w:val="002437EB"/>
    <w:rsid w:val="00260D1E"/>
    <w:rsid w:val="002E3A0A"/>
    <w:rsid w:val="00354F77"/>
    <w:rsid w:val="00363CB9"/>
    <w:rsid w:val="0037793D"/>
    <w:rsid w:val="00392D67"/>
    <w:rsid w:val="003F53F3"/>
    <w:rsid w:val="00433952"/>
    <w:rsid w:val="0043650E"/>
    <w:rsid w:val="0047385A"/>
    <w:rsid w:val="004D2F6F"/>
    <w:rsid w:val="004E0E47"/>
    <w:rsid w:val="004F4ED7"/>
    <w:rsid w:val="00500328"/>
    <w:rsid w:val="00525051"/>
    <w:rsid w:val="00544467"/>
    <w:rsid w:val="00594523"/>
    <w:rsid w:val="005A7171"/>
    <w:rsid w:val="005A7676"/>
    <w:rsid w:val="006461B8"/>
    <w:rsid w:val="00756AC7"/>
    <w:rsid w:val="00783F39"/>
    <w:rsid w:val="00803BB1"/>
    <w:rsid w:val="008377F3"/>
    <w:rsid w:val="00881870"/>
    <w:rsid w:val="00953068"/>
    <w:rsid w:val="00967ED6"/>
    <w:rsid w:val="0098467D"/>
    <w:rsid w:val="009F0F02"/>
    <w:rsid w:val="00A65650"/>
    <w:rsid w:val="00A67787"/>
    <w:rsid w:val="00A828F0"/>
    <w:rsid w:val="00AE552B"/>
    <w:rsid w:val="00B73035"/>
    <w:rsid w:val="00B962C3"/>
    <w:rsid w:val="00C02317"/>
    <w:rsid w:val="00C87595"/>
    <w:rsid w:val="00CA3F3D"/>
    <w:rsid w:val="00CA6349"/>
    <w:rsid w:val="00CD466D"/>
    <w:rsid w:val="00D2343D"/>
    <w:rsid w:val="00D3278E"/>
    <w:rsid w:val="00D35557"/>
    <w:rsid w:val="00D61001"/>
    <w:rsid w:val="00D64C11"/>
    <w:rsid w:val="00D86FF0"/>
    <w:rsid w:val="00E33F86"/>
    <w:rsid w:val="00EB5556"/>
    <w:rsid w:val="00F07018"/>
    <w:rsid w:val="00F45B89"/>
    <w:rsid w:val="00F85BDC"/>
    <w:rsid w:val="00F91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B664F"/>
  <w15:chartTrackingRefBased/>
  <w15:docId w15:val="{6842A90A-4778-4E6F-895E-9C4E9D5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610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10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610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610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610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10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610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610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610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610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610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610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6100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6100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6100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6100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6100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6100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610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D610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610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D610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D610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6100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6100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6100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610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6100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D61001"/>
    <w:rPr>
      <w:b/>
      <w:bCs/>
      <w:smallCaps/>
      <w:color w:val="0F4761" w:themeColor="accent1" w:themeShade="BF"/>
      <w:spacing w:val="5"/>
    </w:rPr>
  </w:style>
  <w:style w:type="paragraph" w:styleId="ac">
    <w:name w:val="caption"/>
    <w:basedOn w:val="a"/>
    <w:next w:val="a"/>
    <w:uiPriority w:val="35"/>
    <w:unhideWhenUsed/>
    <w:qFormat/>
    <w:rsid w:val="00024A36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ad">
    <w:name w:val="footnote text"/>
    <w:basedOn w:val="a"/>
    <w:link w:val="ae"/>
    <w:uiPriority w:val="99"/>
    <w:semiHidden/>
    <w:unhideWhenUsed/>
    <w:rsid w:val="00024A36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024A36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024A36"/>
    <w:rPr>
      <w:vertAlign w:val="superscript"/>
    </w:rPr>
  </w:style>
  <w:style w:type="character" w:styleId="af0">
    <w:name w:val="Hyperlink"/>
    <w:basedOn w:val="a0"/>
    <w:uiPriority w:val="99"/>
    <w:unhideWhenUsed/>
    <w:rsid w:val="00D35557"/>
    <w:rPr>
      <w:color w:val="467886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D35557"/>
    <w:rPr>
      <w:color w:val="605E5C"/>
      <w:shd w:val="clear" w:color="auto" w:fill="E1DFDD"/>
    </w:rPr>
  </w:style>
  <w:style w:type="paragraph" w:styleId="af2">
    <w:name w:val="Revision"/>
    <w:hidden/>
    <w:uiPriority w:val="99"/>
    <w:semiHidden/>
    <w:rsid w:val="004E0E47"/>
    <w:pPr>
      <w:spacing w:after="0" w:line="240" w:lineRule="auto"/>
    </w:pPr>
  </w:style>
  <w:style w:type="character" w:styleId="af3">
    <w:name w:val="annotation reference"/>
    <w:basedOn w:val="a0"/>
    <w:uiPriority w:val="99"/>
    <w:semiHidden/>
    <w:unhideWhenUsed/>
    <w:rsid w:val="004E0E47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4E0E47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4E0E47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4E0E47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4E0E47"/>
    <w:rPr>
      <w:b/>
      <w:bCs/>
      <w:sz w:val="20"/>
      <w:szCs w:val="20"/>
    </w:rPr>
  </w:style>
  <w:style w:type="character" w:styleId="af8">
    <w:name w:val="Strong"/>
    <w:basedOn w:val="a0"/>
    <w:uiPriority w:val="22"/>
    <w:qFormat/>
    <w:rsid w:val="00B962C3"/>
    <w:rPr>
      <w:b/>
      <w:bCs/>
    </w:rPr>
  </w:style>
  <w:style w:type="table" w:styleId="af9">
    <w:name w:val="Table Grid"/>
    <w:basedOn w:val="a1"/>
    <w:uiPriority w:val="39"/>
    <w:rsid w:val="00F45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7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9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5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6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4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7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cons/cgi/online.cgi?req=doc;base=LAW;n=525528;dst=100279" TargetMode="External"/><Relationship Id="rId13" Type="http://schemas.openxmlformats.org/officeDocument/2006/relationships/hyperlink" Target="https://yar.aif.ru/society/evraev-2-5-mln-kv-m-zhilya-postroyat-v-yao-po-proektam-krt" TargetMode="External"/><Relationship Id="rId18" Type="http://schemas.openxmlformats.org/officeDocument/2006/relationships/hyperlink" Target="mailto:andrxim@yandex.ru" TargetMode="External"/><Relationship Id="rId26" Type="http://schemas.openxmlformats.org/officeDocument/2006/relationships/hyperlink" Target="https://base.garant.ru/24531898/" TargetMode="External"/><Relationship Id="rId3" Type="http://schemas.openxmlformats.org/officeDocument/2006/relationships/styles" Target="styles.xml"/><Relationship Id="rId21" Type="http://schemas.openxmlformats.org/officeDocument/2006/relationships/hyperlink" Target="https://base.garant.ru/24608218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kommersant.ru/doc/8419027" TargetMode="External"/><Relationship Id="rId17" Type="http://schemas.openxmlformats.org/officeDocument/2006/relationships/hyperlink" Target="mailto:zilbert2020@yandex.ru" TargetMode="External"/><Relationship Id="rId25" Type="http://schemas.openxmlformats.org/officeDocument/2006/relationships/hyperlink" Target="https://www.mk.ru/economics/2025/11/25/prezidentskaya-akademiya-kak-rost-nalogov-na-doroguyu-nedvizhimost-vliyaet-na-byudzhet-regiona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402893907/" TargetMode="External"/><Relationship Id="rId20" Type="http://schemas.openxmlformats.org/officeDocument/2006/relationships/hyperlink" Target="https://base.garant.ru/410414471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vest76.ru/selection-supports/nalogovye-lgoty-ucastnika-prioritetnyx-investicionnyx-proektov" TargetMode="External"/><Relationship Id="rId24" Type="http://schemas.openxmlformats.org/officeDocument/2006/relationships/hyperlink" Target="https://yar.aif.ru/society/evraev-2-5-mln-kv-m-zhilya-postroyat-v-yao-po-proektam-kr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24531898/" TargetMode="External"/><Relationship Id="rId23" Type="http://schemas.openxmlformats.org/officeDocument/2006/relationships/hyperlink" Target="https://www.kommersant.ru/doc/8419027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base.garant.ru/24608218/" TargetMode="External"/><Relationship Id="rId19" Type="http://schemas.openxmlformats.org/officeDocument/2006/relationships/hyperlink" Target="https://www.consultant.ru/cons/cgi/online.cgi?req=doc;base=LAW;n=525528;dst=10027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ase.garant.ru/410414471/" TargetMode="External"/><Relationship Id="rId14" Type="http://schemas.openxmlformats.org/officeDocument/2006/relationships/hyperlink" Target="https://www.mk.ru/economics/2025/11/25/prezidentskaya-akademiya-kak-rost-nalogov-na-doroguyu-nedvizhimost-vliyaet-na-byudzhet-regiona.html" TargetMode="External"/><Relationship Id="rId22" Type="http://schemas.openxmlformats.org/officeDocument/2006/relationships/hyperlink" Target="https://invest76.ru/selection-supports/nalogovye-lgoty-ucastnika-prioritetnyx-investicionnyx-proektov" TargetMode="External"/><Relationship Id="rId27" Type="http://schemas.openxmlformats.org/officeDocument/2006/relationships/hyperlink" Target="https://base.garant.ru/40289390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11A48E-47D0-4E5E-B5CB-6E3422D3D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2858</Words>
  <Characters>16294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LightKey.Store</Company>
  <LinksUpToDate>false</LinksUpToDate>
  <CharactersWithSpaces>19114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Георгий Зильберт</dc:creator>
  <cp:keywords/>
  <dc:description/>
  <cp:lastModifiedBy>Георгий Зильберт</cp:lastModifiedBy>
  <cp:revision>9</cp:revision>
  <cp:lastPrinted>2026-05-15T16:11:00Z</cp:lastPrinted>
  <dcterms:created xsi:type="dcterms:W3CDTF">2026-05-12T14:01:00Z</dcterms:created>
  <dcterms:modified xsi:type="dcterms:W3CDTF">2026-05-16T15:23:00Z</dcterms:modified>
</cp:coreProperties>
</file>