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723670">
      <w:pPr>
        <w:spacing w:beforeAutospacing="0" w:after="14" w:afterAutospacing="0" w:line="240" w:lineRule="auto"/>
        <w:ind w:left="0" w:firstLine="729"/>
        <w:jc w:val="both"/>
        <w:rPr>
          <w:rFonts w:ascii="Times New Roman" w:hAnsi="Times New Roman"/>
          <w:b/>
          <w:color w:val="1A1A1A"/>
          <w:sz w:val="24"/>
          <w:shd w:val="clear" w:color="auto" w:fill="FFFFFF"/>
        </w:rPr>
      </w:pPr>
      <w:r>
        <w:rPr>
          <w:rFonts w:ascii="Times New Roman" w:hAnsi="Times New Roman"/>
          <w:b/>
          <w:color w:val="1A1A1A"/>
          <w:sz w:val="24"/>
          <w:shd w:val="clear" w:color="auto" w:fill="FFFFFF"/>
        </w:rPr>
        <w:t>УДК 332.146.2</w:t>
      </w:r>
    </w:p>
    <w:p w14:paraId="4F39B38B">
      <w:pPr>
        <w:spacing w:beforeAutospacing="0" w:after="14" w:afterAutospacing="0" w:line="240" w:lineRule="auto"/>
        <w:ind w:left="0" w:firstLine="729"/>
        <w:jc w:val="right"/>
        <w:rPr>
          <w:rFonts w:ascii="Times New Roman" w:hAnsi="Times New Roman"/>
          <w:b/>
          <w:color w:val="1A1A1A"/>
          <w:sz w:val="24"/>
          <w:shd w:val="clear" w:color="auto" w:fill="FFFFFF"/>
        </w:rPr>
      </w:pPr>
      <w:r>
        <w:rPr>
          <w:rFonts w:ascii="Times New Roman" w:hAnsi="Times New Roman"/>
          <w:b/>
          <w:color w:val="1A1A1A"/>
          <w:sz w:val="24"/>
          <w:shd w:val="clear" w:color="auto" w:fill="FFFFFF"/>
        </w:rPr>
        <w:t>Михайлов В.С.</w:t>
      </w:r>
    </w:p>
    <w:p w14:paraId="6D9A05CD">
      <w:pPr>
        <w:spacing w:beforeAutospacing="0" w:after="14" w:afterAutospacing="0" w:line="240" w:lineRule="auto"/>
        <w:ind w:left="0" w:firstLine="729"/>
        <w:jc w:val="both"/>
        <w:rPr>
          <w:rFonts w:ascii="Times New Roman" w:hAnsi="Times New Roman"/>
          <w:b/>
          <w:caps w:val="0"/>
          <w:color w:val="1A1A1A"/>
          <w:sz w:val="24"/>
          <w:szCs w:val="24"/>
          <w:shd w:val="clear" w:color="auto" w:fill="FFFFFF"/>
        </w:rPr>
      </w:pPr>
      <w:r>
        <w:rPr>
          <w:rFonts w:ascii="Times New Roman" w:hAnsi="Times New Roman"/>
          <w:b/>
          <w:caps w:val="0"/>
          <w:color w:val="1A1A1A"/>
          <w:sz w:val="24"/>
          <w:shd w:val="clear" w:color="auto" w:fill="FFFFFF"/>
        </w:rPr>
        <w:t>ДИВЕРСИФИКАЦИЯ ЭКОНОМИКИ РЕСПУБЛИКИ БАШКОРТОСТАН: ЭКОНОМЕТРИЧЕСКИЕ ПОДХОДЫ К ВЫЯВЛЕНИЮ ДРАЙВЕРОВ РОСТА</w:t>
      </w:r>
    </w:p>
    <w:p w14:paraId="2C5362CE">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 </w:t>
      </w:r>
    </w:p>
    <w:p w14:paraId="4F60D600">
      <w:pPr>
        <w:spacing w:beforeAutospacing="0" w:after="14" w:afterAutospacing="0" w:line="240" w:lineRule="auto"/>
        <w:ind w:left="0" w:firstLine="729"/>
        <w:jc w:val="both"/>
        <w:rPr>
          <w:rFonts w:ascii="Times New Roman" w:hAnsi="Times New Roman"/>
          <w:color w:val="1A1A1A"/>
          <w:sz w:val="24"/>
          <w:szCs w:val="24"/>
          <w:shd w:val="clear" w:color="auto" w:fill="FFFFFF"/>
        </w:rPr>
      </w:pPr>
      <w:r>
        <w:rPr>
          <w:rFonts w:ascii="Times New Roman" w:hAnsi="Times New Roman"/>
          <w:b/>
          <w:sz w:val="24"/>
          <w:szCs w:val="24"/>
        </w:rPr>
        <w:t xml:space="preserve">Аннотация. </w:t>
      </w:r>
      <w:r>
        <w:rPr>
          <w:rFonts w:ascii="Times New Roman" w:hAnsi="Times New Roman"/>
          <w:color w:val="1A1A1A"/>
          <w:sz w:val="24"/>
          <w:szCs w:val="24"/>
          <w:shd w:val="clear" w:color="auto" w:fill="FFFFFF"/>
        </w:rPr>
        <w:t xml:space="preserve">Статья посвящена исследованию возможностей анализа особенности развития экономики Республики Башкортостан посредством </w:t>
      </w:r>
      <w:r>
        <w:rPr>
          <w:rFonts w:ascii="Times New Roman" w:hAnsi="Times New Roman"/>
          <w:smallCaps w:val="0"/>
          <w:snapToGrid/>
          <w:color w:val="1A1A1A"/>
          <w:spacing w:val="0"/>
          <w:w w:val="100"/>
          <w:position w:val="0"/>
          <w:sz w:val="24"/>
          <w:szCs w:val="24"/>
          <w:shd w:val="clear" w:color="auto" w:fill="FFFFFF"/>
          <w:cs w:val="0"/>
        </w:rPr>
        <w:t>нескольких методов эконометрического анализа включая метод наименьших квадратов</w:t>
      </w:r>
      <w:r>
        <w:rPr>
          <w:rFonts w:ascii="Times New Roman" w:hAnsi="Times New Roman"/>
          <w:color w:val="1A1A1A"/>
          <w:sz w:val="24"/>
          <w:szCs w:val="24"/>
          <w:shd w:val="clear" w:color="auto" w:fill="FFFFFF"/>
        </w:rPr>
        <w:t xml:space="preserve">. Проанализированы различные возможности применения </w:t>
      </w:r>
      <w:r>
        <w:rPr>
          <w:rFonts w:ascii="Times New Roman" w:hAnsi="Times New Roman"/>
          <w:smallCaps w:val="0"/>
          <w:snapToGrid/>
          <w:color w:val="1A1A1A"/>
          <w:spacing w:val="0"/>
          <w:w w:val="100"/>
          <w:position w:val="0"/>
          <w:sz w:val="24"/>
          <w:szCs w:val="22"/>
          <w:shd w:val="clear" w:color="auto" w:fill="FFFFFF"/>
          <w:cs w:val="0"/>
        </w:rPr>
        <w:t>методов эконометрического анализа</w:t>
      </w:r>
      <w:r>
        <w:rPr>
          <w:rFonts w:ascii="Times New Roman" w:hAnsi="Times New Roman"/>
          <w:color w:val="1A1A1A"/>
          <w:sz w:val="24"/>
          <w:szCs w:val="24"/>
          <w:shd w:val="clear" w:color="auto" w:fill="FFFFFF"/>
        </w:rPr>
        <w:t xml:space="preserve"> в тех или иных отраслях Республики. Разработаны рекомендации относительно того какие методы анализа могут быть применены в различных случаях. </w:t>
      </w:r>
    </w:p>
    <w:p w14:paraId="5F171DF6">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 </w:t>
      </w:r>
    </w:p>
    <w:p w14:paraId="4924026A">
      <w:pPr>
        <w:spacing w:beforeAutospacing="0" w:after="14" w:afterAutospacing="0" w:line="240" w:lineRule="auto"/>
        <w:ind w:left="0" w:firstLine="729"/>
        <w:jc w:val="both"/>
        <w:rPr>
          <w:rFonts w:ascii="Times New Roman" w:hAnsi="Times New Roman"/>
          <w:sz w:val="24"/>
          <w:szCs w:val="24"/>
        </w:rPr>
      </w:pPr>
      <w:r>
        <w:rPr>
          <w:rFonts w:ascii="Times New Roman" w:hAnsi="Times New Roman"/>
          <w:b/>
          <w:sz w:val="24"/>
          <w:szCs w:val="24"/>
        </w:rPr>
        <w:t xml:space="preserve">Ключевые слова: </w:t>
      </w:r>
      <w:r>
        <w:rPr>
          <w:rFonts w:ascii="Times New Roman" w:hAnsi="Times New Roman"/>
          <w:sz w:val="24"/>
          <w:szCs w:val="24"/>
        </w:rPr>
        <w:t>метод наименьших квадратов, малое и среднее предпринимательство, Республика Башкортостан, предпринимательская экосистема, региональная экономика, институциональная среда.</w:t>
      </w:r>
    </w:p>
    <w:p w14:paraId="3A439E68">
      <w:pPr>
        <w:spacing w:beforeAutospacing="0" w:after="14" w:afterAutospacing="0" w:line="240" w:lineRule="auto"/>
        <w:ind w:left="0" w:firstLine="729"/>
        <w:jc w:val="both"/>
        <w:rPr>
          <w:rFonts w:ascii="Times New Roman" w:hAnsi="Times New Roman"/>
          <w:sz w:val="24"/>
          <w:szCs w:val="24"/>
        </w:rPr>
      </w:pPr>
    </w:p>
    <w:p w14:paraId="7E8A886B">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Современная Россия сталкивается с целым рядом серьёзных внешних вызовов, которые ставят под угрозу дальнейшее экономическое развитие страны. Санкции, введённые против России, приводят к замедлению или прекращению поставок комплектующих для оборудования зарубежного производства. Выходом из сложившейся ситуации, является развитие собственного производства продукции с высоким уровнем добавленной стоимости на территории России, осуществление диверсификации российской экономики [2, 8]. </w:t>
      </w:r>
    </w:p>
    <w:p w14:paraId="6C6E3D9D">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Диверсификация экономики зависит от того, насколько эффективно предприятие переходит к внедрению более эффективных технологий и оборудования. Насущной задачей является определение того, какие предприятия успешно внедряют передовые технологии, а какие сталкиваются с проблемами. Это даст возможность определить, какие предприятия развиваются более динамично, а какие необходимо поддерживать, проанализировать, с какими проблемами они сталкиваются. Существуют различные методы определения эффективности функционирования предприятий [4, 9].</w:t>
      </w:r>
    </w:p>
    <w:p w14:paraId="0892A6A4">
      <w:pPr>
        <w:spacing w:beforeAutospacing="0" w:after="14" w:afterAutospacing="0" w:line="240" w:lineRule="auto"/>
        <w:ind w:left="0" w:firstLine="729"/>
        <w:jc w:val="both"/>
        <w:rPr>
          <w:rFonts w:ascii="Times New Roman" w:hAnsi="Times New Roman"/>
          <w:sz w:val="24"/>
          <w:szCs w:val="24"/>
        </w:rPr>
      </w:pPr>
      <w:r>
        <w:rPr>
          <w:rFonts w:ascii="Times New Roman" w:hAnsi="Times New Roman"/>
          <w:color w:val="1A1A1A"/>
          <w:sz w:val="24"/>
          <w:shd w:val="clear" w:color="auto" w:fill="FFFFFF"/>
        </w:rPr>
        <w:t>Так, в работе Галимуллиной Н. А. исследуются процессы того, как</w:t>
      </w:r>
      <w:r>
        <w:rPr>
          <w:rFonts w:ascii="Times New Roman" w:hAnsi="Times New Roman"/>
          <w:sz w:val="24"/>
          <w:szCs w:val="24"/>
        </w:rPr>
        <w:t xml:space="preserve"> система сбалансированных показателей даёт возможность проанализировать различные аспекты стратегии развития предприятия - такие как финансовые ресурсы, отношения с клиентами, организацию бизнес-проектов, обучение персонала и укрупнение масштаба предприятия. Оценка финансового состояния компании даст возможность понять, каким образом предприятие выглядит с точки зрения потенциальных акционеров, какая может быть прибыль. </w:t>
      </w:r>
    </w:p>
    <w:p w14:paraId="2488A31A">
      <w:pPr>
        <w:shd w:val="clear" w:fill="FFFFFF"/>
        <w:spacing w:beforeAutospacing="0" w:after="14" w:afterAutospacing="0" w:line="240" w:lineRule="auto"/>
        <w:ind w:left="0" w:firstLine="729"/>
        <w:rPr>
          <w:rFonts w:ascii="Times New Roman" w:hAnsi="Times New Roman"/>
          <w:sz w:val="24"/>
          <w:szCs w:val="24"/>
        </w:rPr>
      </w:pPr>
      <w:r>
        <w:rPr>
          <w:rFonts w:ascii="Times New Roman" w:hAnsi="Times New Roman"/>
          <w:smallCaps w:val="0"/>
          <w:snapToGrid/>
          <w:spacing w:val="0"/>
          <w:w w:val="100"/>
          <w:position w:val="0"/>
          <w:sz w:val="24"/>
          <w:szCs w:val="22"/>
          <w:cs w:val="0"/>
        </w:rPr>
        <w:t xml:space="preserve">В исследованиях Зулькарная И.У., Маричева С.Г., </w:t>
      </w:r>
      <w:r>
        <w:rPr>
          <w:rFonts w:ascii="Times New Roman" w:hAnsi="Times New Roman"/>
          <w:smallCaps w:val="0"/>
          <w:snapToGrid/>
          <w:spacing w:val="0"/>
          <w:w w:val="100"/>
          <w:position w:val="0"/>
          <w:sz w:val="24"/>
          <w:szCs w:val="22"/>
          <w:shd w:val="clear" w:color="auto" w:fill="FFFFFF"/>
          <w:cs w:val="0"/>
        </w:rPr>
        <w:t xml:space="preserve">Ислакаевой Г. Р., Колонских Л. Р.  </w:t>
      </w:r>
      <w:r>
        <w:rPr>
          <w:rFonts w:ascii="Times New Roman" w:hAnsi="Times New Roman"/>
          <w:smallCaps w:val="0"/>
          <w:snapToGrid/>
          <w:spacing w:val="0"/>
          <w:w w:val="100"/>
          <w:position w:val="0"/>
          <w:sz w:val="24"/>
          <w:szCs w:val="22"/>
          <w:cs w:val="0"/>
        </w:rPr>
        <w:t xml:space="preserve">применяется эконометрический анализ, основанный на выявлении закономерностей протекционистской политики и обосновании необходимости селективной (выборочной) промышленной политики для регионов России, а также </w:t>
      </w:r>
      <w:r>
        <w:rPr>
          <w:rFonts w:ascii="Times New Roman" w:hAnsi="Times New Roman"/>
          <w:sz w:val="24"/>
          <w:shd w:val="clear" w:color="auto" w:fill="FFFFFF"/>
        </w:rPr>
        <w:t>агент-ориентированное моделирования, разрабатываются экономические модели управления регионами, ориентированными на нефтехимию, для адаптации к технологическим, экологическим и экономическим вызовам</w:t>
      </w:r>
      <w:r>
        <w:rPr>
          <w:rFonts w:ascii="Times New Roman" w:hAnsi="Times New Roman"/>
          <w:smallCaps w:val="0"/>
          <w:snapToGrid/>
          <w:spacing w:val="0"/>
          <w:w w:val="100"/>
          <w:position w:val="0"/>
          <w:sz w:val="24"/>
          <w:szCs w:val="22"/>
          <w:cs w:val="0"/>
        </w:rPr>
        <w:t xml:space="preserve"> [9, 23].</w:t>
      </w:r>
    </w:p>
    <w:p w14:paraId="1850E105">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Насколько быстро будет происходить рост выручки, и будет ли он происходить, также данная система даст возможность установить, насколько клиенты лояльны, довольны теми товарами, работами и услугами, которые предоставляет компания. Ещё одно преимущество этой системы - она даёт возможность отследить, каким образом происходят внутренние процессы, насколько они эффективны, каким образом можно их улучшить [7, 11, 13, 17].</w:t>
      </w:r>
    </w:p>
    <w:p w14:paraId="1838B13D">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Кроме того, это даёт возможность понять, какую роль предприятие может играть на рынке, и что может быть улучшено - повышено качество производства продукции, увеличено время жизненного цикла продукции, внедрены более инновационные технологии. Очередным преимуществом этой системы будет возможность изучить, как происходят процессы обучения к персонала и рост компании, таким образом, появляется возможность оценить темпы развития корпоративной культуры и установить, насколько предприятие эффективно в плане производства продукции, работ и услуг. </w:t>
      </w:r>
    </w:p>
    <w:p w14:paraId="2F2EF854">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В российском бизнесе также применяется другой метод анализа эффективности функционирования предприятия - это анализ ключевых показателей эффективности KPI. Данный метод позволяет отследить следующие характеристики (количественные) - трафик, то есть, насколько интенсивно просматривают объявления об этой компании в интернете, и иные характеристики, связанные с передачей данных, а также средний чек - сколько в среднем платят за тот или иной товар или услугу [10, 16]. </w:t>
      </w:r>
    </w:p>
    <w:p w14:paraId="18990F82">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Количество продаж - насколько массовой является реализация той или иной продукции или услуг. Конверсия - насколько эффективно предприятие переходит на производство других видов продукции, работ или услуг. Большую роль в этом методе также играет анализ денежных характеристик - объём продаж, маржинальный доход - это даёт возможность установить, насколько значительную рыночную нишу занимает данное предприятие, сколько оно приносит дохода. </w:t>
      </w:r>
    </w:p>
    <w:p w14:paraId="27C1407E">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Метод наименьших квадратов играет большую роль при реализации вышеописанных способов исследования, так как он даёт возможность построить модель, которая будет отражать реальные характеристики предприятия. МНК является широко распространённым статистическим методом в экономике используется для подбора коэффициентов линейной регрессии, он даёт возможность минимизировать сумму квадратов (разности ошибок между исследуемыми реальными данными и прогнозными значениями создаваемой модели). Он даёт возможность выявлять оптимальные взаимодействия между переменными, например, зависимость спроса от цены. Ключевые аспекты и преимущества метода наименьших квадратов в экономике таковы: 1) метод даёт возможность оценить параметры модели, 2) установить такие коэффициенты, при которых линии регрессии проходят максимально близко ко всем точкам данных то есть установить такие коэффициенты при которых модель будет максимально реалистичной [1, 3, 6, 12, 14, 18, 19, 20]. </w:t>
      </w:r>
    </w:p>
    <w:p w14:paraId="48B2EEB4">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Метод даёт возможность построить линейную регрессию - это широко распространённый метод, где достигается минимальное значение сумма квадратов отклонений (то есть ошибок) фактических значений от модельных. Кроме того, данный метод даёт возможность установить, насколько велика ошибка при анализе реальных данных. </w:t>
      </w:r>
    </w:p>
    <w:p w14:paraId="6B0F1FF1">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Таким образом, есть возможность установить, насколько эффективны методы сбора данных, какую необходимо заложить погрешность, каким образом эти методы сбора данных можно улучшить, и есть ли такая возможность. МНК даёт возможность проводить анализ зависимости  выпуска продукции от различных факторов, например, в данном случае, как в Республике Башкортостан - это производство малотоннажной нефтехимии и зависимость от инвестиций - и это даёт возможность проверить, насколько реалистичны применяемые экономические гипотезы [21]. </w:t>
      </w:r>
    </w:p>
    <w:p w14:paraId="0C39772C">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Для применения метода наименьших квадратов при прогнозировании развития производства малотоннажной нефтехимии в Республике Башкортостан, необходимо провести сбор данных об объектах промышленности, которые участвуют в производстве малотоннажной нефтехимии, об их различных характеристиках. Большую роль может играть такой показатель, как процент загруженности производственных мощностей - его следует собрать за несколько лет, он даст возможность получить более объективную картину видения того, как развивается производство малотоннажной нефтехимии в Республике Башкортостан, это даст возможность создать условия для формирования реалистичной модели. </w:t>
      </w:r>
    </w:p>
    <w:p w14:paraId="7F484649">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Одна из моделей который может быть выбрана для расчёта - это линейная модель - она может хорошо себя показать в том случае, если производство развивается предсказуемо - например, по мере того, как вводятся новые производственные мощности. Но если производственные мощности будут развиваться неравномерно, такая модель не будет подходить - так как она будет чрезмерно прямолинейной, и не будет отражать неожиданных пиков повышения и понижения характеристик [5, 23]. </w:t>
      </w:r>
    </w:p>
    <w:p w14:paraId="4E831362">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Линейная модель может быть уязвима к такому явлению, как выбросы данных - то есть, резкое повышение или понижение определённых характеристик на некоторых коротких участках графика. Выбросы данных возможны в определённых отраслях промышленности - при условии, если была введена кардинально новая технология, или, наоборот произошли некие негативные события - например, резкое исчерпание крупного месторождения нефти [24]. </w:t>
      </w:r>
    </w:p>
    <w:p w14:paraId="634D661C">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Одним из методов, который позволяет бороться с выбросами данных, является визуализация данных - метод, дающий возможность построить график, который помогает визуально определить, в каком месте он значительно отходит от основной линии. Это даст возможность установить, в каких местах данные значительно завышены или занижены. Это помогает лучше определить удобные для вычисления данные и отбросить участки с аномальным завышением или занижением.</w:t>
      </w:r>
    </w:p>
    <w:p w14:paraId="15139070">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Таким образом, можно сделать вывод, что для анализа текущей экономической ситуации в Республике Башкортостан можно применить несколько методов моделирования, в зависимости от ситуации в конкретной отрасли. При условии, если отрасль развивается относительно предсказуемо, может быть применён линейный метод.</w:t>
      </w:r>
    </w:p>
    <w:p w14:paraId="4D09B1C6">
      <w:pPr>
        <w:spacing w:beforeAutospacing="0" w:after="14" w:afterAutospacing="0" w:line="240" w:lineRule="auto"/>
        <w:ind w:left="0" w:firstLine="0"/>
        <w:jc w:val="both"/>
        <w:rPr>
          <w:rFonts w:ascii="Times New Roman" w:hAnsi="Times New Roman"/>
          <w:sz w:val="24"/>
          <w:szCs w:val="24"/>
        </w:rPr>
      </w:pPr>
      <w:r>
        <w:rPr>
          <w:rFonts w:ascii="Times New Roman" w:hAnsi="Times New Roman"/>
          <w:sz w:val="24"/>
          <w:szCs w:val="24"/>
        </w:rPr>
        <w:t xml:space="preserve">Основные преимущества. Простота реализации: Метод легко реализуем в Excel или языках программирования (Python, R) для анализа временных рядов нефтехимии. Объективность результатов: метод полностью исключает личную предвзятость аналитика; при одинаковых данных результат всегда одинаков. Поиск линии тренда: Эффективно находит наиболее близкую к фактическим данным лиию (линейную, степенную), описывающую рост производства. Универсальность - применим для моделирования разных показателей: от выпуска этилена до экспорта удобрений. Скорость вычислений: Оценка коэффициентов регрессии происходит мгновенно, что важно для оперативных расчетов. Статистическая обоснованность: позволяет строить доверительные интервалы для прогноза, определяя надежность расчетов. Прогнозирование - эффективен для краткосрочного планирования производства на основе данных прошлых лет. </w:t>
      </w:r>
    </w:p>
    <w:p w14:paraId="15118C9E">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 </w:t>
      </w:r>
    </w:p>
    <w:p w14:paraId="1BFDD626">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Исследование выполнено в рамках Госзадания УФИЦ РАН № 075-00576-26-00 на 2026 год и на плановый период 2027 и 2028 годов</w:t>
      </w:r>
    </w:p>
    <w:p w14:paraId="6E81A021">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 </w:t>
      </w:r>
    </w:p>
    <w:p w14:paraId="64CADC5B">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Список литературы</w:t>
      </w:r>
    </w:p>
    <w:p w14:paraId="0C79C466">
      <w:pPr>
        <w:spacing w:beforeAutospacing="0" w:after="14" w:afterAutospacing="0" w:line="240" w:lineRule="auto"/>
        <w:ind w:left="0" w:firstLine="729"/>
        <w:jc w:val="both"/>
        <w:rPr>
          <w:rFonts w:ascii="Times New Roman" w:hAnsi="Times New Roman"/>
          <w:sz w:val="24"/>
          <w:szCs w:val="24"/>
        </w:rPr>
      </w:pPr>
      <w:r>
        <w:rPr>
          <w:rFonts w:ascii="Times New Roman" w:hAnsi="Times New Roman"/>
          <w:sz w:val="24"/>
          <w:szCs w:val="24"/>
        </w:rPr>
        <w:t xml:space="preserve"> </w:t>
      </w:r>
    </w:p>
    <w:p w14:paraId="56E92B80">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1. Актуальные проблемы нефтегазохимических регионов в условиях трансформации мировой экономики / И. У. Зулькарнай, Г. Р. Ислакаева, С. Г. Маричев [и др.]. – Уфа : УФИЦ РАН, 2025. – 196 с.</w:t>
      </w:r>
    </w:p>
    <w:p w14:paraId="364374E2">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2. Верховская О.Р., Александрова Е.А. Индекс мотивации предпринимательской активности и институциональная среда // Вестник Санкт-Петербургского университета. Экономика. — 2018. — Т. 34, № 4. — С. 511–533.</w:t>
      </w:r>
    </w:p>
    <w:p w14:paraId="1EC50269">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3. Галимуллина Н.А. Цифровая инфраструктура поддержки малого бизнеса в Республике Башкортостан // Экономика, предпринимательство и право. — 2022. — Т. 12, № 12. — С. 3261–3274.</w:t>
      </w:r>
    </w:p>
    <w:p w14:paraId="6C6DEC60">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4. Государственная программа «Развитие и поддержка малого и среднего предпринимательства в Республике Башкортостан»: утв. Постановлением Правительства РБ от 14.11.2018 № 548 // СПС «Консультант Плюс».</w:t>
      </w:r>
    </w:p>
    <w:p w14:paraId="49493575">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5. Елина О.А., Дедусенко Е.А. Предпринимательская культура как фактор развития бизнес-систем // Вестник Удмуртского университета. Серия Экономика и право. — 2024. — Т. 34, № 5. — С. 818–825.</w:t>
      </w:r>
    </w:p>
    <w:p w14:paraId="77BB2085">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6. Земцов С.П., Чепуренко А.Ю., Баринова В.А., Красносельских А.Н. Новая предпринимательская политика для России после кризиса 2020 года // Вопросы экономики. — 2020. — № 10. — С. 44–67.</w:t>
      </w:r>
    </w:p>
    <w:p w14:paraId="71404EF5">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7. Зулькарнай И.У. Государство и ограниченная рациональность населения: формализованные модели: монография. - М.: Наука, 2014 – 230 с.</w:t>
      </w:r>
    </w:p>
    <w:p w14:paraId="17CB76E5">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8. Зулькарнай И.У. Этапы трансфера научных результатов в экономику страны и взаимосвязь институциональных, экономических и организационных условий, определяющих его эффективность // Экономика и управление: научно-практический журнал. 2021 № 2 (158). С. 20-24.</w:t>
      </w:r>
    </w:p>
    <w:p w14:paraId="0332A23A">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9. Зулькарнай И.У., Маричев С.Г. Селективная промышленная политика в Российской Федерации: критерии выбора регионов для реализации / Экономическая наука современной России. 2026. Т. 29. № 1. С. 89-106.</w:t>
      </w:r>
    </w:p>
    <w:p w14:paraId="0ECD4F4D">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10. Инвестиционный паспорт Республики Башкортостан / Министерство экономического развития и инвестиционной политики РБ. URL: https://economy.bashkortostan.ru (дата обращения: 15.03.2026).</w:t>
      </w:r>
    </w:p>
    <w:p w14:paraId="2427FEC0">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11. Институты эффективного трансфера инноваций в экономику / под ред. д.э.н. И.У. Зулькарная - Уфа: Принт+, 2021</w:t>
      </w:r>
    </w:p>
    <w:p w14:paraId="6DDDB7DD">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12. Как развивается малое и среднее предпринимательство в Республике Башкортостан / Центр стратегических разработок РБ. URL: https://csr-rb.ru (дата обращения: 18.03.2026).</w:t>
      </w:r>
    </w:p>
    <w:p w14:paraId="5D73B811">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13. Лапчик М.П. Численные методы [Текст] / М.И. Рагулина, Е.К. Хен-нер. - М.: Издательский центр «Академия», 2007. - 384 с.</w:t>
      </w:r>
    </w:p>
    <w:p w14:paraId="036747F6">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14. Лапшина Д. А. Экономика и социальная сфера в республике Башкортостан в условиях антироссийских санкций: тенденции, проблемы и перспективы / Д. А. Лапшина, А. Ф. Самигуллина // Международный журнал гуманитарных и естественных наук. – 2023. – № 9-2(84). – С. 216-220. – DOI 10.24412/2500-1000-2023-9-2-216-220.</w:t>
      </w:r>
    </w:p>
    <w:p w14:paraId="32B75A77">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15. Маричев С. Институты привлечения капитала как стимул создания инноваций // Экономика и управление: научно-практический журнал. 2021 № 4 (160). С. 51-58.</w:t>
      </w:r>
    </w:p>
    <w:p w14:paraId="42C47F2A">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16. Нефтехимическая зависимость Республики Башкортостан: Pro et contra диверсификации экономики / под ред. Р.Р.Ахунова, И.У. Зулькарная – Уфа: Принт+, 2021.</w:t>
      </w:r>
    </w:p>
    <w:p w14:paraId="50523E97">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17. Основные направления социально-экономического развития России: обоснование и оценка последствий (по итогам модельных исследований ЦЭМИ РАН) / В. Л. Макаров, А. Р. Бахтизин, М. Ю. Афанасьев [и др.]. – Москва : Центральный экономико-математический институт РАН, 2023. – 116 с.</w:t>
      </w:r>
    </w:p>
    <w:p w14:paraId="5D63B56D">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18. Печаткин В.В., Вильданова Л.М. Оценка уровня цифровизации предприятий промышленного сектора экономики Республики Башкортостан // Информатизация в цифровой экономике. — 2023. — Т. 4, № 4. — С. 367–380.</w:t>
      </w:r>
    </w:p>
    <w:p w14:paraId="0893017F">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19. Развитие малого и среднего предпринимательства в Республике Башкортостан: официальные данные / НТА-Приволжье. URL: https://nta-pfo.ru/news/economy/2026/news_735030/ (дата обращения: 20.03.2026).</w:t>
      </w:r>
    </w:p>
    <w:p w14:paraId="1AF0505E">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20. Раменская Л.А. Применение концепции экосистем в экономико-управленческих исследованиях // Управленец. — 2020. — Т. 11, № 4. — С. 16–28.</w:t>
      </w:r>
    </w:p>
    <w:p w14:paraId="4528EAC6">
      <w:pPr>
        <w:shd w:val="clear" w:fill="FFFFFF"/>
        <w:spacing w:beforeAutospacing="0" w:after="14" w:afterAutospacing="0" w:line="240" w:lineRule="auto"/>
        <w:ind w:left="0" w:firstLine="729"/>
        <w:rPr>
          <w:rFonts w:ascii="Times New Roman" w:hAnsi="Times New Roman"/>
          <w:sz w:val="24"/>
          <w:szCs w:val="24"/>
          <w:shd w:val="clear" w:color="auto" w:fill="FFFFFF"/>
        </w:rPr>
      </w:pPr>
      <w:r>
        <w:rPr>
          <w:rFonts w:ascii="Times New Roman" w:hAnsi="Times New Roman"/>
          <w:sz w:val="24"/>
          <w:szCs w:val="24"/>
          <w:shd w:val="clear" w:color="auto" w:fill="FFFFFF"/>
        </w:rPr>
        <w:t>21. Солодилова Н.З., Маликов Р.И., Гришин К.Е. Конфигурационный подход к исследованию региональной экосистемы предпринимательства // Экономическая политика. — 2018. — Т. 13, № 5. — С. 134–155.</w:t>
      </w:r>
    </w:p>
    <w:p w14:paraId="3B7BEF92">
      <w:pPr>
        <w:shd w:val="clear" w:fill="FFFFFF"/>
        <w:spacing w:beforeAutospacing="0" w:after="14" w:afterAutospacing="0" w:line="240" w:lineRule="auto"/>
        <w:ind w:left="0" w:firstLine="729"/>
        <w:rPr>
          <w:rFonts w:ascii="Times New Roman" w:hAnsi="Times New Roman"/>
          <w:smallCaps w:val="0"/>
          <w:snapToGrid/>
          <w:spacing w:val="0"/>
          <w:w w:val="100"/>
          <w:position w:val="0"/>
          <w:sz w:val="24"/>
          <w:szCs w:val="22"/>
          <w:shd w:val="clear" w:color="auto" w:fill="FFFFFF"/>
          <w:cs w:val="0"/>
        </w:rPr>
      </w:pPr>
      <w:r>
        <w:rPr>
          <w:rFonts w:ascii="Times New Roman" w:hAnsi="Times New Roman"/>
          <w:sz w:val="24"/>
          <w:szCs w:val="24"/>
          <w:shd w:val="clear" w:color="auto" w:fill="FFFFFF"/>
        </w:rPr>
        <w:t xml:space="preserve">22. Стратегия социально-экономического развития Республики </w:t>
      </w:r>
      <w:r>
        <w:rPr>
          <w:rFonts w:ascii="Times New Roman" w:hAnsi="Times New Roman"/>
          <w:smallCaps w:val="0"/>
          <w:snapToGrid/>
          <w:spacing w:val="0"/>
          <w:w w:val="100"/>
          <w:position w:val="0"/>
          <w:sz w:val="24"/>
          <w:szCs w:val="22"/>
          <w:shd w:val="clear" w:color="auto" w:fill="FFFFFF"/>
          <w:cs w:val="0"/>
        </w:rPr>
        <w:t xml:space="preserve"> </w:t>
      </w:r>
    </w:p>
    <w:p w14:paraId="52C9CB73">
      <w:pPr>
        <w:pStyle w:val="1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firstLine="0"/>
        <w:jc w:val="left"/>
      </w:pPr>
      <w:r>
        <w:rPr>
          <w:rFonts w:ascii="Times New Roman" w:hAnsi="Times New Roman"/>
          <w:sz w:val="24"/>
          <w:szCs w:val="24"/>
          <w:shd w:val="clear" w:color="auto" w:fill="FFFFFF"/>
        </w:rPr>
        <w:t>Б</w:t>
      </w:r>
      <w:r>
        <w:rPr>
          <w:rFonts w:hint="default" w:ascii="Times New Roman" w:hAnsi="Times New Roman" w:cs="Times New Roman"/>
          <w:b w:val="0"/>
          <w:bCs w:val="0"/>
          <w:i w:val="0"/>
          <w:iCs w:val="0"/>
          <w:caps w:val="0"/>
          <w:color w:val="000000"/>
          <w:spacing w:val="0"/>
          <w:sz w:val="24"/>
          <w:szCs w:val="24"/>
          <w:shd w:val="clear" w:fill="FFFFFF"/>
        </w:rPr>
        <w:t>ашкортостан на период до 2030 года: утв. Постановлением Правительства РБ от 20.12.2018 № 624 // СПС «Консультант Плюс».</w:t>
      </w:r>
    </w:p>
    <w:p w14:paraId="3A8655BB">
      <w:pPr>
        <w:pStyle w:val="1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firstLine="0"/>
        <w:jc w:val="left"/>
      </w:pPr>
      <w:r>
        <w:rPr>
          <w:rFonts w:hint="default" w:ascii="Times New Roman" w:hAnsi="Times New Roman" w:cs="Times New Roman"/>
          <w:b w:val="0"/>
          <w:bCs w:val="0"/>
          <w:i w:val="0"/>
          <w:iCs w:val="0"/>
          <w:caps w:val="0"/>
          <w:color w:val="000000"/>
          <w:spacing w:val="0"/>
          <w:sz w:val="24"/>
          <w:szCs w:val="24"/>
          <w:shd w:val="clear" w:fill="FFFFFF"/>
        </w:rPr>
        <w:t>23. Управление экономикой нефтехимического региона в условиях глобальных вызовов / И. У. Зулькарнай, Г. Р. Ислакаева, Л. Р. Колонских [и др.]. – Уфа : УФИЦ, 2024. – 320 с.</w:t>
      </w:r>
    </w:p>
    <w:p w14:paraId="5B1BDF48">
      <w:pPr>
        <w:pStyle w:val="1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firstLine="0"/>
        <w:jc w:val="left"/>
        <w:rPr>
          <w:rFonts w:hint="default" w:ascii="Times New Roman" w:hAnsi="Times New Roman" w:cs="Times New Roman"/>
          <w:b w:val="0"/>
          <w:bCs w:val="0"/>
          <w:i w:val="0"/>
          <w:iCs w:val="0"/>
          <w:caps w:val="0"/>
          <w:color w:val="000000"/>
          <w:spacing w:val="0"/>
          <w:sz w:val="24"/>
          <w:szCs w:val="24"/>
          <w:shd w:val="clear" w:fill="FFFFFF"/>
        </w:rPr>
      </w:pPr>
      <w:r>
        <w:rPr>
          <w:rFonts w:hint="default" w:ascii="Times New Roman" w:hAnsi="Times New Roman" w:cs="Times New Roman"/>
          <w:b w:val="0"/>
          <w:bCs w:val="0"/>
          <w:i w:val="0"/>
          <w:iCs w:val="0"/>
          <w:caps w:val="0"/>
          <w:color w:val="000000"/>
          <w:spacing w:val="0"/>
          <w:sz w:val="24"/>
          <w:szCs w:val="24"/>
          <w:shd w:val="clear" w:fill="FFFFFF"/>
        </w:rPr>
        <w:t>24. Шевченко О.П., Шевченко А.И. Философский аспект предпринимательской культуры в условиях цифровой трансформации российского общества // Экономика и предпринимательство. — 2023. — № 5 (154). — С. 758–761.</w:t>
      </w:r>
    </w:p>
    <w:p w14:paraId="5A04F5D5">
      <w:pPr>
        <w:pStyle w:val="1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firstLine="0"/>
        <w:jc w:val="left"/>
        <w:rPr>
          <w:rFonts w:ascii="Times New Roman" w:hAnsi="Times New Roman"/>
          <w:b/>
          <w:bCs w:val="0"/>
          <w:smallCaps w:val="0"/>
          <w:snapToGrid/>
          <w:spacing w:val="0"/>
          <w:w w:val="100"/>
          <w:position w:val="0"/>
          <w:sz w:val="24"/>
          <w:szCs w:val="22"/>
          <w:cs w:val="0"/>
        </w:rPr>
      </w:pPr>
    </w:p>
    <w:p w14:paraId="0A5CE602">
      <w:pPr>
        <w:pStyle w:val="1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firstLine="723" w:firstLineChars="300"/>
        <w:jc w:val="left"/>
        <w:rPr>
          <w:rFonts w:ascii="Times New Roman" w:hAnsi="Times New Roman"/>
          <w:b/>
          <w:bCs w:val="0"/>
          <w:smallCaps w:val="0"/>
          <w:snapToGrid/>
          <w:spacing w:val="0"/>
          <w:w w:val="100"/>
          <w:position w:val="0"/>
          <w:sz w:val="24"/>
          <w:szCs w:val="22"/>
          <w:cs w:val="0"/>
        </w:rPr>
      </w:pPr>
      <w:r>
        <w:rPr>
          <w:rFonts w:ascii="Times New Roman" w:hAnsi="Times New Roman"/>
          <w:b/>
          <w:bCs w:val="0"/>
          <w:smallCaps w:val="0"/>
          <w:snapToGrid/>
          <w:spacing w:val="0"/>
          <w:w w:val="100"/>
          <w:position w:val="0"/>
          <w:sz w:val="24"/>
          <w:szCs w:val="22"/>
          <w:cs w:val="0"/>
        </w:rPr>
        <w:t>Михайлов В.С.</w:t>
      </w:r>
    </w:p>
    <w:p w14:paraId="0BAC685A">
      <w:pPr>
        <w:spacing w:beforeAutospacing="0" w:after="14" w:afterAutospacing="0" w:line="240" w:lineRule="auto"/>
        <w:ind w:left="0" w:firstLine="729"/>
        <w:jc w:val="both"/>
        <w:rPr>
          <w:rFonts w:ascii="Times New Roman" w:hAnsi="Times New Roman"/>
          <w:smallCaps w:val="0"/>
          <w:snapToGrid/>
          <w:spacing w:val="0"/>
          <w:w w:val="100"/>
          <w:position w:val="0"/>
          <w:sz w:val="24"/>
          <w:szCs w:val="22"/>
          <w:cs w:val="0"/>
        </w:rPr>
      </w:pPr>
      <w:r>
        <w:rPr>
          <w:rFonts w:ascii="Times New Roman" w:hAnsi="Times New Roman"/>
          <w:smallCaps w:val="0"/>
          <w:snapToGrid/>
          <w:spacing w:val="0"/>
          <w:w w:val="100"/>
          <w:position w:val="0"/>
          <w:sz w:val="24"/>
          <w:szCs w:val="22"/>
          <w:cs w:val="0"/>
        </w:rPr>
        <w:t>Институт социально-экономических исследований Уфимского федерального исследовательского центра (ИСЭИ УФИЦ) РАН, Уфа, Россия</w:t>
      </w:r>
    </w:p>
    <w:p w14:paraId="133A0E03">
      <w:pPr>
        <w:spacing w:beforeAutospacing="0" w:after="14" w:afterAutospacing="0" w:line="240" w:lineRule="auto"/>
        <w:ind w:left="0" w:firstLine="729"/>
        <w:jc w:val="both"/>
        <w:rPr>
          <w:rFonts w:ascii="Times New Roman" w:hAnsi="Times New Roman"/>
          <w:smallCaps w:val="0"/>
          <w:snapToGrid/>
          <w:spacing w:val="0"/>
          <w:w w:val="100"/>
          <w:position w:val="0"/>
          <w:sz w:val="24"/>
          <w:szCs w:val="22"/>
          <w:cs w:val="0"/>
        </w:rPr>
      </w:pPr>
      <w:r>
        <w:fldChar w:fldCharType="begin"/>
      </w:r>
      <w:r>
        <w:instrText xml:space="preserve"> HYPERLINK "mailto:mikhailov.vyacheslav555@yandex.ru" \h </w:instrText>
      </w:r>
      <w:r>
        <w:fldChar w:fldCharType="separate"/>
      </w:r>
      <w:r>
        <w:rPr>
          <w:rStyle w:val="13"/>
          <w:rFonts w:ascii="Times New Roman" w:hAnsi="Times New Roman"/>
          <w:b w:val="0"/>
          <w:bCs w:val="0"/>
          <w:i w:val="0"/>
          <w:iCs w:val="0"/>
          <w:caps w:val="0"/>
          <w:smallCaps w:val="0"/>
          <w:strike w:val="0"/>
          <w:snapToGrid/>
          <w:vanish w:val="0"/>
          <w:spacing w:val="0"/>
          <w:w w:val="100"/>
          <w:position w:val="0"/>
          <w:sz w:val="24"/>
          <w:szCs w:val="24"/>
          <w:shd w:val="clear" w:color="auto" w:fill="auto"/>
          <w:vertAlign w:val="baseline"/>
          <w:rtl w:val="0"/>
          <w:cs w:val="0"/>
        </w:rPr>
        <w:t>mikhailov.vyacheslav555@yandex.ru</w:t>
      </w:r>
      <w:r>
        <w:rPr>
          <w:rStyle w:val="13"/>
          <w:rFonts w:ascii="Times New Roman" w:hAnsi="Times New Roman"/>
          <w:b w:val="0"/>
          <w:bCs w:val="0"/>
          <w:i w:val="0"/>
          <w:iCs w:val="0"/>
          <w:caps w:val="0"/>
          <w:smallCaps w:val="0"/>
          <w:strike w:val="0"/>
          <w:snapToGrid/>
          <w:vanish w:val="0"/>
          <w:spacing w:val="0"/>
          <w:w w:val="100"/>
          <w:position w:val="0"/>
          <w:sz w:val="24"/>
          <w:szCs w:val="24"/>
          <w:shd w:val="clear" w:color="auto" w:fill="auto"/>
          <w:vertAlign w:val="baseline"/>
          <w:rtl w:val="0"/>
          <w:cs w:val="0"/>
        </w:rPr>
        <w:fldChar w:fldCharType="end"/>
      </w:r>
    </w:p>
    <w:p w14:paraId="5966CD63">
      <w:pPr>
        <w:spacing w:beforeAutospacing="0" w:after="14" w:afterAutospacing="0" w:line="240" w:lineRule="auto"/>
        <w:ind w:left="0" w:firstLine="729"/>
        <w:jc w:val="both"/>
        <w:rPr>
          <w:rFonts w:ascii="Times New Roman" w:hAnsi="Times New Roman"/>
          <w:smallCaps w:val="0"/>
          <w:snapToGrid/>
          <w:spacing w:val="0"/>
          <w:w w:val="100"/>
          <w:position w:val="0"/>
          <w:sz w:val="24"/>
          <w:szCs w:val="22"/>
          <w:cs w:val="0"/>
        </w:rPr>
      </w:pPr>
    </w:p>
    <w:p w14:paraId="3D2C3B65">
      <w:pPr>
        <w:spacing w:beforeAutospacing="0" w:after="14" w:afterAutospacing="0" w:line="240" w:lineRule="auto"/>
        <w:ind w:left="0" w:firstLine="729"/>
        <w:jc w:val="both"/>
        <w:rPr>
          <w:rFonts w:ascii="Times New Roman" w:hAnsi="Times New Roman"/>
          <w:smallCaps w:val="0"/>
          <w:snapToGrid/>
          <w:spacing w:val="0"/>
          <w:w w:val="100"/>
          <w:position w:val="0"/>
          <w:sz w:val="24"/>
          <w:szCs w:val="22"/>
          <w:cs w:val="0"/>
        </w:rPr>
      </w:pPr>
      <w:r>
        <w:rPr>
          <w:rFonts w:ascii="Times New Roman" w:hAnsi="Times New Roman"/>
          <w:smallCaps w:val="0"/>
          <w:snapToGrid/>
          <w:spacing w:val="0"/>
          <w:w w:val="100"/>
          <w:position w:val="0"/>
          <w:sz w:val="24"/>
          <w:szCs w:val="22"/>
          <w:cs w:val="0"/>
        </w:rPr>
        <w:t xml:space="preserve"> </w:t>
      </w:r>
    </w:p>
    <w:p w14:paraId="69A6FDE2">
      <w:pPr>
        <w:shd w:val="clear" w:fill="FFFFFF"/>
        <w:spacing w:beforeAutospacing="0" w:after="14" w:afterAutospacing="0" w:line="240" w:lineRule="auto"/>
        <w:ind w:left="0" w:firstLine="729"/>
        <w:rPr>
          <w:rFonts w:ascii="Times New Roman" w:hAnsi="Times New Roman"/>
          <w:b/>
          <w:smallCaps w:val="0"/>
          <w:snapToGrid/>
          <w:spacing w:val="0"/>
          <w:w w:val="100"/>
          <w:position w:val="0"/>
          <w:sz w:val="24"/>
          <w:szCs w:val="22"/>
          <w:shd w:val="clear" w:color="auto" w:fill="FFFFFF"/>
          <w:cs w:val="0"/>
        </w:rPr>
      </w:pPr>
      <w:r>
        <w:rPr>
          <w:rFonts w:ascii="Times New Roman" w:hAnsi="Times New Roman"/>
          <w:b/>
          <w:smallCaps w:val="0"/>
          <w:snapToGrid/>
          <w:spacing w:val="0"/>
          <w:w w:val="100"/>
          <w:position w:val="0"/>
          <w:sz w:val="24"/>
          <w:szCs w:val="22"/>
          <w:shd w:val="clear" w:color="auto" w:fill="FFFFFF"/>
          <w:cs w:val="0"/>
        </w:rPr>
        <w:t>Mikhailov V.S.</w:t>
      </w:r>
    </w:p>
    <w:p w14:paraId="4A53B758">
      <w:pPr>
        <w:shd w:val="clear" w:fill="FFFFFF"/>
        <w:spacing w:beforeAutospacing="0" w:after="14" w:afterAutospacing="0" w:line="240" w:lineRule="auto"/>
        <w:ind w:left="0" w:firstLine="729"/>
        <w:rPr>
          <w:rFonts w:ascii="Times New Roman" w:hAnsi="Times New Roman"/>
          <w:b/>
          <w:smallCaps w:val="0"/>
          <w:snapToGrid/>
          <w:spacing w:val="0"/>
          <w:w w:val="100"/>
          <w:position w:val="0"/>
          <w:sz w:val="24"/>
          <w:szCs w:val="22"/>
          <w:shd w:val="clear" w:color="auto" w:fill="FFFFFF"/>
          <w:cs w:val="0"/>
        </w:rPr>
      </w:pPr>
    </w:p>
    <w:p w14:paraId="6208E56D">
      <w:pPr>
        <w:shd w:val="clear" w:fill="FFFFFF"/>
        <w:spacing w:beforeAutospacing="0" w:after="14" w:afterAutospacing="0" w:line="240" w:lineRule="auto"/>
        <w:ind w:left="0" w:firstLine="729"/>
        <w:rPr>
          <w:rFonts w:ascii="Times New Roman" w:hAnsi="Times New Roman"/>
          <w:b/>
          <w:smallCaps w:val="0"/>
          <w:snapToGrid/>
          <w:spacing w:val="0"/>
          <w:w w:val="100"/>
          <w:position w:val="0"/>
          <w:sz w:val="24"/>
          <w:szCs w:val="22"/>
          <w:shd w:val="clear" w:color="auto" w:fill="FFFFFF"/>
          <w:cs w:val="0"/>
        </w:rPr>
      </w:pPr>
      <w:r>
        <w:rPr>
          <w:rFonts w:ascii="Times New Roman" w:hAnsi="Times New Roman"/>
          <w:b/>
          <w:smallCaps w:val="0"/>
          <w:snapToGrid/>
          <w:spacing w:val="0"/>
          <w:w w:val="100"/>
          <w:position w:val="0"/>
          <w:sz w:val="24"/>
          <w:szCs w:val="22"/>
          <w:shd w:val="clear" w:color="auto" w:fill="FFFFFF"/>
          <w:cs w:val="0"/>
        </w:rPr>
        <w:t>DIVERSIFICATION OF THE ECONOMY OF THE REPUBLIC OF BASHKORTOSTAN: ECONOMETRIC APPROACHES TO IDENTIFYING GROWTH DRIVERS</w:t>
      </w:r>
    </w:p>
    <w:p w14:paraId="670618A9">
      <w:pPr>
        <w:shd w:val="clear" w:fill="FFFFFF"/>
        <w:spacing w:beforeAutospacing="0" w:after="14" w:afterAutospacing="0" w:line="240" w:lineRule="auto"/>
        <w:ind w:left="0" w:firstLine="729"/>
        <w:rPr>
          <w:rFonts w:ascii="Times New Roman" w:hAnsi="Times New Roman"/>
          <w:b/>
          <w:smallCaps w:val="0"/>
          <w:snapToGrid/>
          <w:spacing w:val="0"/>
          <w:w w:val="100"/>
          <w:position w:val="0"/>
          <w:sz w:val="24"/>
          <w:szCs w:val="22"/>
          <w:shd w:val="clear" w:color="auto" w:fill="FFFFFF"/>
          <w:cs w:val="0"/>
        </w:rPr>
      </w:pPr>
    </w:p>
    <w:p w14:paraId="0C8085A1">
      <w:pPr>
        <w:shd w:val="clear" w:fill="FFFFFF"/>
        <w:spacing w:beforeAutospacing="0" w:after="14" w:afterAutospacing="0" w:line="240" w:lineRule="auto"/>
        <w:ind w:left="0" w:firstLine="729"/>
        <w:rPr>
          <w:rFonts w:ascii="Times New Roman" w:hAnsi="Times New Roman"/>
          <w:smallCaps w:val="0"/>
          <w:snapToGrid/>
          <w:spacing w:val="0"/>
          <w:w w:val="100"/>
          <w:position w:val="0"/>
          <w:sz w:val="24"/>
          <w:szCs w:val="22"/>
          <w:shd w:val="clear" w:color="auto" w:fill="FFFFFF"/>
          <w:cs w:val="0"/>
        </w:rPr>
      </w:pPr>
      <w:r>
        <w:rPr>
          <w:rFonts w:ascii="Times New Roman" w:hAnsi="Times New Roman"/>
          <w:b/>
          <w:smallCaps w:val="0"/>
          <w:snapToGrid/>
          <w:spacing w:val="0"/>
          <w:w w:val="100"/>
          <w:position w:val="0"/>
          <w:sz w:val="24"/>
          <w:szCs w:val="22"/>
          <w:shd w:val="clear" w:color="auto" w:fill="FFFFFF"/>
          <w:cs w:val="0"/>
        </w:rPr>
        <w:t xml:space="preserve">Abstract. </w:t>
      </w:r>
      <w:r>
        <w:rPr>
          <w:rFonts w:ascii="Times New Roman" w:hAnsi="Times New Roman"/>
          <w:smallCaps w:val="0"/>
          <w:snapToGrid/>
          <w:spacing w:val="0"/>
          <w:w w:val="100"/>
          <w:position w:val="0"/>
          <w:sz w:val="24"/>
          <w:szCs w:val="22"/>
          <w:shd w:val="clear" w:color="auto" w:fill="FFFFFF"/>
          <w:cs w:val="0"/>
        </w:rPr>
        <w:t>This article explores the potential for analyzing the economic development of the Republic of Bashkortostan using several econometric methods, including the ordinary least squares method. Various applications of econometric analysis methods in various sectors of the Republic are analyzed. Recommendations are developed regarding which analytical methods can be applied in various cases.</w:t>
      </w:r>
    </w:p>
    <w:p w14:paraId="6098DA4E">
      <w:pPr>
        <w:shd w:val="clear" w:fill="FFFFFF"/>
        <w:spacing w:beforeAutospacing="0" w:after="14" w:afterAutospacing="0" w:line="240" w:lineRule="auto"/>
        <w:ind w:left="0" w:firstLine="729"/>
        <w:rPr>
          <w:rFonts w:ascii="Times New Roman" w:hAnsi="Times New Roman"/>
          <w:smallCaps w:val="0"/>
          <w:snapToGrid/>
          <w:spacing w:val="0"/>
          <w:w w:val="100"/>
          <w:position w:val="0"/>
          <w:sz w:val="24"/>
          <w:szCs w:val="22"/>
          <w:shd w:val="clear" w:color="auto" w:fill="FFFFFF"/>
          <w:cs w:val="0"/>
        </w:rPr>
      </w:pPr>
    </w:p>
    <w:p w14:paraId="2B8F1930">
      <w:pPr>
        <w:spacing w:beforeAutospacing="0" w:after="14" w:afterAutospacing="0" w:line="240" w:lineRule="auto"/>
        <w:ind w:left="0" w:firstLine="729"/>
        <w:jc w:val="both"/>
        <w:rPr>
          <w:rFonts w:ascii="Times New Roman" w:hAnsi="Times New Roman"/>
          <w:smallCaps w:val="0"/>
          <w:snapToGrid/>
          <w:spacing w:val="0"/>
          <w:w w:val="100"/>
          <w:position w:val="0"/>
          <w:sz w:val="24"/>
          <w:szCs w:val="22"/>
          <w:cs w:val="0"/>
        </w:rPr>
      </w:pPr>
      <w:r>
        <w:rPr>
          <w:rFonts w:ascii="Times New Roman" w:hAnsi="Times New Roman"/>
          <w:smallCaps w:val="0"/>
          <w:snapToGrid/>
          <w:spacing w:val="0"/>
          <w:w w:val="100"/>
          <w:position w:val="0"/>
          <w:sz w:val="24"/>
          <w:szCs w:val="22"/>
          <w:cs w:val="0"/>
        </w:rPr>
        <w:t xml:space="preserve"> </w:t>
      </w:r>
    </w:p>
    <w:p w14:paraId="4CE263FD">
      <w:pPr>
        <w:shd w:val="clear" w:fill="FFFFFF"/>
        <w:spacing w:beforeAutospacing="0" w:after="14" w:afterAutospacing="0" w:line="240" w:lineRule="auto"/>
        <w:ind w:left="0" w:firstLine="729"/>
        <w:rPr>
          <w:rFonts w:ascii="Times New Roman" w:hAnsi="Times New Roman"/>
          <w:smallCaps w:val="0"/>
          <w:snapToGrid/>
          <w:spacing w:val="0"/>
          <w:w w:val="100"/>
          <w:position w:val="0"/>
          <w:sz w:val="24"/>
          <w:szCs w:val="22"/>
          <w:shd w:val="clear" w:color="auto" w:fill="FFFFFF"/>
          <w:cs w:val="0"/>
        </w:rPr>
      </w:pPr>
      <w:r>
        <w:rPr>
          <w:rFonts w:ascii="Times New Roman" w:hAnsi="Times New Roman"/>
          <w:b/>
          <w:smallCaps w:val="0"/>
          <w:snapToGrid/>
          <w:spacing w:val="0"/>
          <w:w w:val="100"/>
          <w:position w:val="0"/>
          <w:sz w:val="24"/>
          <w:szCs w:val="22"/>
          <w:shd w:val="clear" w:color="auto" w:fill="FFFFFF"/>
          <w:cs w:val="0"/>
        </w:rPr>
        <w:t xml:space="preserve">Keywords: </w:t>
      </w:r>
      <w:r>
        <w:rPr>
          <w:rFonts w:ascii="Times New Roman" w:hAnsi="Times New Roman"/>
          <w:smallCaps w:val="0"/>
          <w:snapToGrid/>
          <w:spacing w:val="0"/>
          <w:w w:val="100"/>
          <w:position w:val="0"/>
          <w:sz w:val="24"/>
          <w:szCs w:val="22"/>
          <w:shd w:val="clear" w:color="auto" w:fill="FFFFFF"/>
          <w:cs w:val="0"/>
        </w:rPr>
        <w:t>least squares method, small and medium-sized enterprises, Republic of Bashkortostan, entrepreneurial ecosystem, regional economy, institutional environment.</w:t>
      </w:r>
    </w:p>
    <w:p w14:paraId="55CDCC1C">
      <w:pPr>
        <w:spacing w:beforeAutospacing="0" w:after="14" w:afterAutospacing="0" w:line="240" w:lineRule="auto"/>
        <w:ind w:left="0" w:firstLine="729"/>
        <w:jc w:val="both"/>
        <w:rPr>
          <w:rFonts w:ascii="Times New Roman" w:hAnsi="Times New Roman"/>
          <w:smallCaps w:val="0"/>
          <w:snapToGrid/>
          <w:spacing w:val="0"/>
          <w:w w:val="100"/>
          <w:position w:val="0"/>
          <w:sz w:val="24"/>
          <w:szCs w:val="22"/>
          <w:shd w:val="clear" w:color="auto" w:fill="FFFFFF"/>
          <w:cs w:val="0"/>
        </w:rPr>
      </w:pPr>
    </w:p>
    <w:p w14:paraId="38220FA6">
      <w:pPr>
        <w:rPr>
          <w:rFonts w:ascii="Times New Roman" w:hAnsi="Times New Roman"/>
          <w:sz w:val="28"/>
          <w:szCs w:val="28"/>
        </w:rPr>
      </w:pPr>
      <w:bookmarkStart w:id="0" w:name="_GoBack"/>
      <w:bookmarkEnd w:id="0"/>
    </w:p>
    <w:sectPr>
      <w:pgSz w:w="11906" w:h="16838"/>
      <w:pgMar w:top="1134" w:right="850" w:bottom="1134" w:left="1701" w:header="708" w:footer="708"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cumentProtection w:enforcement="0"/>
  <w:defaultTabStop w:val="708"/>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33B0446E"/>
    <w:rsid w:val="69204B9B"/>
  </w:rsids>
  <m:mathPr>
    <m:mathFont m:val="Cambria Math"/>
    <m:brkBin m:val="before"/>
    <m:brkBinSub m:val="--"/>
    <m:smallFrac m:val="0"/>
    <m:dispDef/>
    <m:lMargin m:val="0"/>
    <m:rMargin m:val="0"/>
    <m:defJc m:val="centerGroup"/>
    <m:preSp m:val="0"/>
    <m:postSp m:val="0"/>
    <m:interSp m:val="0"/>
    <m:intraSp m:val="0"/>
    <m:wrapIndent m:val="0"/>
    <m:intLim m:val="undOvr"/>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nhideWhenUsed="0" w:uiPriority="0" w:name="heading 6"/>
    <w:lsdException w:qFormat="1" w:unhideWhenUsed="0" w:uiPriority="0" w:name="heading 7"/>
    <w:lsdException w:qFormat="1" w:unhideWhenUsed="0" w:uiPriority="0" w:name="heading 8"/>
    <w:lsdException w:qFormat="1" w:unhideWhenUsed="0"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qFormat="1"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0" w:semiHidden="0" w:name="List Paragraph"/>
    <w:lsdException w:qFormat="1" w:unhideWhenUsed="0" w:uiPriority="0" w:semiHidden="0" w:name="Quote"/>
    <w:lsdException w:qFormat="1" w:unhideWhenUsed="0" w:uiPriority="0" w:semiHidden="0" w:name="Intense Quote"/>
  </w:latentStyles>
  <w:style w:type="paragraph" w:default="1" w:styleId="1">
    <w:name w:val="Normal"/>
    <w:qFormat/>
    <w:uiPriority w:val="0"/>
    <w:pPr>
      <w:keepNext w:val="0"/>
      <w:keepLines w:val="0"/>
      <w:pageBreakBefore w:val="0"/>
      <w:widowControl/>
      <w:suppressLineNumbers w:val="0"/>
      <w:shd w:val="clear" w:fill="auto"/>
      <w:suppressAutoHyphens w:val="0"/>
      <w:bidi w:val="0"/>
      <w:spacing w:before="0" w:beforeAutospacing="0" w:after="160" w:afterAutospacing="0" w:line="259" w:lineRule="auto"/>
      <w:ind w:left="0" w:right="0" w:firstLine="0"/>
      <w:contextualSpacing w:val="0"/>
      <w:jc w:val="left"/>
      <w:outlineLvl w:val="9"/>
    </w:pPr>
    <w:rPr>
      <w:rFonts w:ascii="Calibri" w:hAnsi="Calibri" w:eastAsia="SimSun" w:cs="Times New Roman"/>
      <w:kern w:val="2"/>
      <w:sz w:val="22"/>
      <w:szCs w:val="22"/>
      <w:lang w:val="ru-RU" w:eastAsia="en-US" w:bidi="ar-SA"/>
    </w:rPr>
  </w:style>
  <w:style w:type="paragraph" w:styleId="2">
    <w:name w:val="heading 1"/>
    <w:basedOn w:val="1"/>
    <w:next w:val="1"/>
    <w:link w:val="22"/>
    <w:qFormat/>
    <w:uiPriority w:val="0"/>
    <w:pPr>
      <w:keepNext/>
      <w:keepLines/>
      <w:spacing w:before="360" w:beforeAutospacing="0" w:after="80" w:afterAutospacing="0"/>
      <w:outlineLvl w:val="0"/>
    </w:pPr>
    <w:rPr>
      <w:color w:val="2F5597" w:themeColor="accent1" w:themeShade="BF"/>
      <w:sz w:val="40"/>
      <w:szCs w:val="40"/>
    </w:rPr>
  </w:style>
  <w:style w:type="paragraph" w:styleId="3">
    <w:name w:val="heading 2"/>
    <w:basedOn w:val="1"/>
    <w:next w:val="1"/>
    <w:link w:val="23"/>
    <w:semiHidden/>
    <w:qFormat/>
    <w:uiPriority w:val="0"/>
    <w:pPr>
      <w:keepNext/>
      <w:keepLines/>
      <w:spacing w:before="160" w:beforeAutospacing="0" w:after="80" w:afterAutospacing="0"/>
      <w:outlineLvl w:val="1"/>
    </w:pPr>
    <w:rPr>
      <w:color w:val="2F5597" w:themeColor="accent1" w:themeShade="BF"/>
      <w:sz w:val="32"/>
      <w:szCs w:val="32"/>
    </w:rPr>
  </w:style>
  <w:style w:type="paragraph" w:styleId="4">
    <w:name w:val="heading 3"/>
    <w:basedOn w:val="1"/>
    <w:next w:val="1"/>
    <w:link w:val="24"/>
    <w:semiHidden/>
    <w:qFormat/>
    <w:uiPriority w:val="0"/>
    <w:pPr>
      <w:keepNext/>
      <w:keepLines/>
      <w:spacing w:before="160" w:beforeAutospacing="0" w:after="80" w:afterAutospacing="0"/>
      <w:outlineLvl w:val="2"/>
    </w:pPr>
    <w:rPr>
      <w:color w:val="2F5597" w:themeColor="accent1" w:themeShade="BF"/>
      <w:sz w:val="28"/>
      <w:szCs w:val="28"/>
    </w:rPr>
  </w:style>
  <w:style w:type="paragraph" w:styleId="5">
    <w:name w:val="heading 4"/>
    <w:basedOn w:val="1"/>
    <w:next w:val="1"/>
    <w:link w:val="25"/>
    <w:semiHidden/>
    <w:qFormat/>
    <w:uiPriority w:val="0"/>
    <w:pPr>
      <w:keepNext/>
      <w:keepLines/>
      <w:spacing w:before="80" w:beforeAutospacing="0" w:after="40" w:afterAutospacing="0"/>
      <w:outlineLvl w:val="3"/>
    </w:pPr>
    <w:rPr>
      <w:i/>
      <w:iCs/>
      <w:color w:val="2F5597" w:themeColor="accent1" w:themeShade="BF"/>
    </w:rPr>
  </w:style>
  <w:style w:type="paragraph" w:styleId="6">
    <w:name w:val="heading 5"/>
    <w:basedOn w:val="1"/>
    <w:next w:val="1"/>
    <w:link w:val="26"/>
    <w:semiHidden/>
    <w:qFormat/>
    <w:uiPriority w:val="0"/>
    <w:pPr>
      <w:keepNext/>
      <w:keepLines/>
      <w:spacing w:before="80" w:beforeAutospacing="0" w:after="40" w:afterAutospacing="0"/>
      <w:outlineLvl w:val="4"/>
    </w:pPr>
    <w:rPr>
      <w:color w:val="2F5597" w:themeColor="accent1" w:themeShade="BF"/>
    </w:rPr>
  </w:style>
  <w:style w:type="paragraph" w:styleId="7">
    <w:name w:val="heading 6"/>
    <w:basedOn w:val="1"/>
    <w:next w:val="1"/>
    <w:link w:val="27"/>
    <w:semiHidden/>
    <w:qFormat/>
    <w:uiPriority w:val="0"/>
    <w:pPr>
      <w:keepNext/>
      <w:keepLines/>
      <w:spacing w:before="40" w:beforeAutospacing="0" w:after="0" w:afterAutospacing="0"/>
      <w:outlineLvl w:val="5"/>
    </w:pPr>
    <w:rPr>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8"/>
    <w:semiHidden/>
    <w:qFormat/>
    <w:uiPriority w:val="0"/>
    <w:pPr>
      <w:keepNext/>
      <w:keepLines/>
      <w:spacing w:before="40" w:beforeAutospacing="0" w:after="0" w:afterAutospacing="0"/>
      <w:outlineLvl w:val="6"/>
    </w:pPr>
    <w:rPr>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9"/>
    <w:semiHidden/>
    <w:qFormat/>
    <w:uiPriority w:val="0"/>
    <w:pPr>
      <w:keepNext/>
      <w:keepLines/>
      <w:spacing w:beforeAutospacing="0" w:after="0" w:afterAutospacing="0"/>
      <w:outlineLvl w:val="7"/>
    </w:pPr>
    <w:rPr>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30"/>
    <w:semiHidden/>
    <w:qFormat/>
    <w:uiPriority w:val="0"/>
    <w:pPr>
      <w:keepNext/>
      <w:keepLines/>
      <w:spacing w:beforeAutospacing="0" w:after="0" w:afterAutospacing="0"/>
      <w:outlineLvl w:val="8"/>
    </w:pPr>
    <w:rPr>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character" w:styleId="13">
    <w:name w:val="Hyperlink"/>
    <w:qFormat/>
    <w:uiPriority w:val="0"/>
    <w:rPr>
      <w:color w:val="0000FF"/>
      <w:u w:val="single"/>
    </w:rPr>
  </w:style>
  <w:style w:type="character" w:styleId="14">
    <w:name w:val="line number"/>
    <w:basedOn w:val="11"/>
    <w:semiHidden/>
    <w:uiPriority w:val="0"/>
  </w:style>
  <w:style w:type="paragraph" w:styleId="15">
    <w:name w:val="Title"/>
    <w:basedOn w:val="1"/>
    <w:next w:val="1"/>
    <w:link w:val="31"/>
    <w:qFormat/>
    <w:uiPriority w:val="0"/>
    <w:pPr>
      <w:spacing w:beforeAutospacing="0" w:after="80" w:afterAutospacing="0" w:line="240" w:lineRule="auto"/>
      <w:contextualSpacing/>
    </w:pPr>
    <w:rPr>
      <w:spacing w:val="-10"/>
      <w:kern w:val="28"/>
      <w:sz w:val="56"/>
      <w:szCs w:val="56"/>
    </w:rPr>
  </w:style>
  <w:style w:type="paragraph" w:styleId="16">
    <w:name w:val="Normal (Web)"/>
    <w:uiPriority w:val="0"/>
    <w:pPr>
      <w:spacing w:before="0" w:beforeAutospacing="1" w:after="0" w:afterAutospacing="1"/>
      <w:ind w:left="0" w:right="0"/>
      <w:jc w:val="left"/>
    </w:pPr>
    <w:rPr>
      <w:rFonts w:ascii="Times New Roman" w:hAnsi="Times New Roman" w:eastAsia="SimSun" w:cs="Times New Roman"/>
      <w:kern w:val="0"/>
      <w:sz w:val="24"/>
      <w:szCs w:val="24"/>
      <w:lang w:val="en-US" w:eastAsia="zh-CN" w:bidi="ar"/>
    </w:rPr>
  </w:style>
  <w:style w:type="paragraph" w:styleId="17">
    <w:name w:val="Subtitle"/>
    <w:basedOn w:val="1"/>
    <w:next w:val="1"/>
    <w:link w:val="32"/>
    <w:qFormat/>
    <w:uiPriority w:val="0"/>
    <w:rPr>
      <w:color w:val="595959" w:themeColor="text1" w:themeTint="A6"/>
      <w:spacing w:val="15"/>
      <w:sz w:val="28"/>
      <w:szCs w:val="28"/>
      <w14:textFill>
        <w14:solidFill>
          <w14:schemeClr w14:val="tx1">
            <w14:lumMod w14:val="65000"/>
            <w14:lumOff w14:val="35000"/>
          </w14:schemeClr>
        </w14:solidFill>
      </w14:textFill>
    </w:rPr>
  </w:style>
  <w:style w:type="table" w:styleId="18">
    <w:name w:val="Table Simple 1"/>
    <w:basedOn w:val="1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blStylePr w:type="firstRow">
      <w:tblPr/>
      <w:tcPr>
        <w:tcBorders>
          <w:top w:val="nil"/>
          <w:left w:val="single" w:color="008000" w:sz="6" w:space="0"/>
          <w:bottom w:val="nil"/>
          <w:right w:val="nil"/>
          <w:insideH w:val="nil"/>
          <w:insideV w:val="nil"/>
          <w:tl2br w:val="nil"/>
          <w:tr2bl w:val="nil"/>
        </w:tcBorders>
      </w:tcPr>
    </w:tblStylePr>
    <w:tblStylePr w:type="lastRow">
      <w:tblPr/>
      <w:tcPr>
        <w:tcBorders>
          <w:top w:val="single" w:color="008000" w:sz="6" w:space="0"/>
          <w:left w:val="nil"/>
          <w:bottom w:val="nil"/>
          <w:right w:val="nil"/>
          <w:insideH w:val="nil"/>
          <w:insideV w:val="nil"/>
          <w:tl2br w:val="nil"/>
          <w:tr2bl w:val="nil"/>
        </w:tcBorders>
      </w:tcPr>
    </w:tblStylePr>
  </w:style>
  <w:style w:type="paragraph" w:styleId="19">
    <w:name w:val="Quote"/>
    <w:basedOn w:val="1"/>
    <w:next w:val="1"/>
    <w:link w:val="33"/>
    <w:qFormat/>
    <w:uiPriority w:val="0"/>
    <w:pPr>
      <w:spacing w:before="160" w:beforeAutospacing="0" w:afterAutospacing="0"/>
      <w:jc w:val="center"/>
    </w:pPr>
    <w:rPr>
      <w:i/>
      <w:iCs/>
      <w:color w:val="404040" w:themeColor="text1" w:themeTint="BF"/>
      <w14:textFill>
        <w14:solidFill>
          <w14:schemeClr w14:val="tx1">
            <w14:lumMod w14:val="75000"/>
            <w14:lumOff w14:val="25000"/>
          </w14:schemeClr>
        </w14:solidFill>
      </w14:textFill>
    </w:rPr>
  </w:style>
  <w:style w:type="paragraph" w:styleId="20">
    <w:name w:val="List Paragraph"/>
    <w:basedOn w:val="1"/>
    <w:qFormat/>
    <w:uiPriority w:val="0"/>
    <w:pPr>
      <w:ind w:left="720"/>
      <w:contextualSpacing/>
    </w:pPr>
  </w:style>
  <w:style w:type="paragraph" w:styleId="21">
    <w:name w:val="Intense Quote"/>
    <w:basedOn w:val="1"/>
    <w:next w:val="1"/>
    <w:link w:val="35"/>
    <w:qFormat/>
    <w:uiPriority w:val="0"/>
    <w:pPr>
      <w:pBdr>
        <w:top w:val="single" w:color="2F5496" w:themeColor="accent1" w:themeShade="BF" w:sz="4" w:space="10"/>
        <w:left w:val="none" w:color="auto" w:sz="0" w:space="0"/>
        <w:bottom w:val="single" w:color="2F5496" w:themeColor="accent1" w:themeShade="BF" w:sz="4" w:space="10"/>
        <w:right w:val="none" w:color="auto" w:sz="0" w:space="0"/>
        <w:between w:val="none" w:color="auto" w:sz="0" w:space="0"/>
      </w:pBdr>
      <w:spacing w:before="360" w:beforeAutospacing="0" w:after="360" w:afterAutospacing="0"/>
      <w:ind w:left="864" w:right="864"/>
      <w:jc w:val="center"/>
    </w:pPr>
    <w:rPr>
      <w:i/>
      <w:iCs/>
      <w:color w:val="2F5597" w:themeColor="accent1" w:themeShade="BF"/>
    </w:rPr>
  </w:style>
  <w:style w:type="character" w:customStyle="1" w:styleId="22">
    <w:name w:val="Заголовок 1 Знак"/>
    <w:basedOn w:val="11"/>
    <w:link w:val="2"/>
    <w:qFormat/>
    <w:uiPriority w:val="0"/>
    <w:rPr>
      <w:color w:val="2F5597" w:themeColor="accent1" w:themeShade="BF"/>
      <w:sz w:val="40"/>
      <w:szCs w:val="40"/>
    </w:rPr>
  </w:style>
  <w:style w:type="character" w:customStyle="1" w:styleId="23">
    <w:name w:val="Заголовок 2 Знак"/>
    <w:basedOn w:val="11"/>
    <w:link w:val="3"/>
    <w:semiHidden/>
    <w:qFormat/>
    <w:uiPriority w:val="0"/>
    <w:rPr>
      <w:color w:val="2F5597" w:themeColor="accent1" w:themeShade="BF"/>
      <w:sz w:val="32"/>
      <w:szCs w:val="32"/>
    </w:rPr>
  </w:style>
  <w:style w:type="character" w:customStyle="1" w:styleId="24">
    <w:name w:val="Заголовок 3 Знак"/>
    <w:basedOn w:val="11"/>
    <w:link w:val="4"/>
    <w:semiHidden/>
    <w:qFormat/>
    <w:uiPriority w:val="0"/>
    <w:rPr>
      <w:color w:val="2F5597" w:themeColor="accent1" w:themeShade="BF"/>
      <w:sz w:val="28"/>
      <w:szCs w:val="28"/>
    </w:rPr>
  </w:style>
  <w:style w:type="character" w:customStyle="1" w:styleId="25">
    <w:name w:val="Заголовок 4 Знак"/>
    <w:basedOn w:val="11"/>
    <w:link w:val="5"/>
    <w:semiHidden/>
    <w:uiPriority w:val="0"/>
    <w:rPr>
      <w:i/>
      <w:iCs/>
      <w:color w:val="2F5597" w:themeColor="accent1" w:themeShade="BF"/>
    </w:rPr>
  </w:style>
  <w:style w:type="character" w:customStyle="1" w:styleId="26">
    <w:name w:val="Заголовок 5 Знак"/>
    <w:basedOn w:val="11"/>
    <w:link w:val="6"/>
    <w:semiHidden/>
    <w:qFormat/>
    <w:uiPriority w:val="0"/>
    <w:rPr>
      <w:color w:val="2F5597" w:themeColor="accent1" w:themeShade="BF"/>
    </w:rPr>
  </w:style>
  <w:style w:type="character" w:customStyle="1" w:styleId="27">
    <w:name w:val="Заголовок 6 Знак"/>
    <w:basedOn w:val="11"/>
    <w:link w:val="7"/>
    <w:semiHidden/>
    <w:uiPriority w:val="0"/>
    <w:rPr>
      <w:i/>
      <w:iCs/>
      <w:color w:val="595959" w:themeColor="text1" w:themeTint="A6"/>
      <w14:textFill>
        <w14:solidFill>
          <w14:schemeClr w14:val="tx1">
            <w14:lumMod w14:val="65000"/>
            <w14:lumOff w14:val="35000"/>
          </w14:schemeClr>
        </w14:solidFill>
      </w14:textFill>
    </w:rPr>
  </w:style>
  <w:style w:type="character" w:customStyle="1" w:styleId="28">
    <w:name w:val="Заголовок 7 Знак"/>
    <w:basedOn w:val="11"/>
    <w:link w:val="8"/>
    <w:semiHidden/>
    <w:qFormat/>
    <w:uiPriority w:val="0"/>
    <w:rPr>
      <w:color w:val="595959" w:themeColor="text1" w:themeTint="A6"/>
      <w14:textFill>
        <w14:solidFill>
          <w14:schemeClr w14:val="tx1">
            <w14:lumMod w14:val="65000"/>
            <w14:lumOff w14:val="35000"/>
          </w14:schemeClr>
        </w14:solidFill>
      </w14:textFill>
    </w:rPr>
  </w:style>
  <w:style w:type="character" w:customStyle="1" w:styleId="29">
    <w:name w:val="Заголовок 8 Знак"/>
    <w:basedOn w:val="11"/>
    <w:link w:val="9"/>
    <w:semiHidden/>
    <w:qFormat/>
    <w:uiPriority w:val="0"/>
    <w:rPr>
      <w:i/>
      <w:iCs/>
      <w:color w:val="262626" w:themeColor="text1" w:themeTint="D9"/>
      <w14:textFill>
        <w14:solidFill>
          <w14:schemeClr w14:val="tx1">
            <w14:lumMod w14:val="85000"/>
            <w14:lumOff w14:val="15000"/>
          </w14:schemeClr>
        </w14:solidFill>
      </w14:textFill>
    </w:rPr>
  </w:style>
  <w:style w:type="character" w:customStyle="1" w:styleId="30">
    <w:name w:val="Заголовок 9 Знак"/>
    <w:basedOn w:val="11"/>
    <w:link w:val="10"/>
    <w:semiHidden/>
    <w:qFormat/>
    <w:uiPriority w:val="0"/>
    <w:rPr>
      <w:color w:val="262626" w:themeColor="text1" w:themeTint="D9"/>
      <w14:textFill>
        <w14:solidFill>
          <w14:schemeClr w14:val="tx1">
            <w14:lumMod w14:val="85000"/>
            <w14:lumOff w14:val="15000"/>
          </w14:schemeClr>
        </w14:solidFill>
      </w14:textFill>
    </w:rPr>
  </w:style>
  <w:style w:type="character" w:customStyle="1" w:styleId="31">
    <w:name w:val="Заголовок Знак"/>
    <w:basedOn w:val="11"/>
    <w:link w:val="15"/>
    <w:qFormat/>
    <w:uiPriority w:val="0"/>
    <w:rPr>
      <w:spacing w:val="-10"/>
      <w:kern w:val="28"/>
      <w:sz w:val="56"/>
      <w:szCs w:val="56"/>
    </w:rPr>
  </w:style>
  <w:style w:type="character" w:customStyle="1" w:styleId="32">
    <w:name w:val="Подзаголовок Знак"/>
    <w:basedOn w:val="11"/>
    <w:link w:val="17"/>
    <w:uiPriority w:val="0"/>
    <w:rPr>
      <w:color w:val="595959" w:themeColor="text1" w:themeTint="A6"/>
      <w:spacing w:val="15"/>
      <w:sz w:val="28"/>
      <w:szCs w:val="28"/>
      <w14:textFill>
        <w14:solidFill>
          <w14:schemeClr w14:val="tx1">
            <w14:lumMod w14:val="65000"/>
            <w14:lumOff w14:val="35000"/>
          </w14:schemeClr>
        </w14:solidFill>
      </w14:textFill>
    </w:rPr>
  </w:style>
  <w:style w:type="character" w:customStyle="1" w:styleId="33">
    <w:name w:val="Цитата 2 Знак"/>
    <w:basedOn w:val="11"/>
    <w:link w:val="19"/>
    <w:qFormat/>
    <w:uiPriority w:val="0"/>
    <w:rPr>
      <w:i/>
      <w:iCs/>
      <w:color w:val="404040" w:themeColor="text1" w:themeTint="BF"/>
      <w14:textFill>
        <w14:solidFill>
          <w14:schemeClr w14:val="tx1">
            <w14:lumMod w14:val="75000"/>
            <w14:lumOff w14:val="25000"/>
          </w14:schemeClr>
        </w14:solidFill>
      </w14:textFill>
    </w:rPr>
  </w:style>
  <w:style w:type="character" w:customStyle="1" w:styleId="34">
    <w:name w:val="Intense Emphasis"/>
    <w:basedOn w:val="11"/>
    <w:qFormat/>
    <w:uiPriority w:val="0"/>
    <w:rPr>
      <w:i/>
      <w:iCs/>
      <w:color w:val="2F5597" w:themeColor="accent1" w:themeShade="BF"/>
    </w:rPr>
  </w:style>
  <w:style w:type="character" w:customStyle="1" w:styleId="35">
    <w:name w:val="Выделенная цитата Знак"/>
    <w:basedOn w:val="11"/>
    <w:link w:val="21"/>
    <w:qFormat/>
    <w:uiPriority w:val="0"/>
    <w:rPr>
      <w:i/>
      <w:iCs/>
      <w:color w:val="2F5597" w:themeColor="accent1" w:themeShade="BF"/>
    </w:rPr>
  </w:style>
  <w:style w:type="character" w:customStyle="1" w:styleId="36">
    <w:name w:val="Intense Reference1"/>
    <w:basedOn w:val="11"/>
    <w:qFormat/>
    <w:uiPriority w:val="0"/>
    <w:rPr>
      <w:b/>
      <w:bCs/>
      <w:smallCaps/>
      <w:color w:val="2F5597" w:themeColor="accent1" w:themeShade="BF"/>
      <w:spacing w:val="5"/>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tileRect/>
        </a:gradFill>
      </a:fillStyleLst>
      <a:lnStyleLst>
        <a:ln w="6350" cmpd="sng" algn="ctr">
          <a:solidFill>
            <a:schemeClr val="phClr"/>
          </a:solidFill>
          <a:prstDash val="solid"/>
          <a:miter lim="800000"/>
        </a:ln>
        <a:ln w="12700" cmpd="sng" algn="ctr">
          <a:solidFill>
            <a:schemeClr val="phClr"/>
          </a:solidFill>
          <a:prstDash val="solid"/>
          <a:miter lim="800000"/>
        </a:ln>
        <a:ln w="19050"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1837</Words>
  <Characters>12744</Characters>
  <TotalTime>1</TotalTime>
  <ScaleCrop>false</ScaleCrop>
  <LinksUpToDate>false</LinksUpToDate>
  <CharactersWithSpaces>14550</CharactersWithSpaces>
  <Application>WPS Office_12.1.0.26372_F1E327BC-269C-435d-A152-05C5408002CA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2025-03-19T11:17:00Z</dcterms:created>
  <dc:creator>Сергей Григорьев</dc:creator>
  <cp:lastModifiedBy>User</cp:lastModifiedBy>
  <dcterms:modified xsi:type="dcterms:W3CDTF">2026-05-15T09:33:26Z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eyJoZGlkIjoiMzY2MjQyNDVhN2JkYzMyMjliYTYzMmJkZTZmYjYwMzEifQ==</vt:lpwstr>
  </property>
  <property fmtid="{D5CDD505-2E9C-101B-9397-08002B2CF9AE}" pid="3" name="KSOProductBuildVer">
    <vt:lpwstr>1049-12.1.0.26372</vt:lpwstr>
  </property>
  <property fmtid="{D5CDD505-2E9C-101B-9397-08002B2CF9AE}" pid="4" name="ICV">
    <vt:lpwstr>C190A75678224E0DA652C353B30BB634_12</vt:lpwstr>
  </property>
</Properties>
</file>