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B3754" w14:textId="77777777" w:rsidR="00FA3CA3" w:rsidRPr="00B957B7" w:rsidRDefault="002E1784" w:rsidP="00FA3C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B957B7">
        <w:rPr>
          <w:rFonts w:ascii="Times New Roman" w:eastAsia="Times New Roman" w:hAnsi="Times New Roman" w:cs="Times New Roman"/>
          <w:b/>
          <w:sz w:val="24"/>
          <w:lang w:eastAsia="ru-RU"/>
        </w:rPr>
        <w:t>УДК</w:t>
      </w:r>
      <w:r w:rsidR="00FA3CA3" w:rsidRPr="00B957B7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330.341</w:t>
      </w:r>
    </w:p>
    <w:p w14:paraId="09F68EA6" w14:textId="77777777" w:rsidR="002E1784" w:rsidRPr="00B957B7" w:rsidRDefault="002E1784" w:rsidP="00FA3C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B957B7">
        <w:rPr>
          <w:rFonts w:ascii="Times New Roman" w:eastAsia="Times New Roman" w:hAnsi="Times New Roman" w:cs="Times New Roman"/>
          <w:b/>
          <w:sz w:val="24"/>
          <w:lang w:eastAsia="ru-RU"/>
        </w:rPr>
        <w:t>ББК</w:t>
      </w:r>
      <w:r w:rsidR="00FA3CA3" w:rsidRPr="00B957B7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65.9-962</w:t>
      </w:r>
    </w:p>
    <w:p w14:paraId="52CB36F8" w14:textId="77777777" w:rsidR="002E1784" w:rsidRPr="00B957B7" w:rsidRDefault="00FA3CA3" w:rsidP="00FA3CA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B957B7">
        <w:rPr>
          <w:rFonts w:ascii="Times New Roman" w:eastAsia="Times New Roman" w:hAnsi="Times New Roman" w:cs="Times New Roman"/>
          <w:b/>
          <w:sz w:val="24"/>
          <w:lang w:eastAsia="ru-RU"/>
        </w:rPr>
        <w:t>Гусева Е.П.</w:t>
      </w:r>
    </w:p>
    <w:p w14:paraId="59089891" w14:textId="0B8096BD" w:rsidR="002E1784" w:rsidRPr="00B957B7" w:rsidRDefault="00110E1F" w:rsidP="00FA3C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B957B7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СОВРЕМЕННОЕ СОСТОЯНИЕ И </w:t>
      </w:r>
      <w:r w:rsidR="002668C1">
        <w:rPr>
          <w:rFonts w:ascii="Times New Roman" w:eastAsia="Times New Roman" w:hAnsi="Times New Roman" w:cs="Times New Roman"/>
          <w:b/>
          <w:sz w:val="24"/>
          <w:lang w:eastAsia="ru-RU"/>
        </w:rPr>
        <w:t>ТЕНДЕНЦИИ</w:t>
      </w:r>
      <w:r w:rsidRPr="00B957B7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РАЗВИТИЯ СЕЛЬСКОГО ХОЗЯЙСТВА ОРЕНБУРГСКОЙ ОБЛАСТИ</w:t>
      </w:r>
    </w:p>
    <w:p w14:paraId="39D1CFAA" w14:textId="77777777" w:rsidR="002E1784" w:rsidRPr="00B957B7" w:rsidRDefault="002E1784" w:rsidP="00FA3CA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41187032" w14:textId="09E08C20" w:rsidR="002E1784" w:rsidRPr="00B957B7" w:rsidRDefault="002E1784" w:rsidP="00FA3CA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 w:rsidRPr="00B957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Аннотация</w:t>
      </w:r>
      <w:r w:rsidR="00FA3CA3" w:rsidRPr="00B957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="00110E1F" w:rsidRPr="00B957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613DD1">
        <w:rPr>
          <w:rFonts w:ascii="Times New Roman" w:eastAsia="Calibri" w:hAnsi="Times New Roman" w:cs="Times New Roman"/>
          <w:kern w:val="20"/>
          <w:sz w:val="24"/>
          <w:szCs w:val="24"/>
        </w:rPr>
        <w:t>В статье проведен анализ динамики и структуры сельскохозяйственного производства Оренбургской области за 2019-2023 гг. Выявлены основные тенденции: рост доли КФХ, снижение роли хозяйств населения, высокие колебания растениеводства. Оценен уровень продовольственной самообеспеченности региона, определены проблемные зоны.</w:t>
      </w:r>
    </w:p>
    <w:p w14:paraId="6194F3EC" w14:textId="3CA34764" w:rsidR="002E1784" w:rsidRPr="00B957B7" w:rsidRDefault="002E1784" w:rsidP="00FA3CA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 w:rsidRPr="00B957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Ключевые слова</w:t>
      </w:r>
      <w:r w:rsidR="00110E1F" w:rsidRPr="00B957B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: </w:t>
      </w:r>
      <w:r w:rsidR="00FA3CA3" w:rsidRPr="00B957B7">
        <w:rPr>
          <w:rFonts w:ascii="Times New Roman" w:eastAsia="Calibri" w:hAnsi="Times New Roman" w:cs="Times New Roman"/>
          <w:bCs/>
          <w:kern w:val="20"/>
          <w:sz w:val="24"/>
          <w:szCs w:val="24"/>
        </w:rPr>
        <w:t>аграрный сектор, сельскохозяйственное производство,</w:t>
      </w:r>
      <w:r w:rsidR="00110E1F" w:rsidRPr="00B957B7">
        <w:rPr>
          <w:rFonts w:ascii="Times New Roman" w:eastAsia="Calibri" w:hAnsi="Times New Roman" w:cs="Times New Roman"/>
          <w:bCs/>
          <w:kern w:val="20"/>
          <w:sz w:val="24"/>
          <w:szCs w:val="24"/>
        </w:rPr>
        <w:t xml:space="preserve"> </w:t>
      </w:r>
      <w:r w:rsidR="00FA3CA3" w:rsidRPr="00B957B7">
        <w:rPr>
          <w:rFonts w:ascii="Times New Roman" w:eastAsia="Calibri" w:hAnsi="Times New Roman" w:cs="Times New Roman"/>
          <w:bCs/>
          <w:kern w:val="20"/>
          <w:sz w:val="24"/>
          <w:szCs w:val="24"/>
        </w:rPr>
        <w:t xml:space="preserve">тенденции развития, </w:t>
      </w:r>
      <w:r w:rsidR="00126688">
        <w:rPr>
          <w:rFonts w:ascii="Times New Roman" w:eastAsia="Calibri" w:hAnsi="Times New Roman" w:cs="Times New Roman"/>
          <w:bCs/>
          <w:kern w:val="20"/>
          <w:sz w:val="24"/>
          <w:szCs w:val="24"/>
        </w:rPr>
        <w:t>продовольственная самообеспеченность</w:t>
      </w:r>
      <w:r w:rsidRPr="00B957B7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.</w:t>
      </w:r>
    </w:p>
    <w:p w14:paraId="2A5E82B2" w14:textId="77777777" w:rsidR="002E1784" w:rsidRPr="00B957B7" w:rsidRDefault="002E1784" w:rsidP="00FA3CA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</w:p>
    <w:p w14:paraId="06C8B7F7" w14:textId="15AAEE19" w:rsidR="00927F48" w:rsidRPr="00B957B7" w:rsidRDefault="00927F48" w:rsidP="00927F4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0"/>
          <w:sz w:val="24"/>
          <w:szCs w:val="24"/>
        </w:rPr>
      </w:pP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Проблемы и направления развития аграрного сектора зависят от конкретного региона, учитывая климат, специализацию, доступ к ресурсам, инфраструктур</w:t>
      </w:r>
      <w:r w:rsidR="002826EF" w:rsidRPr="00B957B7">
        <w:rPr>
          <w:rFonts w:ascii="Times New Roman" w:eastAsia="Calibri" w:hAnsi="Times New Roman" w:cs="Times New Roman"/>
          <w:kern w:val="20"/>
          <w:sz w:val="24"/>
          <w:szCs w:val="24"/>
        </w:rPr>
        <w:t>у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и мног</w:t>
      </w:r>
      <w:r w:rsidR="002826EF" w:rsidRPr="00B957B7">
        <w:rPr>
          <w:rFonts w:ascii="Times New Roman" w:eastAsia="Calibri" w:hAnsi="Times New Roman" w:cs="Times New Roman"/>
          <w:kern w:val="20"/>
          <w:sz w:val="24"/>
          <w:szCs w:val="24"/>
        </w:rPr>
        <w:t>ие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други</w:t>
      </w:r>
      <w:r w:rsidR="002826EF" w:rsidRPr="00B957B7">
        <w:rPr>
          <w:rFonts w:ascii="Times New Roman" w:eastAsia="Calibri" w:hAnsi="Times New Roman" w:cs="Times New Roman"/>
          <w:kern w:val="20"/>
          <w:sz w:val="24"/>
          <w:szCs w:val="24"/>
        </w:rPr>
        <w:t>е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фактор</w:t>
      </w:r>
      <w:r w:rsidR="002826EF" w:rsidRPr="00B957B7">
        <w:rPr>
          <w:rFonts w:ascii="Times New Roman" w:eastAsia="Calibri" w:hAnsi="Times New Roman" w:cs="Times New Roman"/>
          <w:kern w:val="20"/>
          <w:sz w:val="24"/>
          <w:szCs w:val="24"/>
        </w:rPr>
        <w:t>ы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. Уникальность Оренбургской области в сельском хозяйстве заключается в адаптации к сложным климатическим условиям, разнообразии почв и развитии как растениеводства, так и животноводства, с использованием традиций и опыта. Кроме того, отдельные уникальные продукты (например, твердые сорта яровой пшеницы, Соль-Илецкие арбузы</w:t>
      </w:r>
      <w:r w:rsidR="002826EF" w:rsidRPr="00B957B7">
        <w:rPr>
          <w:rFonts w:ascii="Times New Roman" w:eastAsia="Calibri" w:hAnsi="Times New Roman" w:cs="Times New Roman"/>
          <w:kern w:val="20"/>
          <w:sz w:val="24"/>
          <w:szCs w:val="24"/>
        </w:rPr>
        <w:t>, конина и кумыс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) делают область узнаваемой на рынке сельскохозяйственной продукции</w:t>
      </w:r>
      <w:r w:rsidR="002D025D"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[</w: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begin"/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instrText xml:space="preserve"> REF _Ref193454922 \r \h </w:instrText>
      </w:r>
      <w:r w:rsidR="00B83D3C" w:rsidRPr="00B957B7">
        <w:rPr>
          <w:rFonts w:ascii="Times New Roman" w:eastAsia="Calibri" w:hAnsi="Times New Roman" w:cs="Times New Roman"/>
          <w:kern w:val="20"/>
          <w:sz w:val="24"/>
          <w:szCs w:val="24"/>
        </w:rPr>
        <w:instrText xml:space="preserve"> \* MERGEFORMAT </w:instrTex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separate"/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t>1</w: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end"/>
      </w:r>
      <w:r w:rsidR="002D025D" w:rsidRPr="00B957B7">
        <w:rPr>
          <w:rFonts w:ascii="Times New Roman" w:eastAsia="Calibri" w:hAnsi="Times New Roman" w:cs="Times New Roman"/>
          <w:kern w:val="20"/>
          <w:sz w:val="24"/>
          <w:szCs w:val="24"/>
        </w:rPr>
        <w:t>]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.</w:t>
      </w:r>
    </w:p>
    <w:p w14:paraId="5D463547" w14:textId="597CE1F6" w:rsidR="00D76CD1" w:rsidRPr="00B957B7" w:rsidRDefault="00D76CD1" w:rsidP="00D76CD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0"/>
          <w:sz w:val="24"/>
          <w:szCs w:val="24"/>
        </w:rPr>
      </w:pPr>
      <w:bookmarkStart w:id="0" w:name="_Hlk198500870"/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Оренбуржье считается одним из основных поставщиков высококачественного зерна твердой пшеницы из России. На его долю приходится около сорока процентов производимой в России твердой пшеницы.</w:t>
      </w:r>
      <w:r w:rsidRPr="00B957B7">
        <w:rPr>
          <w:rFonts w:ascii="Times New Roman" w:eastAsia="Calibri" w:hAnsi="Times New Roman" w:cs="Times New Roman"/>
          <w:color w:val="EE0000"/>
          <w:kern w:val="20"/>
          <w:sz w:val="24"/>
          <w:szCs w:val="24"/>
        </w:rPr>
        <w:t xml:space="preserve"> 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Выращивание требует особых технологий, направленных на сохранение влаги и борьбу с засухой, определяя структуру посевов и способы обработки почвы, а также необходимость использования засухоустойчивых сортов не только зерновых, но и масляничных и кормовых культур. </w:t>
      </w:r>
      <w:bookmarkEnd w:id="0"/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В области встречаются как плодородные черноземы, так и менее благоприятные каштановые и солонцеватые почвы, что требует дифференцированного подхода к земледелию в разных районах. Разнообразие почв позволяет развивать как растениеводство, так и животноводство. Большие площади пастбищ создают благоприятные условия для развития животноводства, а выгодное географическое местоположение и логистика Оренбургской области как транспортного узла позволяет экспортировать сельскохозяйственную продукцию в разные регионы и страны</w:t>
      </w:r>
      <w:r w:rsidR="002D025D"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[</w: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begin"/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instrText xml:space="preserve"> REF _Ref229772052 \r \h </w:instrText>
      </w:r>
      <w:r w:rsidR="00B83D3C" w:rsidRPr="00B957B7">
        <w:rPr>
          <w:rFonts w:ascii="Times New Roman" w:eastAsia="Calibri" w:hAnsi="Times New Roman" w:cs="Times New Roman"/>
          <w:kern w:val="20"/>
          <w:sz w:val="24"/>
          <w:szCs w:val="24"/>
        </w:rPr>
        <w:instrText xml:space="preserve"> \* MERGEFORMAT </w:instrTex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separate"/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t>2</w: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end"/>
      </w:r>
      <w:r w:rsidR="002D025D" w:rsidRPr="00B957B7">
        <w:rPr>
          <w:rFonts w:ascii="Times New Roman" w:eastAsia="Calibri" w:hAnsi="Times New Roman" w:cs="Times New Roman"/>
          <w:kern w:val="20"/>
          <w:sz w:val="24"/>
          <w:szCs w:val="24"/>
        </w:rPr>
        <w:t>]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.</w:t>
      </w:r>
    </w:p>
    <w:p w14:paraId="6DB91D18" w14:textId="0D177958" w:rsidR="00183620" w:rsidRPr="00B957B7" w:rsidRDefault="00C40843" w:rsidP="0018362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0"/>
          <w:sz w:val="24"/>
          <w:szCs w:val="24"/>
        </w:rPr>
      </w:pPr>
      <w:r w:rsidRPr="00B957B7">
        <w:rPr>
          <w:rFonts w:ascii="Times New Roman" w:hAnsi="Times New Roman" w:cs="Times New Roman"/>
          <w:sz w:val="24"/>
          <w:szCs w:val="24"/>
        </w:rPr>
        <w:t>Оренбургская область – один из регионов Приволжского федерального округа, который расположен на стыке двух частей света – Европы и Азии. Приволжский федеральный округ (ПФО) находится в тройке регионов, вносящих основной вклад в экономику страны.</w:t>
      </w:r>
      <w:r w:rsidR="00110E1F" w:rsidRPr="00B957B7">
        <w:rPr>
          <w:rFonts w:ascii="Times New Roman" w:hAnsi="Times New Roman" w:cs="Times New Roman"/>
          <w:sz w:val="24"/>
          <w:szCs w:val="24"/>
        </w:rPr>
        <w:t xml:space="preserve"> </w:t>
      </w:r>
      <w:r w:rsidRPr="00B957B7">
        <w:rPr>
          <w:rFonts w:ascii="Times New Roman" w:hAnsi="Times New Roman" w:cs="Times New Roman"/>
          <w:sz w:val="24"/>
          <w:szCs w:val="24"/>
        </w:rPr>
        <w:t>Среди 14 регионов, в</w:t>
      </w:r>
      <w:r w:rsidR="002668C1">
        <w:rPr>
          <w:rFonts w:ascii="Times New Roman" w:hAnsi="Times New Roman" w:cs="Times New Roman"/>
          <w:sz w:val="24"/>
          <w:szCs w:val="24"/>
        </w:rPr>
        <w:t>х</w:t>
      </w:r>
      <w:r w:rsidRPr="00B957B7">
        <w:rPr>
          <w:rFonts w:ascii="Times New Roman" w:hAnsi="Times New Roman" w:cs="Times New Roman"/>
          <w:sz w:val="24"/>
          <w:szCs w:val="24"/>
        </w:rPr>
        <w:t>одящих в состав ПФО, в качестве основных производителей сельскохозяйственной продукции, можно назвать Республики Татарстан и Башкортостан, Саратовскую и Оренбургскую области</w:t>
      </w:r>
      <w:r w:rsidR="002D025D" w:rsidRPr="00B957B7">
        <w:rPr>
          <w:rFonts w:ascii="Times New Roman" w:hAnsi="Times New Roman" w:cs="Times New Roman"/>
          <w:sz w:val="24"/>
          <w:szCs w:val="24"/>
        </w:rPr>
        <w:t xml:space="preserve"> [</w:t>
      </w:r>
      <w:r w:rsidR="00110E1F" w:rsidRPr="00B957B7">
        <w:rPr>
          <w:rFonts w:ascii="Times New Roman" w:hAnsi="Times New Roman" w:cs="Times New Roman"/>
          <w:sz w:val="24"/>
          <w:szCs w:val="24"/>
        </w:rPr>
        <w:fldChar w:fldCharType="begin"/>
      </w:r>
      <w:r w:rsidR="00110E1F" w:rsidRPr="00B957B7">
        <w:rPr>
          <w:rFonts w:ascii="Times New Roman" w:hAnsi="Times New Roman" w:cs="Times New Roman"/>
          <w:sz w:val="24"/>
          <w:szCs w:val="24"/>
        </w:rPr>
        <w:instrText xml:space="preserve"> REF _Ref229772064 \r \h </w:instrText>
      </w:r>
      <w:r w:rsidR="00B83D3C" w:rsidRPr="00B957B7">
        <w:rPr>
          <w:rFonts w:ascii="Times New Roman" w:hAnsi="Times New Roman" w:cs="Times New Roman"/>
          <w:sz w:val="24"/>
          <w:szCs w:val="24"/>
        </w:rPr>
        <w:instrText xml:space="preserve"> \* MERGEFORMAT </w:instrText>
      </w:r>
      <w:r w:rsidR="00110E1F" w:rsidRPr="00B957B7">
        <w:rPr>
          <w:rFonts w:ascii="Times New Roman" w:hAnsi="Times New Roman" w:cs="Times New Roman"/>
          <w:sz w:val="24"/>
          <w:szCs w:val="24"/>
        </w:rPr>
      </w:r>
      <w:r w:rsidR="00110E1F" w:rsidRPr="00B957B7">
        <w:rPr>
          <w:rFonts w:ascii="Times New Roman" w:hAnsi="Times New Roman" w:cs="Times New Roman"/>
          <w:sz w:val="24"/>
          <w:szCs w:val="24"/>
        </w:rPr>
        <w:fldChar w:fldCharType="separate"/>
      </w:r>
      <w:r w:rsidR="00110E1F" w:rsidRPr="00B957B7">
        <w:rPr>
          <w:rFonts w:ascii="Times New Roman" w:hAnsi="Times New Roman" w:cs="Times New Roman"/>
          <w:sz w:val="24"/>
          <w:szCs w:val="24"/>
        </w:rPr>
        <w:t>3</w:t>
      </w:r>
      <w:r w:rsidR="00110E1F" w:rsidRPr="00B957B7">
        <w:rPr>
          <w:rFonts w:ascii="Times New Roman" w:hAnsi="Times New Roman" w:cs="Times New Roman"/>
          <w:sz w:val="24"/>
          <w:szCs w:val="24"/>
        </w:rPr>
        <w:fldChar w:fldCharType="end"/>
      </w:r>
      <w:r w:rsidR="00B957B7" w:rsidRPr="00B957B7">
        <w:rPr>
          <w:rFonts w:ascii="Times New Roman" w:hAnsi="Times New Roman" w:cs="Times New Roman"/>
          <w:sz w:val="24"/>
          <w:szCs w:val="24"/>
        </w:rPr>
        <w:t xml:space="preserve">, </w: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begin"/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instrText xml:space="preserve"> REF _Ref229772089 \r \h </w:instrText>
      </w:r>
      <w:r w:rsidR="00B83D3C" w:rsidRPr="00B957B7">
        <w:rPr>
          <w:rFonts w:ascii="Times New Roman" w:eastAsia="Calibri" w:hAnsi="Times New Roman" w:cs="Times New Roman"/>
          <w:kern w:val="20"/>
          <w:sz w:val="24"/>
          <w:szCs w:val="24"/>
        </w:rPr>
        <w:instrText xml:space="preserve"> \* MERGEFORMAT </w:instrTex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separate"/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t>4</w: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end"/>
      </w:r>
      <w:r w:rsidR="00512141" w:rsidRPr="00B957B7">
        <w:rPr>
          <w:rFonts w:ascii="Times New Roman" w:eastAsia="Calibri" w:hAnsi="Times New Roman" w:cs="Times New Roman"/>
          <w:kern w:val="20"/>
          <w:sz w:val="24"/>
          <w:szCs w:val="24"/>
        </w:rPr>
        <w:t>]</w:t>
      </w:r>
      <w:r w:rsidR="00183620" w:rsidRPr="00B957B7">
        <w:rPr>
          <w:rFonts w:ascii="Times New Roman" w:eastAsia="Calibri" w:hAnsi="Times New Roman" w:cs="Times New Roman"/>
          <w:kern w:val="20"/>
          <w:sz w:val="24"/>
          <w:szCs w:val="24"/>
        </w:rPr>
        <w:t>.</w:t>
      </w:r>
    </w:p>
    <w:p w14:paraId="719E133B" w14:textId="5896D752" w:rsidR="00A56CAA" w:rsidRDefault="00A56CAA" w:rsidP="00A56CA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0"/>
          <w:sz w:val="24"/>
          <w:szCs w:val="24"/>
        </w:rPr>
      </w:pP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Чтобы оценить эффективность сельскохозяйственного производства, необходимо учесть объемы производства продукции. </w:t>
      </w:r>
      <w:r w:rsidR="001477B6" w:rsidRPr="00B957B7">
        <w:rPr>
          <w:rFonts w:ascii="Times New Roman" w:eastAsia="Calibri" w:hAnsi="Times New Roman" w:cs="Times New Roman"/>
          <w:kern w:val="20"/>
          <w:sz w:val="24"/>
          <w:szCs w:val="24"/>
        </w:rPr>
        <w:t>Т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емпы роста валового производства продукции сельского хозяйства </w:t>
      </w:r>
      <w:r w:rsidR="001477B6"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показаны 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к 2018 году, так как в Росс</w:t>
      </w:r>
      <w:r w:rsidR="002668C1">
        <w:rPr>
          <w:rFonts w:ascii="Times New Roman" w:eastAsia="Calibri" w:hAnsi="Times New Roman" w:cs="Times New Roman"/>
          <w:kern w:val="20"/>
          <w:sz w:val="24"/>
          <w:szCs w:val="24"/>
        </w:rPr>
        <w:t>и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и начали внедряться национальные проекты</w:t>
      </w:r>
      <w:r w:rsidR="001477B6"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(рис.</w:t>
      </w:r>
      <w:r w:rsidR="00B83D3C" w:rsidRPr="00B957B7">
        <w:rPr>
          <w:rFonts w:ascii="Times New Roman" w:eastAsia="Calibri" w:hAnsi="Times New Roman" w:cs="Times New Roman"/>
          <w:kern w:val="20"/>
          <w:sz w:val="24"/>
          <w:szCs w:val="24"/>
        </w:rPr>
        <w:t>1</w:t>
      </w:r>
      <w:r w:rsidR="001477B6" w:rsidRPr="00B957B7">
        <w:rPr>
          <w:rFonts w:ascii="Times New Roman" w:eastAsia="Calibri" w:hAnsi="Times New Roman" w:cs="Times New Roman"/>
          <w:kern w:val="20"/>
          <w:sz w:val="24"/>
          <w:szCs w:val="24"/>
        </w:rPr>
        <w:t>)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.</w:t>
      </w:r>
    </w:p>
    <w:p w14:paraId="7A747636" w14:textId="77777777" w:rsidR="00613DD1" w:rsidRPr="00B957B7" w:rsidRDefault="00613DD1" w:rsidP="00613DD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0"/>
          <w:sz w:val="24"/>
          <w:szCs w:val="24"/>
        </w:rPr>
      </w:pP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В</w:t>
      </w:r>
      <w:r>
        <w:rPr>
          <w:rFonts w:ascii="Times New Roman" w:eastAsia="Calibri" w:hAnsi="Times New Roman" w:cs="Times New Roman"/>
          <w:kern w:val="20"/>
          <w:sz w:val="24"/>
          <w:szCs w:val="24"/>
        </w:rPr>
        <w:t>о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всех регионах наблюдается значительный рост валового сбора продукции сельского хозяйства на период с 2019 по 2023 гг. по сравнени</w:t>
      </w:r>
      <w:r>
        <w:rPr>
          <w:rFonts w:ascii="Times New Roman" w:eastAsia="Calibri" w:hAnsi="Times New Roman" w:cs="Times New Roman"/>
          <w:kern w:val="20"/>
          <w:sz w:val="24"/>
          <w:szCs w:val="24"/>
        </w:rPr>
        <w:t>ю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с базовым 2018 годом, это говорит об общем позитивном развитии отрасли в стране. Наибольший темп роста наблюдается в 2022 году. В целом по России темпы роста валового сбора показывают устойчивую динамику, </w:t>
      </w:r>
      <w:r>
        <w:rPr>
          <w:rFonts w:ascii="Times New Roman" w:eastAsia="Calibri" w:hAnsi="Times New Roman" w:cs="Times New Roman"/>
          <w:kern w:val="20"/>
          <w:sz w:val="24"/>
          <w:szCs w:val="24"/>
        </w:rPr>
        <w:t>следует учитывать, что высокие темпы роста относительно 2018 года отчасти связаны с низкой базой, о чем свидетельствует показатель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2022 год</w:t>
      </w:r>
      <w:r>
        <w:rPr>
          <w:rFonts w:ascii="Times New Roman" w:eastAsia="Calibri" w:hAnsi="Times New Roman" w:cs="Times New Roman"/>
          <w:kern w:val="20"/>
          <w:sz w:val="24"/>
          <w:szCs w:val="24"/>
        </w:rPr>
        <w:t>а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– 183,98%. Практически за весь анализируемый период, кроме 2019 года, темпы роста в Оренбургской области превышают средние показатели по РФ все годы. Сельское хозяйство в Росс</w:t>
      </w:r>
      <w:r>
        <w:rPr>
          <w:rFonts w:ascii="Times New Roman" w:eastAsia="Calibri" w:hAnsi="Times New Roman" w:cs="Times New Roman"/>
          <w:kern w:val="20"/>
          <w:sz w:val="24"/>
          <w:szCs w:val="24"/>
        </w:rPr>
        <w:t>и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и в целом демонстрирует положительную динамику развития. </w:t>
      </w:r>
    </w:p>
    <w:p w14:paraId="5854C5D4" w14:textId="77777777" w:rsidR="00A56CAA" w:rsidRPr="00B957B7" w:rsidRDefault="00A56CAA" w:rsidP="00A56CAA">
      <w:pPr>
        <w:spacing w:after="0" w:line="240" w:lineRule="auto"/>
        <w:jc w:val="center"/>
        <w:rPr>
          <w:rFonts w:ascii="Times New Roman" w:eastAsia="Calibri" w:hAnsi="Times New Roman" w:cs="Times New Roman"/>
          <w:kern w:val="20"/>
          <w:sz w:val="20"/>
          <w:szCs w:val="20"/>
        </w:rPr>
      </w:pPr>
      <w:r w:rsidRPr="00B957B7">
        <w:rPr>
          <w:noProof/>
          <w:lang w:eastAsia="ru-RU"/>
        </w:rPr>
        <w:lastRenderedPageBreak/>
        <w:drawing>
          <wp:inline distT="0" distB="0" distL="0" distR="0" wp14:anchorId="0A817CCE" wp14:editId="7E73E697">
            <wp:extent cx="5703129" cy="2832597"/>
            <wp:effectExtent l="0" t="0" r="0" b="0"/>
            <wp:docPr id="1974618398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0975C6EE-B72A-6697-8B25-8BF8C206693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4736388C" w14:textId="409D031F" w:rsidR="00A56CAA" w:rsidRPr="00B957B7" w:rsidRDefault="00A56CAA" w:rsidP="00A56CA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0"/>
          <w:sz w:val="24"/>
          <w:szCs w:val="24"/>
        </w:rPr>
      </w:pP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Рисунок </w:t>
      </w:r>
      <w:r w:rsidR="00B83D3C" w:rsidRPr="00B957B7">
        <w:rPr>
          <w:rFonts w:ascii="Times New Roman" w:eastAsia="Calibri" w:hAnsi="Times New Roman" w:cs="Times New Roman"/>
          <w:kern w:val="20"/>
          <w:sz w:val="24"/>
          <w:szCs w:val="24"/>
        </w:rPr>
        <w:t>1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. Темпы роста валового производства продукции сельского хозяйства к 2018 году</w:t>
      </w:r>
    </w:p>
    <w:p w14:paraId="13B22C22" w14:textId="77777777" w:rsidR="00613DD1" w:rsidRPr="00B957B7" w:rsidRDefault="00613DD1" w:rsidP="00613DD1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0"/>
          <w:sz w:val="24"/>
          <w:szCs w:val="24"/>
        </w:rPr>
      </w:pP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Данные изменения являются результатом сложного взаимодействия множества факторов, одним из которых является государственная политика, реализуемая в рамках национальных проектов, которые включают в себя мероприятия, направленные на поддержку и развитие агропромышленного комплекса.</w:t>
      </w:r>
    </w:p>
    <w:p w14:paraId="43B49A66" w14:textId="2DFF7BA7" w:rsidR="00887948" w:rsidRPr="00B957B7" w:rsidRDefault="00887948" w:rsidP="00887948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0"/>
          <w:sz w:val="24"/>
          <w:szCs w:val="24"/>
        </w:rPr>
      </w:pP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Среди наиболее значимых можно выделить: национальный проект «Малое и среднее предпринимательство и поддержка индивидуальной предпринимательской инициативы» (с акцентом на поддержку фермеров и малых хозяйств). Государственная программа «Комплексное развитие сельских территорий», а также другие важные направления господдержки. Мероприятия, реализуемые в рамках национальных проектов, направлены на создание благоприятных условий </w:t>
      </w:r>
      <w:r w:rsidR="002668C1">
        <w:rPr>
          <w:rFonts w:ascii="Times New Roman" w:eastAsia="Calibri" w:hAnsi="Times New Roman" w:cs="Times New Roman"/>
          <w:kern w:val="20"/>
          <w:sz w:val="24"/>
          <w:szCs w:val="24"/>
        </w:rPr>
        <w:t>для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развития сельского хозяйства, повышение его эффективности и конкурентоспособности</w:t>
      </w:r>
      <w:r w:rsidR="00512141"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[</w: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begin"/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instrText xml:space="preserve"> REF _Ref229772104 \r \h </w:instrText>
      </w:r>
      <w:r w:rsidR="00B83D3C" w:rsidRPr="00B957B7">
        <w:rPr>
          <w:rFonts w:ascii="Times New Roman" w:eastAsia="Calibri" w:hAnsi="Times New Roman" w:cs="Times New Roman"/>
          <w:kern w:val="20"/>
          <w:sz w:val="24"/>
          <w:szCs w:val="24"/>
        </w:rPr>
        <w:instrText xml:space="preserve"> \* MERGEFORMAT </w:instrTex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separate"/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t>5</w: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end"/>
      </w:r>
      <w:r w:rsidR="00512141" w:rsidRPr="00B957B7">
        <w:rPr>
          <w:rFonts w:ascii="Times New Roman" w:eastAsia="Calibri" w:hAnsi="Times New Roman" w:cs="Times New Roman"/>
          <w:kern w:val="20"/>
          <w:sz w:val="24"/>
          <w:szCs w:val="24"/>
        </w:rPr>
        <w:t>]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.</w:t>
      </w:r>
    </w:p>
    <w:p w14:paraId="3E80A0A3" w14:textId="743C4FC9" w:rsidR="002668C1" w:rsidRDefault="00E80D7D" w:rsidP="00E80D7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0"/>
          <w:sz w:val="24"/>
          <w:szCs w:val="24"/>
        </w:rPr>
      </w:pP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В структуре производства сельскохозяйственной продукции важное место занимает распределение объемов производства между различными категориями хозяйств. Понимание структуры производства по категориям хозяйств необходимо для эффективного планирования, прогнозирования и разработки мер по повышению конкурентоспособности сельского </w:t>
      </w:r>
      <w:proofErr w:type="gramStart"/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хозяйства</w:t>
      </w:r>
      <w:r w:rsidR="00613DD1">
        <w:rPr>
          <w:rFonts w:ascii="Times New Roman" w:eastAsia="Calibri" w:hAnsi="Times New Roman" w:cs="Times New Roman"/>
          <w:kern w:val="20"/>
          <w:sz w:val="24"/>
          <w:szCs w:val="24"/>
        </w:rPr>
        <w:t>.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.</w:t>
      </w:r>
      <w:proofErr w:type="gramEnd"/>
      <w:r w:rsidR="002668C1" w:rsidRPr="002668C1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</w:t>
      </w:r>
    </w:p>
    <w:p w14:paraId="26636B84" w14:textId="28ED09CA" w:rsidR="002668C1" w:rsidRDefault="002668C1" w:rsidP="00E80D7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0"/>
          <w:sz w:val="24"/>
          <w:szCs w:val="24"/>
        </w:rPr>
      </w:pP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За рассматриваемый период наблюдается значительное изменение в структуре производства между категориями хозяйств. Рост доли сельскохозяйственных организаций и КФХ наблюдается в общем объеме сельскохозяйственной продукции. Доля хозяйств населения демонстрирует тенденцию к снижению. Доля сельскохозяйственных организаций в период с 2018 по 2020 год в Оренбургской области увеличилась с 2018 по 2020 </w:t>
      </w:r>
      <w:proofErr w:type="spellStart"/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гг</w:t>
      </w:r>
      <w:proofErr w:type="spellEnd"/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, затем в 2021 году наблюдается небольшое снижение доли ( 35,2%), в 2023 году доля снова снизилась до 33,6%. В целом данн</w:t>
      </w:r>
      <w:r w:rsidR="00613DD1">
        <w:rPr>
          <w:rFonts w:ascii="Times New Roman" w:eastAsia="Calibri" w:hAnsi="Times New Roman" w:cs="Times New Roman"/>
          <w:kern w:val="20"/>
          <w:sz w:val="24"/>
          <w:szCs w:val="24"/>
        </w:rPr>
        <w:t>ая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категория хозяйств стабильно высокая.</w:t>
      </w:r>
    </w:p>
    <w:p w14:paraId="0294144C" w14:textId="4849FD49" w:rsidR="00E80D7D" w:rsidRPr="00B957B7" w:rsidRDefault="002668C1" w:rsidP="00E80D7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0"/>
          <w:sz w:val="24"/>
          <w:szCs w:val="24"/>
        </w:rPr>
      </w:pP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Доля хозяйств населения снизилась с 51,4% в 2018 году до 38,9% в 2023 году. К началу периода хозяйства населения была самая крупная категория, но к концу периода – сократилась</w:t>
      </w:r>
      <w:r w:rsidR="00613DD1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(рис.2)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. Последовательное уменьшение доли говорит о снижении роли частных подсобных хозяйств в сельскохозяйственном производстве области.</w:t>
      </w:r>
    </w:p>
    <w:p w14:paraId="05DB67E7" w14:textId="77777777" w:rsidR="00E80D7D" w:rsidRPr="00B957B7" w:rsidRDefault="002C4CD1" w:rsidP="00044DBC">
      <w:pPr>
        <w:spacing w:after="0" w:line="240" w:lineRule="auto"/>
        <w:jc w:val="center"/>
        <w:rPr>
          <w:rFonts w:ascii="Times New Roman" w:eastAsia="Calibri" w:hAnsi="Times New Roman" w:cs="Times New Roman"/>
          <w:kern w:val="20"/>
          <w:sz w:val="20"/>
          <w:szCs w:val="20"/>
        </w:rPr>
      </w:pPr>
      <w:r w:rsidRPr="00B957B7">
        <w:rPr>
          <w:noProof/>
          <w:lang w:eastAsia="ru-RU"/>
        </w:rPr>
        <w:lastRenderedPageBreak/>
        <w:drawing>
          <wp:inline distT="0" distB="0" distL="0" distR="0" wp14:anchorId="4E5C0E66" wp14:editId="6E8ECB41">
            <wp:extent cx="5328948" cy="2313830"/>
            <wp:effectExtent l="0" t="0" r="0" b="0"/>
            <wp:docPr id="1186734036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4A5786E6-77F1-DFED-3024-B2AB830BF77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4D2DB68D" w14:textId="7D4A3256" w:rsidR="002C4CD1" w:rsidRPr="00B957B7" w:rsidRDefault="002C4CD1" w:rsidP="002C4CD1">
      <w:pPr>
        <w:spacing w:after="0" w:line="240" w:lineRule="auto"/>
        <w:jc w:val="center"/>
        <w:rPr>
          <w:rFonts w:ascii="Times New Roman" w:eastAsia="Calibri" w:hAnsi="Times New Roman" w:cs="Times New Roman"/>
          <w:kern w:val="20"/>
          <w:sz w:val="24"/>
          <w:szCs w:val="24"/>
        </w:rPr>
      </w:pP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Рисунок </w:t>
      </w:r>
      <w:r w:rsidR="00AA6345" w:rsidRPr="00B957B7">
        <w:rPr>
          <w:rFonts w:ascii="Times New Roman" w:eastAsia="Calibri" w:hAnsi="Times New Roman" w:cs="Times New Roman"/>
          <w:kern w:val="20"/>
          <w:sz w:val="24"/>
          <w:szCs w:val="24"/>
        </w:rPr>
        <w:t>2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. Структура продукции сельского хозяйства по категориям хозяйств </w:t>
      </w:r>
    </w:p>
    <w:p w14:paraId="6DC12171" w14:textId="77777777" w:rsidR="00A56CAA" w:rsidRPr="00B957B7" w:rsidRDefault="002C4CD1" w:rsidP="002C4CD1">
      <w:pPr>
        <w:spacing w:after="0" w:line="240" w:lineRule="auto"/>
        <w:jc w:val="center"/>
        <w:rPr>
          <w:rFonts w:ascii="Times New Roman" w:eastAsia="Calibri" w:hAnsi="Times New Roman" w:cs="Times New Roman"/>
          <w:kern w:val="20"/>
          <w:sz w:val="24"/>
          <w:szCs w:val="24"/>
        </w:rPr>
      </w:pP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(в фактически действовавших ценах; в процентах к итогу) Оренбургской области</w:t>
      </w:r>
    </w:p>
    <w:p w14:paraId="252CE1FD" w14:textId="77777777" w:rsidR="00A56CAA" w:rsidRPr="00B957B7" w:rsidRDefault="00A56CAA" w:rsidP="00FA3CA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0"/>
          <w:sz w:val="24"/>
          <w:szCs w:val="24"/>
        </w:rPr>
      </w:pPr>
    </w:p>
    <w:p w14:paraId="06E988E0" w14:textId="574C1D00" w:rsidR="00F10077" w:rsidRPr="00B957B7" w:rsidRDefault="00044DBC" w:rsidP="00B83D3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0"/>
          <w:sz w:val="20"/>
          <w:szCs w:val="20"/>
        </w:rPr>
      </w:pP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Доля КФХ увеличилась с 17,6% до 27,5% в 2023 году, это свидетельствует об укреплении позиций КФХ и их растущем вкладе в сельскохозяйственное производство. Происходит концентрация сельскохозяйственного производства в более крупных и профессиональных структурных – сельскохозяйственных организациях и КФХ. Увеличение доли сельскохозяйственных организаций и КФХ связано с государственной поддержкой этих форм хозяйствования, привлечения инвестиций, более эффективным использованием технологий и более высокой производительностью. Снижение доли хозяйств населения обусловлено миграцией населения из сельской местности, старением сельского населения, снижением заинтересованности в ведении личного подсобного хозяйства из-за трудоемкости и не всегда высокой доходностью. Развитие агробизнеса и современных технологий способствует росту крупных и средних сельскохозяйственных предприятий (сельскохозяйственные организации и КФХ). Хозяйства населения больше ориентированы на производство овощей и фруктов для личного подсобного хозяйства, а сельскохозяйственные организации – на производство зерновых и технических культур. Данные отражают тенденцию перераспределения структуры сельскохозяйственного производства Оренбургской области в сторону более крупных и профессиональных форм хозяйствования</w:t>
      </w:r>
      <w:r w:rsidR="00923717"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[</w: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begin"/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instrText xml:space="preserve"> REF _Ref229772122 \r \h </w:instrText>
      </w:r>
      <w:r w:rsidR="00B83D3C" w:rsidRPr="00B957B7">
        <w:rPr>
          <w:rFonts w:ascii="Times New Roman" w:eastAsia="Calibri" w:hAnsi="Times New Roman" w:cs="Times New Roman"/>
          <w:kern w:val="20"/>
          <w:sz w:val="24"/>
          <w:szCs w:val="24"/>
        </w:rPr>
        <w:instrText xml:space="preserve"> \* MERGEFORMAT </w:instrTex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separate"/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t>6</w: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end"/>
      </w:r>
      <w:r w:rsidR="00923717" w:rsidRPr="00B957B7">
        <w:rPr>
          <w:rFonts w:ascii="Times New Roman" w:eastAsia="Calibri" w:hAnsi="Times New Roman" w:cs="Times New Roman"/>
          <w:kern w:val="20"/>
          <w:sz w:val="24"/>
          <w:szCs w:val="24"/>
        </w:rPr>
        <w:t>]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.</w:t>
      </w:r>
      <w:r w:rsidR="00B83D3C"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</w:t>
      </w:r>
    </w:p>
    <w:p w14:paraId="4834B59E" w14:textId="16E3E2F1" w:rsidR="00906AA3" w:rsidRPr="00B957B7" w:rsidRDefault="00906AA3" w:rsidP="00906AA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0"/>
          <w:sz w:val="24"/>
          <w:szCs w:val="24"/>
        </w:rPr>
      </w:pP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Зерновые и зернобобовые культуры, а также технические культуры доминируют в структуре производства продукции растениеводства. Технические культуры показывают пик производства в 2021 году, а затем наблюдается тенденция к снижению урожайности после 2021 года. Наибольший урожай картофеля был собран в 2021 году, в остальные годы производство оставалось относительно стабильным.</w: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Устойчивый рост производства скота и птицы с 47,2 в 2019 году до 52,5 в 2022 и 2023 гг., также за этот период снижается производство молока с 43,2% в 2019 году до 37,4% в 2022 и 2023 гг.  Стабильность наблюдается в производстве яиц и шерсти.</w:t>
      </w:r>
    </w:p>
    <w:p w14:paraId="292849BD" w14:textId="4364A779" w:rsidR="00E52A8F" w:rsidRPr="00B957B7" w:rsidRDefault="00E52A8F" w:rsidP="00E52A8F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0"/>
          <w:sz w:val="24"/>
          <w:szCs w:val="24"/>
        </w:rPr>
      </w:pP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Комплексная задача, требующая развития сельского хозяйства, пищевой промышленности и логистики – это самообеспечение продуктами питания региона. Способность региона самостоятельно обеспечивать население основными продуктами питания собственного производства, минимизируя зависимость от поставок из других регионов или стран снижает риски, связанные с колебаниями мировых цен, политической нестабильностью и другими факторами, которые могут нарушить поставки продуктов, поддерживает местное сельское хозяйство, создает рабочие места, стимулирует развитие смежных отраслей и увеличивает налоговые поступления в региональный бюджет, обеспечивает доступ к свежим и качественным продуктам, что способствует снижению заболеваемости. Оренбургская область обладает значительным аграрным потенциалом. В регионе развито как растениеводство, так и животноводств</w:t>
      </w:r>
      <w:r w:rsidR="002668C1">
        <w:rPr>
          <w:rFonts w:ascii="Times New Roman" w:eastAsia="Calibri" w:hAnsi="Times New Roman" w:cs="Times New Roman"/>
          <w:kern w:val="20"/>
          <w:sz w:val="24"/>
          <w:szCs w:val="24"/>
        </w:rPr>
        <w:t>о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, являясь крупным производителем зерна, подсолнечника, мяса и молока. Несмотря на это, регион не по все</w:t>
      </w:r>
      <w:r w:rsidR="002668C1">
        <w:rPr>
          <w:rFonts w:ascii="Times New Roman" w:eastAsia="Calibri" w:hAnsi="Times New Roman" w:cs="Times New Roman"/>
          <w:kern w:val="20"/>
          <w:sz w:val="24"/>
          <w:szCs w:val="24"/>
        </w:rPr>
        <w:t>м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видам продукции 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lastRenderedPageBreak/>
        <w:t>достигает 100% самообеспечения (рис.</w:t>
      </w:r>
      <w:r w:rsidR="00D11074" w:rsidRPr="00B957B7">
        <w:rPr>
          <w:rFonts w:ascii="Times New Roman" w:eastAsia="Calibri" w:hAnsi="Times New Roman" w:cs="Times New Roman"/>
          <w:kern w:val="20"/>
          <w:sz w:val="24"/>
          <w:szCs w:val="24"/>
        </w:rPr>
        <w:t>3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). Зависимость от импорта сохраняется, особенно по некоторым видам фруктов, овощей в межсезонье, а также по некоторым видам переработанной продукции</w:t>
      </w:r>
      <w:r w:rsidR="00923717"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 [</w: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begin"/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instrText xml:space="preserve"> REF _Ref229772142 \r \h </w:instrText>
      </w:r>
      <w:r w:rsidR="00B83D3C" w:rsidRPr="00B957B7">
        <w:rPr>
          <w:rFonts w:ascii="Times New Roman" w:eastAsia="Calibri" w:hAnsi="Times New Roman" w:cs="Times New Roman"/>
          <w:kern w:val="20"/>
          <w:sz w:val="24"/>
          <w:szCs w:val="24"/>
        </w:rPr>
        <w:instrText xml:space="preserve"> \* MERGEFORMAT </w:instrTex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separate"/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t>7</w: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end"/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, </w: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begin"/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instrText xml:space="preserve"> REF _Ref229772185 \r \h </w:instrText>
      </w:r>
      <w:r w:rsidR="00B83D3C" w:rsidRPr="00B957B7">
        <w:rPr>
          <w:rFonts w:ascii="Times New Roman" w:eastAsia="Calibri" w:hAnsi="Times New Roman" w:cs="Times New Roman"/>
          <w:kern w:val="20"/>
          <w:sz w:val="24"/>
          <w:szCs w:val="24"/>
        </w:rPr>
        <w:instrText xml:space="preserve"> \* MERGEFORMAT </w:instrTex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separate"/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t>8</w:t>
      </w:r>
      <w:r w:rsidR="00110E1F" w:rsidRPr="00B957B7">
        <w:rPr>
          <w:rFonts w:ascii="Times New Roman" w:eastAsia="Calibri" w:hAnsi="Times New Roman" w:cs="Times New Roman"/>
          <w:kern w:val="20"/>
          <w:sz w:val="24"/>
          <w:szCs w:val="24"/>
        </w:rPr>
        <w:fldChar w:fldCharType="end"/>
      </w:r>
      <w:r w:rsidR="00923717" w:rsidRPr="00B957B7">
        <w:rPr>
          <w:rFonts w:ascii="Times New Roman" w:eastAsia="Calibri" w:hAnsi="Times New Roman" w:cs="Times New Roman"/>
          <w:kern w:val="20"/>
          <w:sz w:val="24"/>
          <w:szCs w:val="24"/>
        </w:rPr>
        <w:t>]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.</w:t>
      </w:r>
    </w:p>
    <w:p w14:paraId="17CD9396" w14:textId="77777777" w:rsidR="00F10077" w:rsidRPr="00B957B7" w:rsidRDefault="00E52A8F" w:rsidP="00E52A8F">
      <w:pPr>
        <w:spacing w:after="0" w:line="240" w:lineRule="auto"/>
        <w:rPr>
          <w:rFonts w:ascii="Times New Roman" w:eastAsia="Calibri" w:hAnsi="Times New Roman" w:cs="Times New Roman"/>
          <w:kern w:val="20"/>
          <w:sz w:val="20"/>
          <w:szCs w:val="20"/>
        </w:rPr>
      </w:pPr>
      <w:r w:rsidRPr="00B957B7">
        <w:rPr>
          <w:noProof/>
          <w:lang w:eastAsia="ru-RU"/>
        </w:rPr>
        <w:drawing>
          <wp:inline distT="0" distB="0" distL="0" distR="0" wp14:anchorId="54B8F333" wp14:editId="0DF8111B">
            <wp:extent cx="6155141" cy="2922270"/>
            <wp:effectExtent l="0" t="0" r="0" b="0"/>
            <wp:docPr id="35155425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6D6F3F09-BF64-C635-CD2C-F318A2C7F5B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44A390D9" w14:textId="7841E4CF" w:rsidR="00E52A8F" w:rsidRPr="00B957B7" w:rsidRDefault="00E52A8F" w:rsidP="00E52A8F">
      <w:pPr>
        <w:spacing w:after="0" w:line="240" w:lineRule="auto"/>
        <w:jc w:val="center"/>
        <w:rPr>
          <w:rFonts w:ascii="Times New Roman" w:eastAsia="Calibri" w:hAnsi="Times New Roman" w:cs="Times New Roman"/>
          <w:kern w:val="20"/>
          <w:sz w:val="24"/>
          <w:szCs w:val="24"/>
        </w:rPr>
      </w:pP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 xml:space="preserve">Рисунок </w:t>
      </w:r>
      <w:r w:rsidR="00D11074" w:rsidRPr="00B957B7">
        <w:rPr>
          <w:rFonts w:ascii="Times New Roman" w:eastAsia="Calibri" w:hAnsi="Times New Roman" w:cs="Times New Roman"/>
          <w:kern w:val="20"/>
          <w:sz w:val="24"/>
          <w:szCs w:val="24"/>
        </w:rPr>
        <w:t>3</w:t>
      </w: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. Уровень самообеспечения основными продуктами питания в Оренбургской области, %)</w:t>
      </w:r>
    </w:p>
    <w:p w14:paraId="51F8A6E1" w14:textId="77777777" w:rsidR="00F10077" w:rsidRPr="00B957B7" w:rsidRDefault="00F10077" w:rsidP="00FA3CA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0"/>
          <w:sz w:val="24"/>
          <w:szCs w:val="24"/>
        </w:rPr>
      </w:pPr>
    </w:p>
    <w:p w14:paraId="2CC3A94B" w14:textId="289D5491" w:rsidR="002E1784" w:rsidRPr="00B957B7" w:rsidRDefault="0063230C" w:rsidP="00D1107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B957B7">
        <w:rPr>
          <w:rFonts w:ascii="Times New Roman" w:eastAsia="Calibri" w:hAnsi="Times New Roman" w:cs="Times New Roman"/>
          <w:kern w:val="20"/>
          <w:sz w:val="24"/>
          <w:szCs w:val="24"/>
        </w:rPr>
        <w:t>Оренбургская область в целом демонстрирует хороший уровень самообеспечения основными продуктами питания, особенно по мясу, молоку, яйцам, овощами и бахчевым культурами. Наиболее проблемной зоной является обеспечение фруктами и ягодами, где необходимы меры по развитию местного производства для снижения зависимости от импорта или поставок из других регионов. Несмотря на положительную динамику в производстве картофеля, необходимо продолжать работу по увеличению объемов производства для достижения полного самообеспечения. Необходимо продолжать поддерживать и развивать существующее производство по категориям, где уже достигнут высокий уровень самообеспечения, чтобы сохранить текущие позиции и наращивать объемы производства.</w:t>
      </w:r>
    </w:p>
    <w:p w14:paraId="3BFF5370" w14:textId="77777777" w:rsidR="00AA6345" w:rsidRPr="00B957B7" w:rsidRDefault="00AA6345" w:rsidP="00FA3CA3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69426FDF" w14:textId="77777777" w:rsidR="002E1784" w:rsidRPr="00B957B7" w:rsidRDefault="002E1784" w:rsidP="009237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B957B7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русском языке</w:t>
      </w:r>
    </w:p>
    <w:p w14:paraId="62ED3DAF" w14:textId="77777777" w:rsidR="00110E1F" w:rsidRPr="00B957B7" w:rsidRDefault="00110E1F" w:rsidP="00110E1F">
      <w:pPr>
        <w:pStyle w:val="ac"/>
        <w:numPr>
          <w:ilvl w:val="0"/>
          <w:numId w:val="4"/>
        </w:numPr>
        <w:ind w:left="0" w:firstLine="709"/>
        <w:rPr>
          <w:rFonts w:ascii="Times New Roman" w:hAnsi="Times New Roman" w:cs="Times New Roman"/>
          <w:sz w:val="24"/>
          <w:szCs w:val="24"/>
        </w:rPr>
      </w:pPr>
      <w:bookmarkStart w:id="1" w:name="_Ref229772052"/>
      <w:bookmarkStart w:id="2" w:name="_Ref193443438"/>
      <w:r w:rsidRPr="00B957B7">
        <w:rPr>
          <w:rFonts w:ascii="Times New Roman" w:hAnsi="Times New Roman" w:cs="Times New Roman"/>
          <w:sz w:val="24"/>
          <w:szCs w:val="24"/>
        </w:rPr>
        <w:t xml:space="preserve">Гусева, Е. П. Методика оценки использования потенциальных возможностей производства сельскохозяйственных районов // </w:t>
      </w:r>
      <w:proofErr w:type="spellStart"/>
      <w:r w:rsidRPr="00B957B7">
        <w:rPr>
          <w:rFonts w:ascii="Times New Roman" w:hAnsi="Times New Roman" w:cs="Times New Roman"/>
          <w:sz w:val="24"/>
          <w:szCs w:val="24"/>
        </w:rPr>
        <w:t>Друкеровский</w:t>
      </w:r>
      <w:proofErr w:type="spellEnd"/>
      <w:r w:rsidRPr="00B957B7">
        <w:rPr>
          <w:rFonts w:ascii="Times New Roman" w:hAnsi="Times New Roman" w:cs="Times New Roman"/>
          <w:sz w:val="24"/>
          <w:szCs w:val="24"/>
        </w:rPr>
        <w:t xml:space="preserve"> вестник. – 2021. – № 2(40). – С. 129-142. – DOI 10.17213/2312-6469-2021-2-129-142. – EDN ZCIXKW.</w:t>
      </w:r>
      <w:bookmarkEnd w:id="1"/>
    </w:p>
    <w:p w14:paraId="42644F25" w14:textId="77777777" w:rsidR="00110E1F" w:rsidRPr="00B957B7" w:rsidRDefault="00110E1F" w:rsidP="00110E1F">
      <w:pPr>
        <w:pStyle w:val="ac"/>
        <w:numPr>
          <w:ilvl w:val="0"/>
          <w:numId w:val="4"/>
        </w:numPr>
        <w:ind w:left="0" w:firstLine="709"/>
        <w:rPr>
          <w:rFonts w:ascii="Times New Roman" w:hAnsi="Times New Roman" w:cs="Times New Roman"/>
          <w:sz w:val="24"/>
          <w:szCs w:val="24"/>
        </w:rPr>
      </w:pPr>
      <w:bookmarkStart w:id="3" w:name="_Ref229772089"/>
      <w:r w:rsidRPr="00B957B7">
        <w:rPr>
          <w:rFonts w:ascii="Times New Roman" w:hAnsi="Times New Roman" w:cs="Times New Roman"/>
          <w:sz w:val="24"/>
          <w:szCs w:val="24"/>
        </w:rPr>
        <w:t>Жиляков, Д. И., Фомин, О. С., Соловьева, Т. Н. Обеспечение продовольственной безопасности Российской Федерации на основе развития АПК // Вестник Курской государственной сельскохозяйственной академии. – 2022. – № 9. – С. 153-159. – EDN IJKCWZ.</w:t>
      </w:r>
      <w:bookmarkEnd w:id="3"/>
    </w:p>
    <w:p w14:paraId="1D3D1FDA" w14:textId="77777777" w:rsidR="00110E1F" w:rsidRPr="00B957B7" w:rsidRDefault="00110E1F" w:rsidP="00110E1F">
      <w:pPr>
        <w:pStyle w:val="ac"/>
        <w:numPr>
          <w:ilvl w:val="0"/>
          <w:numId w:val="4"/>
        </w:numPr>
        <w:ind w:left="0" w:firstLine="709"/>
        <w:rPr>
          <w:rFonts w:ascii="Times New Roman" w:hAnsi="Times New Roman" w:cs="Times New Roman"/>
          <w:sz w:val="24"/>
          <w:szCs w:val="24"/>
        </w:rPr>
      </w:pPr>
      <w:bookmarkStart w:id="4" w:name="_Ref229772142"/>
      <w:proofErr w:type="spellStart"/>
      <w:r w:rsidRPr="00B957B7">
        <w:rPr>
          <w:rFonts w:ascii="Times New Roman" w:hAnsi="Times New Roman" w:cs="Times New Roman"/>
          <w:sz w:val="24"/>
          <w:szCs w:val="24"/>
        </w:rPr>
        <w:t>Закшевский</w:t>
      </w:r>
      <w:proofErr w:type="spellEnd"/>
      <w:r w:rsidRPr="00B957B7">
        <w:rPr>
          <w:rFonts w:ascii="Times New Roman" w:hAnsi="Times New Roman" w:cs="Times New Roman"/>
          <w:sz w:val="24"/>
          <w:szCs w:val="24"/>
        </w:rPr>
        <w:t>, В. Г. и др. Продовольственная независимость России: современное состояние, риски безопасности, перспективные тренды //Продовольственная политика и безопасность. – 2023. – Т. 10. – №. 1. – С. 9.</w:t>
      </w:r>
      <w:bookmarkEnd w:id="4"/>
    </w:p>
    <w:p w14:paraId="4CFBA6C4" w14:textId="77777777" w:rsidR="00110E1F" w:rsidRPr="00B957B7" w:rsidRDefault="00110E1F" w:rsidP="00110E1F">
      <w:pPr>
        <w:pStyle w:val="ac"/>
        <w:numPr>
          <w:ilvl w:val="0"/>
          <w:numId w:val="4"/>
        </w:numPr>
        <w:ind w:left="0" w:firstLine="709"/>
        <w:rPr>
          <w:rFonts w:ascii="Times New Roman" w:hAnsi="Times New Roman" w:cs="Times New Roman"/>
          <w:sz w:val="24"/>
          <w:szCs w:val="24"/>
        </w:rPr>
      </w:pPr>
      <w:bookmarkStart w:id="5" w:name="_Ref193454922"/>
      <w:r w:rsidRPr="00B957B7">
        <w:rPr>
          <w:rFonts w:ascii="Times New Roman" w:hAnsi="Times New Roman" w:cs="Times New Roman"/>
          <w:sz w:val="24"/>
          <w:szCs w:val="24"/>
        </w:rPr>
        <w:t>Семин, А. Н. Организационно-экономические механизмы адаптации сельского населения в условиях перехода АПК к динамичному развитию / А. Н. Семин // Экономика сельского хозяйства России. – 2020. – № 8. – С. 2-10. – DOI 10.32651/208-2. – EDN LLCSLN.</w:t>
      </w:r>
      <w:bookmarkEnd w:id="5"/>
    </w:p>
    <w:p w14:paraId="6D398C5C" w14:textId="77777777" w:rsidR="00110E1F" w:rsidRPr="00B957B7" w:rsidRDefault="00110E1F" w:rsidP="00110E1F">
      <w:pPr>
        <w:pStyle w:val="ac"/>
        <w:numPr>
          <w:ilvl w:val="0"/>
          <w:numId w:val="4"/>
        </w:numPr>
        <w:ind w:left="0" w:firstLine="709"/>
        <w:rPr>
          <w:rFonts w:ascii="Times New Roman" w:hAnsi="Times New Roman" w:cs="Times New Roman"/>
          <w:sz w:val="24"/>
          <w:szCs w:val="24"/>
        </w:rPr>
      </w:pPr>
      <w:bookmarkStart w:id="6" w:name="_Ref229772122"/>
      <w:bookmarkEnd w:id="2"/>
      <w:r w:rsidRPr="00B957B7">
        <w:rPr>
          <w:rFonts w:ascii="Times New Roman" w:hAnsi="Times New Roman" w:cs="Times New Roman"/>
          <w:sz w:val="24"/>
          <w:szCs w:val="24"/>
        </w:rPr>
        <w:t>Суслов, С. А. Оценка современных достижений агропроизводства в контексте исторических рекордов / С. А. Суслов, И. Н. Норенков, Е. В. Скрипкина // Вестник НГИЭИ. – 2024. – № 12(163). – С. 101-112. – DOI 10.24412/2227-9407-2024-12-101-112. – EDN LGXAWI.</w:t>
      </w:r>
      <w:bookmarkEnd w:id="6"/>
    </w:p>
    <w:p w14:paraId="53CA997C" w14:textId="77777777" w:rsidR="00110E1F" w:rsidRPr="00B957B7" w:rsidRDefault="00110E1F" w:rsidP="00110E1F">
      <w:pPr>
        <w:pStyle w:val="ac"/>
        <w:numPr>
          <w:ilvl w:val="0"/>
          <w:numId w:val="4"/>
        </w:numPr>
        <w:ind w:left="0" w:firstLine="709"/>
        <w:rPr>
          <w:rFonts w:ascii="Times New Roman" w:hAnsi="Times New Roman" w:cs="Times New Roman"/>
          <w:sz w:val="24"/>
          <w:szCs w:val="24"/>
        </w:rPr>
      </w:pPr>
      <w:bookmarkStart w:id="7" w:name="_Ref229772104"/>
      <w:proofErr w:type="spellStart"/>
      <w:r w:rsidRPr="00B957B7">
        <w:rPr>
          <w:rFonts w:ascii="Times New Roman" w:hAnsi="Times New Roman" w:cs="Times New Roman"/>
          <w:sz w:val="24"/>
          <w:szCs w:val="24"/>
        </w:rPr>
        <w:t>Тихутова</w:t>
      </w:r>
      <w:proofErr w:type="spellEnd"/>
      <w:r w:rsidRPr="00B957B7">
        <w:rPr>
          <w:rFonts w:ascii="Times New Roman" w:hAnsi="Times New Roman" w:cs="Times New Roman"/>
          <w:sz w:val="24"/>
          <w:szCs w:val="24"/>
        </w:rPr>
        <w:t>, А. Н. Роль национальных проектов в решении проблем социально-экономического развития страны //Международная научно-техническая конференция молодых ученых БГТУ им. ВГ Шухова, посвященная 170-летию со дня рождения. – 2023. – С. 1010.</w:t>
      </w:r>
      <w:bookmarkEnd w:id="7"/>
    </w:p>
    <w:p w14:paraId="1E6F11D3" w14:textId="77777777" w:rsidR="00110E1F" w:rsidRPr="00B957B7" w:rsidRDefault="00110E1F" w:rsidP="00110E1F">
      <w:pPr>
        <w:pStyle w:val="ac"/>
        <w:numPr>
          <w:ilvl w:val="0"/>
          <w:numId w:val="4"/>
        </w:numPr>
        <w:ind w:left="0" w:firstLine="709"/>
        <w:rPr>
          <w:rFonts w:ascii="Times New Roman" w:hAnsi="Times New Roman" w:cs="Times New Roman"/>
          <w:sz w:val="24"/>
          <w:szCs w:val="24"/>
        </w:rPr>
      </w:pPr>
      <w:bookmarkStart w:id="8" w:name="_Ref229772185"/>
      <w:proofErr w:type="spellStart"/>
      <w:r w:rsidRPr="00B957B7">
        <w:rPr>
          <w:rFonts w:ascii="Times New Roman" w:hAnsi="Times New Roman" w:cs="Times New Roman"/>
          <w:sz w:val="24"/>
          <w:szCs w:val="24"/>
        </w:rPr>
        <w:lastRenderedPageBreak/>
        <w:t>Шибзухов</w:t>
      </w:r>
      <w:proofErr w:type="spellEnd"/>
      <w:r w:rsidRPr="00B957B7">
        <w:rPr>
          <w:rFonts w:ascii="Times New Roman" w:hAnsi="Times New Roman" w:cs="Times New Roman"/>
          <w:sz w:val="24"/>
          <w:szCs w:val="24"/>
        </w:rPr>
        <w:t xml:space="preserve"> З. Г. С. и др. Агропромышленный комплекс России: вопросы комплексного развития и импортозамещения в условиях санкционного давления //Индустриальная экономика. – 2023. – №. 3. – С. 76-84.</w:t>
      </w:r>
      <w:bookmarkEnd w:id="8"/>
    </w:p>
    <w:bookmarkStart w:id="9" w:name="_Ref229772064"/>
    <w:p w14:paraId="43F0031E" w14:textId="62023CA0" w:rsidR="00110E1F" w:rsidRPr="00B957B7" w:rsidRDefault="00110E1F" w:rsidP="00110E1F">
      <w:pPr>
        <w:pStyle w:val="ac"/>
        <w:numPr>
          <w:ilvl w:val="0"/>
          <w:numId w:val="4"/>
        </w:numPr>
        <w:ind w:left="0" w:firstLine="709"/>
        <w:rPr>
          <w:rFonts w:ascii="Times New Roman" w:hAnsi="Times New Roman" w:cs="Times New Roman"/>
          <w:sz w:val="24"/>
          <w:szCs w:val="24"/>
        </w:rPr>
      </w:pPr>
      <w:r w:rsidRPr="00B957B7">
        <w:fldChar w:fldCharType="begin"/>
      </w:r>
      <w:r w:rsidRPr="00B957B7">
        <w:rPr>
          <w:lang w:val="en-US"/>
        </w:rPr>
        <w:instrText>HYPERLINK "https://sciact.uiec.ru/profile/204"</w:instrText>
      </w:r>
      <w:r w:rsidRPr="00B957B7">
        <w:fldChar w:fldCharType="separate"/>
      </w:r>
      <w:r w:rsidRPr="00B957B7">
        <w:rPr>
          <w:rFonts w:ascii="Times New Roman" w:hAnsi="Times New Roman" w:cs="Times New Roman"/>
          <w:sz w:val="24"/>
          <w:szCs w:val="24"/>
          <w:lang w:val="en-US"/>
        </w:rPr>
        <w:t>Ermakova Z.</w:t>
      </w:r>
      <w:r w:rsidRPr="00B957B7">
        <w:fldChar w:fldCharType="end"/>
      </w:r>
      <w:r w:rsidRPr="00B957B7">
        <w:rPr>
          <w:rFonts w:ascii="Times New Roman" w:hAnsi="Times New Roman" w:cs="Times New Roman"/>
          <w:sz w:val="24"/>
          <w:szCs w:val="24"/>
          <w:lang w:val="en-US"/>
        </w:rPr>
        <w:t xml:space="preserve"> , </w:t>
      </w:r>
      <w:hyperlink r:id="rId11" w:history="1">
        <w:proofErr w:type="spellStart"/>
        <w:r w:rsidRPr="00B957B7">
          <w:rPr>
            <w:rFonts w:ascii="Times New Roman" w:hAnsi="Times New Roman" w:cs="Times New Roman"/>
            <w:sz w:val="24"/>
            <w:szCs w:val="24"/>
            <w:lang w:val="en-US"/>
          </w:rPr>
          <w:t>Speshilova</w:t>
        </w:r>
        <w:proofErr w:type="spellEnd"/>
        <w:r w:rsidRPr="00B957B7">
          <w:rPr>
            <w:rFonts w:ascii="Times New Roman" w:hAnsi="Times New Roman" w:cs="Times New Roman"/>
            <w:sz w:val="24"/>
            <w:szCs w:val="24"/>
            <w:lang w:val="en-US"/>
          </w:rPr>
          <w:t xml:space="preserve"> N.</w:t>
        </w:r>
      </w:hyperlink>
      <w:r w:rsidRPr="00B957B7">
        <w:rPr>
          <w:rFonts w:ascii="Times New Roman" w:hAnsi="Times New Roman" w:cs="Times New Roman"/>
          <w:sz w:val="24"/>
          <w:szCs w:val="24"/>
          <w:lang w:val="en-US"/>
        </w:rPr>
        <w:t xml:space="preserve"> , </w:t>
      </w:r>
      <w:hyperlink r:id="rId12" w:history="1">
        <w:r w:rsidRPr="00B957B7">
          <w:rPr>
            <w:rFonts w:ascii="Times New Roman" w:hAnsi="Times New Roman" w:cs="Times New Roman"/>
            <w:sz w:val="24"/>
            <w:szCs w:val="24"/>
            <w:lang w:val="en-US"/>
          </w:rPr>
          <w:t>Guseva E.</w:t>
        </w:r>
      </w:hyperlink>
      <w:r w:rsidRPr="00B957B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13" w:history="1">
        <w:r w:rsidRPr="00B957B7">
          <w:rPr>
            <w:rFonts w:ascii="Times New Roman" w:hAnsi="Times New Roman" w:cs="Times New Roman"/>
            <w:sz w:val="24"/>
            <w:szCs w:val="24"/>
            <w:lang w:val="en-US"/>
          </w:rPr>
          <w:t>Assessment of the influence of technical equipment factors on the volume of production in organizations of the regional economic system</w:t>
        </w:r>
      </w:hyperlink>
      <w:r w:rsidRPr="00B957B7">
        <w:rPr>
          <w:rFonts w:ascii="Times New Roman" w:hAnsi="Times New Roman" w:cs="Times New Roman"/>
          <w:sz w:val="24"/>
          <w:szCs w:val="24"/>
          <w:lang w:val="en-US"/>
        </w:rPr>
        <w:t xml:space="preserve"> BIO Web of Conferences. </w:t>
      </w:r>
      <w:r w:rsidRPr="00B957B7">
        <w:rPr>
          <w:rFonts w:ascii="Times New Roman" w:hAnsi="Times New Roman" w:cs="Times New Roman"/>
          <w:sz w:val="24"/>
          <w:szCs w:val="24"/>
        </w:rPr>
        <w:t xml:space="preserve">2024. </w:t>
      </w:r>
      <w:r w:rsidRPr="00B957B7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B957B7">
        <w:rPr>
          <w:rFonts w:ascii="Times New Roman" w:hAnsi="Times New Roman" w:cs="Times New Roman"/>
          <w:sz w:val="24"/>
          <w:szCs w:val="24"/>
        </w:rPr>
        <w:t xml:space="preserve">.139. 14009:1-13. </w:t>
      </w:r>
      <w:r w:rsidRPr="00B957B7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Pr="00B957B7">
        <w:rPr>
          <w:rFonts w:ascii="Times New Roman" w:hAnsi="Times New Roman" w:cs="Times New Roman"/>
          <w:sz w:val="24"/>
          <w:szCs w:val="24"/>
        </w:rPr>
        <w:t xml:space="preserve">: </w:t>
      </w:r>
      <w:hyperlink r:id="rId14" w:tgtFrame="_blank" w:history="1">
        <w:r w:rsidRPr="00B957B7">
          <w:rPr>
            <w:rStyle w:val="a4"/>
            <w:rFonts w:ascii="Times New Roman" w:hAnsi="Times New Roman" w:cs="Times New Roman"/>
            <w:sz w:val="24"/>
            <w:szCs w:val="24"/>
          </w:rPr>
          <w:t>10.1051/</w:t>
        </w:r>
        <w:proofErr w:type="spellStart"/>
        <w:r w:rsidRPr="00B957B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bioconf</w:t>
        </w:r>
        <w:proofErr w:type="spellEnd"/>
        <w:r w:rsidRPr="00B957B7">
          <w:rPr>
            <w:rStyle w:val="a4"/>
            <w:rFonts w:ascii="Times New Roman" w:hAnsi="Times New Roman" w:cs="Times New Roman"/>
            <w:sz w:val="24"/>
            <w:szCs w:val="24"/>
          </w:rPr>
          <w:t>/202413914009</w:t>
        </w:r>
      </w:hyperlink>
      <w:bookmarkEnd w:id="9"/>
    </w:p>
    <w:p w14:paraId="1CA80644" w14:textId="77777777" w:rsidR="002E1784" w:rsidRPr="00B957B7" w:rsidRDefault="002E1784" w:rsidP="00FA3CA3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75052C8D" w14:textId="16271962" w:rsidR="002E1784" w:rsidRPr="00B957B7" w:rsidRDefault="002E1784" w:rsidP="00FA3CA3">
      <w:pPr>
        <w:spacing w:after="0" w:line="240" w:lineRule="auto"/>
        <w:ind w:firstLine="540"/>
        <w:jc w:val="center"/>
        <w:rPr>
          <w:rFonts w:ascii="Times New Roman" w:eastAsia="Calibri" w:hAnsi="Times New Roman" w:cs="Times New Roman"/>
          <w:b/>
          <w:sz w:val="24"/>
        </w:rPr>
      </w:pPr>
      <w:r w:rsidRPr="00B957B7">
        <w:rPr>
          <w:rFonts w:ascii="Times New Roman" w:eastAsia="Calibri" w:hAnsi="Times New Roman" w:cs="Times New Roman"/>
          <w:b/>
          <w:sz w:val="24"/>
        </w:rPr>
        <w:t>Информация об авторе на русском языке</w:t>
      </w:r>
    </w:p>
    <w:p w14:paraId="628B12DC" w14:textId="77777777" w:rsidR="002E1784" w:rsidRPr="00B957B7" w:rsidRDefault="00923717" w:rsidP="00AC2B9F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lang w:val="en-US"/>
        </w:rPr>
      </w:pPr>
      <w:r w:rsidRPr="00B957B7">
        <w:rPr>
          <w:rFonts w:ascii="Times New Roman" w:eastAsia="Calibri" w:hAnsi="Times New Roman" w:cs="Times New Roman"/>
          <w:sz w:val="24"/>
        </w:rPr>
        <w:t>Гусева Елена Петровна</w:t>
      </w:r>
      <w:r w:rsidR="002E1784" w:rsidRPr="00B957B7">
        <w:rPr>
          <w:rFonts w:ascii="Times New Roman" w:eastAsia="Calibri" w:hAnsi="Times New Roman" w:cs="Times New Roman"/>
          <w:sz w:val="24"/>
        </w:rPr>
        <w:t xml:space="preserve"> (</w:t>
      </w:r>
      <w:r w:rsidRPr="00B957B7">
        <w:rPr>
          <w:rFonts w:ascii="Times New Roman" w:eastAsia="Calibri" w:hAnsi="Times New Roman" w:cs="Times New Roman"/>
          <w:sz w:val="24"/>
        </w:rPr>
        <w:t>Россия</w:t>
      </w:r>
      <w:r w:rsidR="002E1784" w:rsidRPr="00B957B7">
        <w:rPr>
          <w:rFonts w:ascii="Times New Roman" w:eastAsia="Calibri" w:hAnsi="Times New Roman" w:cs="Times New Roman"/>
          <w:sz w:val="24"/>
        </w:rPr>
        <w:t xml:space="preserve">, </w:t>
      </w:r>
      <w:r w:rsidRPr="00B957B7">
        <w:rPr>
          <w:rFonts w:ascii="Times New Roman" w:eastAsia="Calibri" w:hAnsi="Times New Roman" w:cs="Times New Roman"/>
          <w:sz w:val="24"/>
        </w:rPr>
        <w:t>Оренбург</w:t>
      </w:r>
      <w:r w:rsidR="002E1784" w:rsidRPr="00B957B7">
        <w:rPr>
          <w:rFonts w:ascii="Times New Roman" w:eastAsia="Calibri" w:hAnsi="Times New Roman" w:cs="Times New Roman"/>
          <w:sz w:val="24"/>
        </w:rPr>
        <w:t>) –</w:t>
      </w:r>
      <w:r w:rsidRPr="00B957B7">
        <w:rPr>
          <w:rFonts w:ascii="Times New Roman" w:eastAsia="Calibri" w:hAnsi="Times New Roman" w:cs="Times New Roman"/>
          <w:sz w:val="24"/>
        </w:rPr>
        <w:t xml:space="preserve"> научный сотрудник</w:t>
      </w:r>
      <w:r w:rsidR="002E1784" w:rsidRPr="00B957B7">
        <w:rPr>
          <w:rFonts w:ascii="Times New Roman" w:eastAsia="Calibri" w:hAnsi="Times New Roman" w:cs="Times New Roman"/>
          <w:sz w:val="24"/>
        </w:rPr>
        <w:t xml:space="preserve">, </w:t>
      </w:r>
      <w:r w:rsidRPr="00B957B7">
        <w:rPr>
          <w:rFonts w:ascii="Times New Roman" w:eastAsia="Calibri" w:hAnsi="Times New Roman" w:cs="Times New Roman"/>
          <w:sz w:val="24"/>
        </w:rPr>
        <w:t>Оренбургский филиал Федерального государственного бюджетного учреждения науки Института экономики Уральского отделения Российской академии наук</w:t>
      </w:r>
      <w:r w:rsidR="002E1784" w:rsidRPr="00B957B7">
        <w:rPr>
          <w:rFonts w:ascii="Times New Roman" w:eastAsia="Calibri" w:hAnsi="Times New Roman" w:cs="Times New Roman"/>
          <w:sz w:val="24"/>
        </w:rPr>
        <w:t xml:space="preserve"> (</w:t>
      </w:r>
      <w:r w:rsidRPr="00B957B7">
        <w:rPr>
          <w:rFonts w:ascii="Times New Roman" w:eastAsia="Calibri" w:hAnsi="Times New Roman" w:cs="Times New Roman"/>
          <w:sz w:val="24"/>
        </w:rPr>
        <w:t>460000</w:t>
      </w:r>
      <w:r w:rsidR="002E1784" w:rsidRPr="00B957B7">
        <w:rPr>
          <w:rFonts w:ascii="Times New Roman" w:eastAsia="Calibri" w:hAnsi="Times New Roman" w:cs="Times New Roman"/>
          <w:sz w:val="24"/>
        </w:rPr>
        <w:t xml:space="preserve">, </w:t>
      </w:r>
      <w:proofErr w:type="spellStart"/>
      <w:r w:rsidRPr="00B957B7">
        <w:rPr>
          <w:rFonts w:ascii="Times New Roman" w:eastAsia="Calibri" w:hAnsi="Times New Roman" w:cs="Times New Roman"/>
          <w:sz w:val="24"/>
        </w:rPr>
        <w:t>г.Оренбург</w:t>
      </w:r>
      <w:proofErr w:type="spellEnd"/>
      <w:r w:rsidRPr="00B957B7">
        <w:rPr>
          <w:rFonts w:ascii="Times New Roman" w:eastAsia="Calibri" w:hAnsi="Times New Roman" w:cs="Times New Roman"/>
          <w:sz w:val="24"/>
        </w:rPr>
        <w:t xml:space="preserve">, </w:t>
      </w:r>
      <w:proofErr w:type="spellStart"/>
      <w:r w:rsidRPr="00B957B7">
        <w:rPr>
          <w:rFonts w:ascii="Times New Roman" w:eastAsia="Calibri" w:hAnsi="Times New Roman" w:cs="Times New Roman"/>
          <w:sz w:val="24"/>
        </w:rPr>
        <w:t>ул.Пионерская</w:t>
      </w:r>
      <w:proofErr w:type="spellEnd"/>
      <w:r w:rsidRPr="00B957B7">
        <w:rPr>
          <w:rFonts w:ascii="Times New Roman" w:eastAsia="Calibri" w:hAnsi="Times New Roman" w:cs="Times New Roman"/>
          <w:sz w:val="24"/>
        </w:rPr>
        <w:t xml:space="preserve">, д.11. </w:t>
      </w:r>
      <w:hyperlink r:id="rId15" w:history="1">
        <w:r w:rsidR="00AC2B9F" w:rsidRPr="00B957B7">
          <w:rPr>
            <w:rStyle w:val="a4"/>
            <w:rFonts w:ascii="Times New Roman" w:eastAsia="Calibri" w:hAnsi="Times New Roman" w:cs="Times New Roman"/>
            <w:sz w:val="24"/>
            <w:lang w:val="en-US"/>
          </w:rPr>
          <w:t>epguseva@mail.ru</w:t>
        </w:r>
      </w:hyperlink>
      <w:r w:rsidR="00AC2B9F" w:rsidRPr="00B957B7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Pr="00B957B7">
        <w:rPr>
          <w:rFonts w:ascii="Times New Roman" w:eastAsia="Calibri" w:hAnsi="Times New Roman" w:cs="Times New Roman"/>
          <w:sz w:val="24"/>
          <w:lang w:val="en-US"/>
        </w:rPr>
        <w:t xml:space="preserve"> </w:t>
      </w:r>
      <w:r w:rsidR="002E1784" w:rsidRPr="00B957B7">
        <w:rPr>
          <w:rFonts w:ascii="Times New Roman" w:eastAsia="Calibri" w:hAnsi="Times New Roman" w:cs="Times New Roman"/>
          <w:sz w:val="24"/>
          <w:lang w:val="en-US"/>
        </w:rPr>
        <w:t>).</w:t>
      </w:r>
    </w:p>
    <w:p w14:paraId="0C5F62A8" w14:textId="77777777" w:rsidR="002E1784" w:rsidRPr="00B957B7" w:rsidRDefault="002E1784" w:rsidP="00FA3CA3">
      <w:pPr>
        <w:spacing w:after="0" w:line="240" w:lineRule="auto"/>
        <w:ind w:firstLine="540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</w:p>
    <w:p w14:paraId="42588D9D" w14:textId="77777777" w:rsidR="002E1784" w:rsidRPr="00B957B7" w:rsidRDefault="00923717" w:rsidP="00FA3CA3">
      <w:pPr>
        <w:spacing w:after="0" w:line="240" w:lineRule="auto"/>
        <w:ind w:firstLine="540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  <w:r w:rsidRPr="00B957B7">
        <w:rPr>
          <w:rFonts w:ascii="Times New Roman" w:eastAsia="Calibri" w:hAnsi="Times New Roman" w:cs="Times New Roman"/>
          <w:b/>
          <w:sz w:val="24"/>
          <w:lang w:val="en-US"/>
        </w:rPr>
        <w:t>Guseva E.P.</w:t>
      </w:r>
      <w:r w:rsidR="002E1784" w:rsidRPr="00B957B7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</w:p>
    <w:p w14:paraId="5A3D9DEB" w14:textId="35D5F815" w:rsidR="00AC2B9F" w:rsidRPr="00126688" w:rsidRDefault="003B6542" w:rsidP="00AC2B9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lang w:val="en-US" w:eastAsia="ru-RU"/>
        </w:rPr>
      </w:pPr>
      <w:r w:rsidRPr="002668C1">
        <w:rPr>
          <w:rFonts w:ascii="Times New Roman" w:eastAsia="Times New Roman" w:hAnsi="Times New Roman" w:cs="Times New Roman"/>
          <w:b/>
          <w:bCs/>
          <w:sz w:val="24"/>
          <w:lang w:val="en-US" w:eastAsia="ru-RU"/>
        </w:rPr>
        <w:t>CURRENT STATE AND TRENDS IN THE DEVELOPMENT OF AGRICULTURE IN THE ORENBURG REGION</w:t>
      </w:r>
    </w:p>
    <w:p w14:paraId="0F443721" w14:textId="77777777" w:rsidR="002668C1" w:rsidRPr="00126688" w:rsidRDefault="002668C1" w:rsidP="00AC2B9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</w:p>
    <w:p w14:paraId="08E03111" w14:textId="5EE02190" w:rsidR="002E1784" w:rsidRPr="00A43A07" w:rsidRDefault="00AC2B9F" w:rsidP="00AC2B9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lang w:val="en-US" w:eastAsia="ru-RU"/>
        </w:rPr>
      </w:pPr>
      <w:r w:rsidRPr="00B957B7">
        <w:rPr>
          <w:rFonts w:ascii="Times New Roman" w:eastAsia="Times New Roman" w:hAnsi="Times New Roman" w:cs="Times New Roman"/>
          <w:b/>
          <w:sz w:val="24"/>
          <w:lang w:val="en-US" w:eastAsia="ru-RU"/>
        </w:rPr>
        <w:t>Annotation.</w:t>
      </w:r>
      <w:r w:rsidR="00A43A07" w:rsidRPr="00A43A07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="00A43A07" w:rsidRPr="00A43A07">
        <w:rPr>
          <w:rFonts w:ascii="Times New Roman" w:eastAsia="Times New Roman" w:hAnsi="Times New Roman" w:cs="Times New Roman"/>
          <w:sz w:val="24"/>
          <w:lang w:val="en-US" w:eastAsia="ru-RU"/>
        </w:rPr>
        <w:t>The article analyzes the dynamics and structure of agricultural production in the Orenburg Region for 2019–2023. The main trends are identified: an increase in the share of peasant (farm) enterprises, a decrease in the role of household plots, and high volatility of crop production. The level of food self-sufficiency of the region is assessed, and problem areas are identified.</w:t>
      </w:r>
    </w:p>
    <w:p w14:paraId="1BC713D9" w14:textId="3E05BF8B" w:rsidR="002E1784" w:rsidRPr="00B957B7" w:rsidRDefault="00AC2B9F" w:rsidP="00AC2B9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lang w:val="en-US" w:eastAsia="ru-RU"/>
        </w:rPr>
      </w:pPr>
      <w:r w:rsidRPr="00B957B7">
        <w:rPr>
          <w:rFonts w:ascii="Times New Roman" w:eastAsia="Times New Roman" w:hAnsi="Times New Roman" w:cs="Times New Roman"/>
          <w:b/>
          <w:sz w:val="24"/>
          <w:lang w:val="en-US" w:eastAsia="ru-RU"/>
        </w:rPr>
        <w:t>Keywords:</w:t>
      </w:r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="00126688" w:rsidRPr="00126688">
        <w:rPr>
          <w:rFonts w:ascii="Times New Roman" w:eastAsia="Times New Roman" w:hAnsi="Times New Roman" w:cs="Times New Roman"/>
          <w:sz w:val="24"/>
          <w:lang w:val="en-US" w:eastAsia="ru-RU"/>
        </w:rPr>
        <w:t>agricultural sector, agricultural production, development trends, food self-sufficiency</w:t>
      </w:r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</w:p>
    <w:p w14:paraId="3F5127ED" w14:textId="77777777" w:rsidR="002E1784" w:rsidRPr="00B957B7" w:rsidRDefault="002E1784" w:rsidP="00AC2B9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14:paraId="27757C80" w14:textId="77777777" w:rsidR="002E1784" w:rsidRPr="00B957B7" w:rsidRDefault="002E1784" w:rsidP="00AC2B9F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B957B7">
        <w:rPr>
          <w:rFonts w:ascii="Times New Roman" w:eastAsia="Times New Roman" w:hAnsi="Times New Roman" w:cs="Times New Roman"/>
          <w:b/>
          <w:sz w:val="24"/>
          <w:lang w:eastAsia="ru-RU"/>
        </w:rPr>
        <w:t>Информация об авторе (-ах) на английском языке</w:t>
      </w:r>
    </w:p>
    <w:p w14:paraId="61360653" w14:textId="77777777" w:rsidR="00AC2B9F" w:rsidRPr="00B957B7" w:rsidRDefault="00AC2B9F" w:rsidP="00AC2B9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 xml:space="preserve">Guseva Elena Petrovna (Russia, Orenburg) – Researcher, Orenburg Branch of the Federal State Budgetary Institution of Science, Institute of Economics, Ural Branch of the Russian Academy of Sciences (460000, Orenburg, </w:t>
      </w:r>
      <w:proofErr w:type="spellStart"/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>Pionerskaya</w:t>
      </w:r>
      <w:proofErr w:type="spellEnd"/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 xml:space="preserve"> str., 11. </w:t>
      </w:r>
      <w:proofErr w:type="gramStart"/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>epguseva@mail.ru )</w:t>
      </w:r>
      <w:proofErr w:type="gramEnd"/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</w:p>
    <w:p w14:paraId="709D9775" w14:textId="77777777" w:rsidR="002E1784" w:rsidRPr="00B957B7" w:rsidRDefault="002E1784" w:rsidP="00FA3CA3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14:paraId="68C866A0" w14:textId="77777777" w:rsidR="002E1784" w:rsidRPr="00B957B7" w:rsidRDefault="002E1784" w:rsidP="00FA3CA3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 w:rsidRPr="00B957B7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</w:t>
      </w:r>
      <w:r w:rsidRPr="00B957B7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B957B7">
        <w:rPr>
          <w:rFonts w:ascii="Times New Roman" w:eastAsia="Times New Roman" w:hAnsi="Times New Roman" w:cs="Times New Roman"/>
          <w:b/>
          <w:sz w:val="24"/>
          <w:lang w:eastAsia="ru-RU"/>
        </w:rPr>
        <w:t>список</w:t>
      </w:r>
      <w:r w:rsidRPr="00B957B7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B957B7">
        <w:rPr>
          <w:rFonts w:ascii="Times New Roman" w:eastAsia="Times New Roman" w:hAnsi="Times New Roman" w:cs="Times New Roman"/>
          <w:b/>
          <w:sz w:val="24"/>
          <w:lang w:eastAsia="ru-RU"/>
        </w:rPr>
        <w:t>на</w:t>
      </w:r>
      <w:r w:rsidRPr="00B957B7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B957B7">
        <w:rPr>
          <w:rFonts w:ascii="Times New Roman" w:eastAsia="Times New Roman" w:hAnsi="Times New Roman" w:cs="Times New Roman"/>
          <w:b/>
          <w:sz w:val="24"/>
          <w:lang w:eastAsia="ru-RU"/>
        </w:rPr>
        <w:t>английском</w:t>
      </w:r>
      <w:r w:rsidRPr="00B957B7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B957B7">
        <w:rPr>
          <w:rFonts w:ascii="Times New Roman" w:eastAsia="Times New Roman" w:hAnsi="Times New Roman" w:cs="Times New Roman"/>
          <w:b/>
          <w:sz w:val="24"/>
          <w:lang w:eastAsia="ru-RU"/>
        </w:rPr>
        <w:t>языке</w:t>
      </w:r>
    </w:p>
    <w:p w14:paraId="6E22FA2C" w14:textId="77777777" w:rsidR="00110E1F" w:rsidRPr="00B957B7" w:rsidRDefault="00110E1F" w:rsidP="00110E1F">
      <w:pPr>
        <w:pStyle w:val="ac"/>
        <w:widowControl w:val="0"/>
        <w:numPr>
          <w:ilvl w:val="0"/>
          <w:numId w:val="6"/>
        </w:numPr>
        <w:suppressAutoHyphens/>
        <w:ind w:left="0" w:firstLine="709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 xml:space="preserve">Guseva, E. P. Methodology for assessing the use of potential production opportunities in agricultural areas // </w:t>
      </w:r>
      <w:proofErr w:type="spellStart"/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>Drukerovsky</w:t>
      </w:r>
      <w:proofErr w:type="spellEnd"/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 xml:space="preserve"> bulletin. – 2021. – № 2(40). – Pp. 129-142. – DOI 10.17213/2312-6469-2021-2-129-142. – EDN ZCIXKW.</w:t>
      </w:r>
    </w:p>
    <w:p w14:paraId="6827EEE6" w14:textId="77777777" w:rsidR="00110E1F" w:rsidRPr="00B957B7" w:rsidRDefault="00110E1F" w:rsidP="00110E1F">
      <w:pPr>
        <w:pStyle w:val="ac"/>
        <w:widowControl w:val="0"/>
        <w:numPr>
          <w:ilvl w:val="0"/>
          <w:numId w:val="6"/>
        </w:numPr>
        <w:suppressAutoHyphens/>
        <w:ind w:left="0" w:firstLine="709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>Zhilyakov, D. I., Fomin, O. S., Solovyova, T. N. Ensuring food security of the Russian Federation based on the development of agriculture // Bulletin of the Kursk State Agricultural Academy. – 2022. – No. 9. – pp. 153-159. – EDN IJKCWZ.</w:t>
      </w:r>
    </w:p>
    <w:p w14:paraId="7D2BFAFF" w14:textId="77777777" w:rsidR="00110E1F" w:rsidRPr="00B957B7" w:rsidRDefault="00110E1F" w:rsidP="00110E1F">
      <w:pPr>
        <w:pStyle w:val="ac"/>
        <w:widowControl w:val="0"/>
        <w:numPr>
          <w:ilvl w:val="0"/>
          <w:numId w:val="6"/>
        </w:numPr>
        <w:suppressAutoHyphens/>
        <w:ind w:left="0" w:firstLine="709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>Zakshevsky, V. G. and others. Russia's Food Independence: current state, security risks, promising trends //Food policy and security. – 2023. – Vol. 10. – No. 1. – p. 9.</w:t>
      </w:r>
    </w:p>
    <w:p w14:paraId="6B160388" w14:textId="05A8AA9D" w:rsidR="00AC2B9F" w:rsidRPr="00B957B7" w:rsidRDefault="00AC2B9F" w:rsidP="00110E1F">
      <w:pPr>
        <w:pStyle w:val="ac"/>
        <w:widowControl w:val="0"/>
        <w:numPr>
          <w:ilvl w:val="0"/>
          <w:numId w:val="6"/>
        </w:numPr>
        <w:suppressAutoHyphens/>
        <w:ind w:left="0" w:firstLine="709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>Semin, A. N. Organizational and economic mechanisms of adaptation of the rural population in the context of the transition of agriculture to dynamic development / A. N. Semin // The economics of agriculture in Russia. – 2020. – No. 8. – pp. 2-10. – DOI 10.32651/208-2. – EDN LLCSLN.</w:t>
      </w:r>
    </w:p>
    <w:p w14:paraId="462ACD57" w14:textId="77777777" w:rsidR="00110E1F" w:rsidRPr="00B957B7" w:rsidRDefault="00110E1F" w:rsidP="00110E1F">
      <w:pPr>
        <w:pStyle w:val="ac"/>
        <w:widowControl w:val="0"/>
        <w:numPr>
          <w:ilvl w:val="0"/>
          <w:numId w:val="6"/>
        </w:numPr>
        <w:suppressAutoHyphens/>
        <w:ind w:left="0" w:firstLine="709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 xml:space="preserve">Suslov, S. A. Assessment of modern achievements of agricultural production in the context of historical records / S. A. Suslov, I. N. Norenkov, E. V. </w:t>
      </w:r>
      <w:proofErr w:type="spellStart"/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>Skripkina</w:t>
      </w:r>
      <w:proofErr w:type="spellEnd"/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 xml:space="preserve"> // Bulletin of the NGIEI. – 2024. – № 12(163). – Pp. 101-112. – DOI 10.24412/2227-9407-2024-12-101-112. – EDN LGXAWI.</w:t>
      </w:r>
    </w:p>
    <w:p w14:paraId="3381E398" w14:textId="652EB89E" w:rsidR="00AC2B9F" w:rsidRPr="00B957B7" w:rsidRDefault="00AC2B9F" w:rsidP="00110E1F">
      <w:pPr>
        <w:pStyle w:val="ac"/>
        <w:widowControl w:val="0"/>
        <w:numPr>
          <w:ilvl w:val="0"/>
          <w:numId w:val="6"/>
        </w:numPr>
        <w:suppressAutoHyphens/>
        <w:ind w:left="0" w:firstLine="709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>Tikhutova</w:t>
      </w:r>
      <w:proofErr w:type="spellEnd"/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>, A. N. The role of national projects in solving the problems of socio-economic development of the country //International Scientific and Technical Conference of Young Scientists of BSTU named after V. G. Shukhov, dedicated to the 170th anniversary of his birth. – 2023. – p. 1010.</w:t>
      </w:r>
    </w:p>
    <w:p w14:paraId="74C69207" w14:textId="77777777" w:rsidR="00110E1F" w:rsidRPr="00B957B7" w:rsidRDefault="00AC2B9F" w:rsidP="00110E1F">
      <w:pPr>
        <w:pStyle w:val="ac"/>
        <w:widowControl w:val="0"/>
        <w:numPr>
          <w:ilvl w:val="0"/>
          <w:numId w:val="6"/>
        </w:numPr>
        <w:suppressAutoHyphens/>
        <w:ind w:left="0" w:firstLine="709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>Shibzukhov</w:t>
      </w:r>
      <w:proofErr w:type="spellEnd"/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 xml:space="preserve"> Z. G. S. et al. Russia's agro-industrial complex: issues of integrated development and import substitution under sanctions pressure //Industrial economy. - 2023. – No. 3. </w:t>
      </w:r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lastRenderedPageBreak/>
        <w:t>– pp. 76-84.</w:t>
      </w:r>
      <w:r w:rsidR="00110E1F" w:rsidRPr="00B957B7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</w:p>
    <w:p w14:paraId="60CAB36F" w14:textId="0D639CDD" w:rsidR="002E1784" w:rsidRPr="00B957B7" w:rsidRDefault="00110E1F" w:rsidP="00B818A5">
      <w:pPr>
        <w:pStyle w:val="ac"/>
        <w:widowControl w:val="0"/>
        <w:numPr>
          <w:ilvl w:val="0"/>
          <w:numId w:val="6"/>
        </w:numPr>
        <w:suppressAutoHyphens/>
        <w:ind w:left="0" w:firstLine="709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 xml:space="preserve">Ermakova Z., </w:t>
      </w:r>
      <w:proofErr w:type="spellStart"/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>Speshilova</w:t>
      </w:r>
      <w:proofErr w:type="spellEnd"/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 xml:space="preserve"> N., Guseva E. Assessment of the influence of technical equipment factors on the volume of production in organizations of the regional economic system BIO Web of Conferences. 2024. V.139. 14009:1-13. DOI: 10.1051/</w:t>
      </w:r>
      <w:proofErr w:type="spellStart"/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>bioconf</w:t>
      </w:r>
      <w:proofErr w:type="spellEnd"/>
      <w:r w:rsidRPr="00B957B7">
        <w:rPr>
          <w:rFonts w:ascii="Times New Roman" w:eastAsia="Times New Roman" w:hAnsi="Times New Roman" w:cs="Times New Roman"/>
          <w:sz w:val="24"/>
          <w:lang w:val="en-US" w:eastAsia="ru-RU"/>
        </w:rPr>
        <w:t>/202413914009</w:t>
      </w:r>
      <w:r w:rsidRPr="00B957B7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sectPr w:rsidR="002E1784" w:rsidRPr="00B957B7" w:rsidSect="00FA3CA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54D15F" w14:textId="77777777" w:rsidR="004E4BBE" w:rsidRDefault="004E4BBE" w:rsidP="00827E82">
      <w:pPr>
        <w:spacing w:after="0" w:line="240" w:lineRule="auto"/>
      </w:pPr>
      <w:r>
        <w:separator/>
      </w:r>
    </w:p>
  </w:endnote>
  <w:endnote w:type="continuationSeparator" w:id="0">
    <w:p w14:paraId="077250DE" w14:textId="77777777" w:rsidR="004E4BBE" w:rsidRDefault="004E4BBE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C9FAF0" w14:textId="77777777" w:rsidR="004E4BBE" w:rsidRDefault="004E4BBE" w:rsidP="00827E82">
      <w:pPr>
        <w:spacing w:after="0" w:line="240" w:lineRule="auto"/>
      </w:pPr>
      <w:r>
        <w:separator/>
      </w:r>
    </w:p>
  </w:footnote>
  <w:footnote w:type="continuationSeparator" w:id="0">
    <w:p w14:paraId="04E1F137" w14:textId="77777777" w:rsidR="004E4BBE" w:rsidRDefault="004E4BBE" w:rsidP="00827E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960A3"/>
    <w:multiLevelType w:val="hybridMultilevel"/>
    <w:tmpl w:val="529209C2"/>
    <w:lvl w:ilvl="0" w:tplc="BB6224E0">
      <w:start w:val="1"/>
      <w:numFmt w:val="decimal"/>
      <w:lvlText w:val="%1."/>
      <w:lvlJc w:val="left"/>
      <w:pPr>
        <w:ind w:left="1429" w:hanging="360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6937396"/>
    <w:multiLevelType w:val="hybridMultilevel"/>
    <w:tmpl w:val="15E6824A"/>
    <w:lvl w:ilvl="0" w:tplc="BB6224E0">
      <w:start w:val="1"/>
      <w:numFmt w:val="decimal"/>
      <w:lvlText w:val="%1."/>
      <w:lvlJc w:val="left"/>
      <w:pPr>
        <w:ind w:left="1429" w:hanging="360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3FC5B68"/>
    <w:multiLevelType w:val="hybridMultilevel"/>
    <w:tmpl w:val="B70CFEA2"/>
    <w:lvl w:ilvl="0" w:tplc="751E66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74D798A"/>
    <w:multiLevelType w:val="hybridMultilevel"/>
    <w:tmpl w:val="65806CAC"/>
    <w:lvl w:ilvl="0" w:tplc="5A6EC39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2CFD189A"/>
    <w:multiLevelType w:val="hybridMultilevel"/>
    <w:tmpl w:val="751E5E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807A65"/>
    <w:multiLevelType w:val="hybridMultilevel"/>
    <w:tmpl w:val="AFC6D40E"/>
    <w:lvl w:ilvl="0" w:tplc="C1DCB1FC">
      <w:start w:val="1"/>
      <w:numFmt w:val="decimal"/>
      <w:lvlText w:val="%1."/>
      <w:lvlJc w:val="left"/>
      <w:pPr>
        <w:ind w:left="1538" w:hanging="70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91365DEC">
      <w:numFmt w:val="bullet"/>
      <w:lvlText w:val="•"/>
      <w:lvlJc w:val="left"/>
      <w:pPr>
        <w:ind w:left="2372" w:hanging="708"/>
      </w:pPr>
      <w:rPr>
        <w:rFonts w:hint="default"/>
        <w:lang w:val="ru-RU" w:eastAsia="en-US" w:bidi="ar-SA"/>
      </w:rPr>
    </w:lvl>
    <w:lvl w:ilvl="2" w:tplc="C4EC4142">
      <w:numFmt w:val="bullet"/>
      <w:lvlText w:val="•"/>
      <w:lvlJc w:val="left"/>
      <w:pPr>
        <w:ind w:left="3205" w:hanging="708"/>
      </w:pPr>
      <w:rPr>
        <w:rFonts w:hint="default"/>
        <w:lang w:val="ru-RU" w:eastAsia="en-US" w:bidi="ar-SA"/>
      </w:rPr>
    </w:lvl>
    <w:lvl w:ilvl="3" w:tplc="093A3382">
      <w:numFmt w:val="bullet"/>
      <w:lvlText w:val="•"/>
      <w:lvlJc w:val="left"/>
      <w:pPr>
        <w:ind w:left="4037" w:hanging="708"/>
      </w:pPr>
      <w:rPr>
        <w:rFonts w:hint="default"/>
        <w:lang w:val="ru-RU" w:eastAsia="en-US" w:bidi="ar-SA"/>
      </w:rPr>
    </w:lvl>
    <w:lvl w:ilvl="4" w:tplc="83AA7D36">
      <w:numFmt w:val="bullet"/>
      <w:lvlText w:val="•"/>
      <w:lvlJc w:val="left"/>
      <w:pPr>
        <w:ind w:left="4870" w:hanging="708"/>
      </w:pPr>
      <w:rPr>
        <w:rFonts w:hint="default"/>
        <w:lang w:val="ru-RU" w:eastAsia="en-US" w:bidi="ar-SA"/>
      </w:rPr>
    </w:lvl>
    <w:lvl w:ilvl="5" w:tplc="EFA8C2B6">
      <w:numFmt w:val="bullet"/>
      <w:lvlText w:val="•"/>
      <w:lvlJc w:val="left"/>
      <w:pPr>
        <w:ind w:left="5703" w:hanging="708"/>
      </w:pPr>
      <w:rPr>
        <w:rFonts w:hint="default"/>
        <w:lang w:val="ru-RU" w:eastAsia="en-US" w:bidi="ar-SA"/>
      </w:rPr>
    </w:lvl>
    <w:lvl w:ilvl="6" w:tplc="57C47234">
      <w:numFmt w:val="bullet"/>
      <w:lvlText w:val="•"/>
      <w:lvlJc w:val="left"/>
      <w:pPr>
        <w:ind w:left="6535" w:hanging="708"/>
      </w:pPr>
      <w:rPr>
        <w:rFonts w:hint="default"/>
        <w:lang w:val="ru-RU" w:eastAsia="en-US" w:bidi="ar-SA"/>
      </w:rPr>
    </w:lvl>
    <w:lvl w:ilvl="7" w:tplc="AC6A0758">
      <w:numFmt w:val="bullet"/>
      <w:lvlText w:val="•"/>
      <w:lvlJc w:val="left"/>
      <w:pPr>
        <w:ind w:left="7368" w:hanging="708"/>
      </w:pPr>
      <w:rPr>
        <w:rFonts w:hint="default"/>
        <w:lang w:val="ru-RU" w:eastAsia="en-US" w:bidi="ar-SA"/>
      </w:rPr>
    </w:lvl>
    <w:lvl w:ilvl="8" w:tplc="2E365B92">
      <w:numFmt w:val="bullet"/>
      <w:lvlText w:val="•"/>
      <w:lvlJc w:val="left"/>
      <w:pPr>
        <w:ind w:left="8201" w:hanging="708"/>
      </w:pPr>
      <w:rPr>
        <w:rFonts w:hint="default"/>
        <w:lang w:val="ru-RU" w:eastAsia="en-US" w:bidi="ar-SA"/>
      </w:rPr>
    </w:lvl>
  </w:abstractNum>
  <w:num w:numId="1" w16cid:durableId="1755079991">
    <w:abstractNumId w:val="5"/>
  </w:num>
  <w:num w:numId="2" w16cid:durableId="1245795493">
    <w:abstractNumId w:val="4"/>
  </w:num>
  <w:num w:numId="3" w16cid:durableId="1658459362">
    <w:abstractNumId w:val="6"/>
  </w:num>
  <w:num w:numId="4" w16cid:durableId="591623145">
    <w:abstractNumId w:val="1"/>
  </w:num>
  <w:num w:numId="5" w16cid:durableId="1227841456">
    <w:abstractNumId w:val="3"/>
  </w:num>
  <w:num w:numId="6" w16cid:durableId="189758879">
    <w:abstractNumId w:val="0"/>
  </w:num>
  <w:num w:numId="7" w16cid:durableId="412976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7E82"/>
    <w:rsid w:val="00012C5C"/>
    <w:rsid w:val="00044DBC"/>
    <w:rsid w:val="00072BDB"/>
    <w:rsid w:val="00093BEC"/>
    <w:rsid w:val="00110E1F"/>
    <w:rsid w:val="00126688"/>
    <w:rsid w:val="001477B6"/>
    <w:rsid w:val="00183620"/>
    <w:rsid w:val="001B5953"/>
    <w:rsid w:val="001F5F4A"/>
    <w:rsid w:val="002668C1"/>
    <w:rsid w:val="002826EF"/>
    <w:rsid w:val="00287F75"/>
    <w:rsid w:val="002C4CD1"/>
    <w:rsid w:val="002D025D"/>
    <w:rsid w:val="002E1784"/>
    <w:rsid w:val="002E4B57"/>
    <w:rsid w:val="00353244"/>
    <w:rsid w:val="003B6542"/>
    <w:rsid w:val="0044325D"/>
    <w:rsid w:val="004C2B2F"/>
    <w:rsid w:val="004E4BBE"/>
    <w:rsid w:val="00512141"/>
    <w:rsid w:val="00516376"/>
    <w:rsid w:val="00590F6E"/>
    <w:rsid w:val="005C057F"/>
    <w:rsid w:val="005F5AF9"/>
    <w:rsid w:val="00613DD1"/>
    <w:rsid w:val="0063230C"/>
    <w:rsid w:val="00696957"/>
    <w:rsid w:val="006A3AA7"/>
    <w:rsid w:val="006B59E0"/>
    <w:rsid w:val="00787640"/>
    <w:rsid w:val="007A5BF8"/>
    <w:rsid w:val="007B7B06"/>
    <w:rsid w:val="007C5690"/>
    <w:rsid w:val="007D79E0"/>
    <w:rsid w:val="007E0433"/>
    <w:rsid w:val="00827E82"/>
    <w:rsid w:val="00854770"/>
    <w:rsid w:val="00861ECA"/>
    <w:rsid w:val="00887948"/>
    <w:rsid w:val="008904E5"/>
    <w:rsid w:val="008C75C1"/>
    <w:rsid w:val="00906AA3"/>
    <w:rsid w:val="00916BF7"/>
    <w:rsid w:val="00923717"/>
    <w:rsid w:val="00927F48"/>
    <w:rsid w:val="00A43A07"/>
    <w:rsid w:val="00A56CAA"/>
    <w:rsid w:val="00AA60F7"/>
    <w:rsid w:val="00AA6345"/>
    <w:rsid w:val="00AC2B9F"/>
    <w:rsid w:val="00B70063"/>
    <w:rsid w:val="00B83D3C"/>
    <w:rsid w:val="00B957B7"/>
    <w:rsid w:val="00BC155A"/>
    <w:rsid w:val="00C1238A"/>
    <w:rsid w:val="00C40843"/>
    <w:rsid w:val="00D11074"/>
    <w:rsid w:val="00D12898"/>
    <w:rsid w:val="00D47197"/>
    <w:rsid w:val="00D76CD1"/>
    <w:rsid w:val="00DC1CBA"/>
    <w:rsid w:val="00E31BBA"/>
    <w:rsid w:val="00E52A8F"/>
    <w:rsid w:val="00E80D7D"/>
    <w:rsid w:val="00E84AB1"/>
    <w:rsid w:val="00EA4672"/>
    <w:rsid w:val="00F10077"/>
    <w:rsid w:val="00FA03A7"/>
    <w:rsid w:val="00FA3CA3"/>
    <w:rsid w:val="00FB68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B8E36C"/>
  <w15:docId w15:val="{DE7CB6E6-D792-479D-8044-AFAADCE5D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customStyle="1" w:styleId="13">
    <w:name w:val="Неразрешенное упоминание1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character" w:styleId="a5">
    <w:name w:val="annotation reference"/>
    <w:basedOn w:val="a0"/>
    <w:uiPriority w:val="99"/>
    <w:semiHidden/>
    <w:unhideWhenUsed/>
    <w:rsid w:val="00FA3CA3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FA3CA3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FA3CA3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FA3CA3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FA3CA3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2D02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2D025D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1"/>
    <w:qFormat/>
    <w:rsid w:val="002D025D"/>
    <w:pPr>
      <w:spacing w:after="0" w:line="240" w:lineRule="auto"/>
      <w:ind w:left="720" w:firstLine="147"/>
      <w:contextualSpacing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935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5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4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2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2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56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https://sciact.uiec.ru/article/4567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ciact.uiec.ru/profile/213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ciact.uiec.ru/profile/205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epguseva@mail.ru" TargetMode="Externa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hyperlink" Target="https://doi.org/10.1051/bioconf/202413914009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G:\&#1088;&#1072;&#1073;&#1086;&#1090;&#1072;\2025\&#1056;&#1086;&#1083;&#1080;&#1082;&#1080;%20&#1076;&#1083;&#1103;%20&#1089;&#1090;&#1072;&#1090;&#1080;&#1089;&#1090;&#1080;&#1082;&#1080;\&#1056;&#1086;&#1083;&#1080;&#1082;%20(&#1089;&#1077;&#1083;&#1100;&#1089;&#1082;&#1086;&#1077;%20&#1093;&#1086;&#1079;&#1103;&#1081;&#1089;&#1090;&#1074;&#1086;)\&#1057;&#1077;&#1083;&#1100;&#1089;&#1082;&#1086;&#1077;%20&#1093;&#1086;&#1079;&#1103;&#1081;&#1089;&#1090;&#1074;&#1086;%20(&#1076;&#1083;&#1103;%20)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G:\&#1088;&#1072;&#1073;&#1086;&#1090;&#1072;\2025\&#1056;&#1086;&#1083;&#1080;&#1082;&#1080;%20&#1076;&#1083;&#1103;%20&#1089;&#1090;&#1072;&#1090;&#1080;&#1089;&#1090;&#1080;&#1082;&#1080;\&#1056;&#1086;&#1083;&#1080;&#1082;%20(&#1089;&#1077;&#1083;&#1100;&#1089;&#1082;&#1086;&#1077;%20&#1093;&#1086;&#1079;&#1103;&#1081;&#1089;&#1090;&#1074;&#1086;)\&#1057;&#1077;&#1083;&#1100;&#1089;&#1082;&#1086;&#1077;%20&#1093;&#1086;&#1079;&#1103;&#1081;&#1089;&#1090;&#1074;&#1086;%20(&#1076;&#1083;&#1103;%20)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G:\&#1088;&#1072;&#1073;&#1086;&#1090;&#1072;\2025\&#1056;&#1086;&#1083;&#1080;&#1082;&#1080;%20&#1076;&#1083;&#1103;%20&#1089;&#1090;&#1072;&#1090;&#1080;&#1089;&#1090;&#1080;&#1082;&#1080;\&#1056;&#1086;&#1083;&#1080;&#1082;%20(&#1089;&#1077;&#1083;&#1100;&#1089;&#1082;&#1086;&#1077;%20&#1093;&#1086;&#1079;&#1103;&#1081;&#1089;&#1090;&#1074;&#1086;)\&#1057;&#1077;&#1083;&#1100;&#1089;&#1082;&#1086;&#1077;%20&#1093;&#1086;&#1079;&#1103;&#1081;&#1089;&#1090;&#1074;&#1086;%20(&#1076;&#1083;&#1103;%20)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'валовое производство'!$C$31</c:f>
              <c:strCache>
                <c:ptCount val="1"/>
                <c:pt idx="0">
                  <c:v> РОССИЙСКАЯ  ФЕДЕРАЦИЯ</c:v>
                </c:pt>
              </c:strCache>
            </c:strRef>
          </c:tx>
          <c:spPr>
            <a:ln w="28575" cap="rnd">
              <a:solidFill>
                <a:schemeClr val="tx1"/>
              </a:solidFill>
              <a:prstDash val="dashDot"/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'валовое производство'!$D$30:$H$30</c:f>
              <c:numCache>
                <c:formatCode>General</c:formatCode>
                <c:ptCount val="5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</c:numCache>
            </c:numRef>
          </c:cat>
          <c:val>
            <c:numRef>
              <c:f>'валовое производство'!$D$31:$H$31</c:f>
              <c:numCache>
                <c:formatCode>0.0</c:formatCode>
                <c:ptCount val="5"/>
                <c:pt idx="0">
                  <c:v>108.46183716244551</c:v>
                </c:pt>
                <c:pt idx="1">
                  <c:v>120.93984392395831</c:v>
                </c:pt>
                <c:pt idx="2">
                  <c:v>143.45084311387052</c:v>
                </c:pt>
                <c:pt idx="3">
                  <c:v>165.47416309779962</c:v>
                </c:pt>
                <c:pt idx="4">
                  <c:v>158.79507994592436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D839-49A2-8029-E388146C5CD1}"/>
            </c:ext>
          </c:extLst>
        </c:ser>
        <c:ser>
          <c:idx val="2"/>
          <c:order val="1"/>
          <c:tx>
            <c:strRef>
              <c:f>'валовое производство'!$C$33</c:f>
              <c:strCache>
                <c:ptCount val="1"/>
                <c:pt idx="0">
                  <c:v>ПРИВОЛЖСКИЙ ФЕДЕРАЛЬНЫЙ ОКРУГ</c:v>
                </c:pt>
              </c:strCache>
            </c:strRef>
          </c:tx>
          <c:spPr>
            <a:ln w="28575" cap="rnd">
              <a:solidFill>
                <a:schemeClr val="accent3"/>
              </a:solidFill>
              <a:prstDash val="lgDashDotDot"/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'валовое производство'!$D$30:$H$30</c:f>
              <c:numCache>
                <c:formatCode>General</c:formatCode>
                <c:ptCount val="5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</c:numCache>
            </c:numRef>
          </c:cat>
          <c:val>
            <c:numRef>
              <c:f>'валовое производство'!$D$33:$H$33</c:f>
              <c:numCache>
                <c:formatCode>0.0</c:formatCode>
                <c:ptCount val="5"/>
                <c:pt idx="0">
                  <c:v>110.48802399932076</c:v>
                </c:pt>
                <c:pt idx="1">
                  <c:v>127.43919710069736</c:v>
                </c:pt>
                <c:pt idx="2">
                  <c:v>138.71409053978002</c:v>
                </c:pt>
                <c:pt idx="3">
                  <c:v>173.91722496275696</c:v>
                </c:pt>
                <c:pt idx="4">
                  <c:v>162.52668427663923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D839-49A2-8029-E388146C5CD1}"/>
            </c:ext>
          </c:extLst>
        </c:ser>
        <c:ser>
          <c:idx val="3"/>
          <c:order val="2"/>
          <c:tx>
            <c:strRef>
              <c:f>'валовое производство'!$C$34</c:f>
              <c:strCache>
                <c:ptCount val="1"/>
                <c:pt idx="0">
                  <c:v>Оренбургская область</c:v>
                </c:pt>
              </c:strCache>
            </c:strRef>
          </c:tx>
          <c:spPr>
            <a:ln w="28575" cap="rnd">
              <a:solidFill>
                <a:schemeClr val="tx1"/>
              </a:solidFill>
              <a:prstDash val="sysDot"/>
              <a:round/>
            </a:ln>
            <a:effectLst/>
          </c:spPr>
          <c:marker>
            <c:symbol val="none"/>
          </c:marker>
          <c:dLbls>
            <c:dLbl>
              <c:idx val="1"/>
              <c:layout>
                <c:manualLayout>
                  <c:x val="-3.4107551247351077E-2"/>
                  <c:y val="-2.935779816513760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A99E-4E3C-81E0-1B71FA15C47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'валовое производство'!$D$30:$H$30</c:f>
              <c:numCache>
                <c:formatCode>General</c:formatCode>
                <c:ptCount val="5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</c:numCache>
            </c:numRef>
          </c:cat>
          <c:val>
            <c:numRef>
              <c:f>'валовое производство'!$D$34:$H$34</c:f>
              <c:numCache>
                <c:formatCode>0.0</c:formatCode>
                <c:ptCount val="5"/>
                <c:pt idx="0">
                  <c:v>104.67236140041176</c:v>
                </c:pt>
                <c:pt idx="1">
                  <c:v>131.19010550045337</c:v>
                </c:pt>
                <c:pt idx="2">
                  <c:v>133.67836393257085</c:v>
                </c:pt>
                <c:pt idx="3">
                  <c:v>183.88170538227357</c:v>
                </c:pt>
                <c:pt idx="4">
                  <c:v>165.1534530999499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D839-49A2-8029-E388146C5CD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93280512"/>
        <c:axId val="93350912"/>
      </c:lineChart>
      <c:catAx>
        <c:axId val="932805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3350912"/>
        <c:crosses val="autoZero"/>
        <c:auto val="1"/>
        <c:lblAlgn val="ctr"/>
        <c:lblOffset val="100"/>
        <c:noMultiLvlLbl val="0"/>
      </c:catAx>
      <c:valAx>
        <c:axId val="93350912"/>
        <c:scaling>
          <c:orientation val="minMax"/>
          <c:min val="10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328051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6.4561317988018452E-2"/>
          <c:y val="0.82539493661946983"/>
          <c:w val="0.90759284473696433"/>
          <c:h val="0.14810211503831081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8.8433157059488621E-2"/>
          <c:y val="5.2214039612859454E-2"/>
          <c:w val="0.8806589227859718"/>
          <c:h val="0.73372568533897231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'структура пр-ва по ОО'!$B$11</c:f>
              <c:strCache>
                <c:ptCount val="1"/>
                <c:pt idx="0">
                  <c:v>сельскохозяйственные организации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-5400000" spcFirstLastPara="1" vertOverflow="ellipsis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bg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'структура пр-ва по ОО'!$C$10:$H$10</c:f>
              <c:numCache>
                <c:formatCode>General</c:formatCode>
                <c:ptCount val="6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  <c:pt idx="5">
                  <c:v>2023</c:v>
                </c:pt>
              </c:numCache>
            </c:numRef>
          </c:cat>
          <c:val>
            <c:numRef>
              <c:f>'структура пр-ва по ОО'!$C$11:$H$11</c:f>
              <c:numCache>
                <c:formatCode>0.0</c:formatCode>
                <c:ptCount val="6"/>
                <c:pt idx="0">
                  <c:v>31</c:v>
                </c:pt>
                <c:pt idx="1">
                  <c:v>34</c:v>
                </c:pt>
                <c:pt idx="2">
                  <c:v>36.700000000000003</c:v>
                </c:pt>
                <c:pt idx="3">
                  <c:v>35.200000000000003</c:v>
                </c:pt>
                <c:pt idx="4">
                  <c:v>36.5</c:v>
                </c:pt>
                <c:pt idx="5">
                  <c:v>33.6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00-5BA2-4F95-8B21-24405E6E6F11}"/>
            </c:ext>
          </c:extLst>
        </c:ser>
        <c:ser>
          <c:idx val="1"/>
          <c:order val="1"/>
          <c:tx>
            <c:strRef>
              <c:f>'структура пр-ва по ОО'!$B$12</c:f>
              <c:strCache>
                <c:ptCount val="1"/>
                <c:pt idx="0">
                  <c:v>хозяйства населения</c:v>
                </c:pt>
              </c:strCache>
            </c:strRef>
          </c:tx>
          <c:spPr>
            <a:solidFill>
              <a:schemeClr val="bg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-5400000" spcFirstLastPara="1" vertOverflow="ellipsis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bg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'структура пр-ва по ОО'!$C$10:$H$10</c:f>
              <c:numCache>
                <c:formatCode>General</c:formatCode>
                <c:ptCount val="6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  <c:pt idx="5">
                  <c:v>2023</c:v>
                </c:pt>
              </c:numCache>
            </c:numRef>
          </c:cat>
          <c:val>
            <c:numRef>
              <c:f>'структура пр-ва по ОО'!$C$12:$H$12</c:f>
              <c:numCache>
                <c:formatCode>0.0</c:formatCode>
                <c:ptCount val="6"/>
                <c:pt idx="0">
                  <c:v>51.4</c:v>
                </c:pt>
                <c:pt idx="1">
                  <c:v>42.7</c:v>
                </c:pt>
                <c:pt idx="2">
                  <c:v>36.200000000000003</c:v>
                </c:pt>
                <c:pt idx="3">
                  <c:v>38.9</c:v>
                </c:pt>
                <c:pt idx="4">
                  <c:v>35</c:v>
                </c:pt>
                <c:pt idx="5">
                  <c:v>38.9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01-5BA2-4F95-8B21-24405E6E6F11}"/>
            </c:ext>
          </c:extLst>
        </c:ser>
        <c:ser>
          <c:idx val="2"/>
          <c:order val="2"/>
          <c:tx>
            <c:strRef>
              <c:f>'структура пр-ва по ОО'!$B$13</c:f>
              <c:strCache>
                <c:ptCount val="1"/>
                <c:pt idx="0">
                  <c:v>крестьянские (фермерские) хозяйства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bg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'структура пр-ва по ОО'!$C$10:$H$10</c:f>
              <c:numCache>
                <c:formatCode>General</c:formatCode>
                <c:ptCount val="6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  <c:pt idx="5">
                  <c:v>2023</c:v>
                </c:pt>
              </c:numCache>
            </c:numRef>
          </c:cat>
          <c:val>
            <c:numRef>
              <c:f>'структура пр-ва по ОО'!$C$13:$H$13</c:f>
              <c:numCache>
                <c:formatCode>0.0</c:formatCode>
                <c:ptCount val="6"/>
                <c:pt idx="0">
                  <c:v>17.600000000000001</c:v>
                </c:pt>
                <c:pt idx="1">
                  <c:v>23.3</c:v>
                </c:pt>
                <c:pt idx="2">
                  <c:v>27.1</c:v>
                </c:pt>
                <c:pt idx="3">
                  <c:v>25.9</c:v>
                </c:pt>
                <c:pt idx="4">
                  <c:v>28.5</c:v>
                </c:pt>
                <c:pt idx="5">
                  <c:v>27.5</c:v>
                </c:pt>
              </c:numCache>
              <c:extLst/>
            </c:numRef>
          </c:val>
          <c:extLst>
            <c:ext xmlns:c16="http://schemas.microsoft.com/office/drawing/2014/chart" uri="{C3380CC4-5D6E-409C-BE32-E72D297353CC}">
              <c16:uniqueId val="{00000002-5BA2-4F95-8B21-24405E6E6F1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95502720"/>
        <c:axId val="95504640"/>
        <c:extLst>
          <c:ext xmlns:c15="http://schemas.microsoft.com/office/drawing/2012/chart" uri="{02D57815-91ED-43cb-92C2-25804820EDAC}">
            <c15:filteredBarSeries>
              <c15:ser>
                <c:idx val="3"/>
                <c:order val="3"/>
                <c:tx>
                  <c:strRef>
                    <c:extLst>
                      <c:ext uri="{02D57815-91ED-43cb-92C2-25804820EDAC}">
                        <c15:formulaRef>
                          <c15:sqref>'структура пр-ва по ОО'!$B$4</c15:sqref>
                        </c15:formulaRef>
                      </c:ext>
                    </c:extLst>
                    <c:strCache>
                      <c:ptCount val="1"/>
                      <c:pt idx="0">
                        <c:v>сельскохозяйственные организации</c:v>
                      </c:pt>
                    </c:strCache>
                  </c:strRef>
                </c:tx>
                <c:spPr>
                  <a:solidFill>
                    <a:schemeClr val="accent4"/>
                  </a:solidFill>
                  <a:ln>
                    <a:noFill/>
                  </a:ln>
                  <a:effectLst/>
                </c:spPr>
                <c:invertIfNegative val="0"/>
                <c:val>
                  <c:numRef>
                    <c:extLst>
                      <c:ext uri="{02D57815-91ED-43cb-92C2-25804820EDAC}">
                        <c15:formulaRef>
                          <c15:sqref>'структура пр-ва по ОО'!$C$4:$H$4</c15:sqref>
                        </c15:formulaRef>
                      </c:ext>
                    </c:extLst>
                    <c:numCache>
                      <c:formatCode>0.0</c:formatCode>
                      <c:ptCount val="6"/>
                      <c:pt idx="0">
                        <c:v>56.5</c:v>
                      </c:pt>
                      <c:pt idx="1">
                        <c:v>57.7</c:v>
                      </c:pt>
                      <c:pt idx="2">
                        <c:v>58.5</c:v>
                      </c:pt>
                      <c:pt idx="3">
                        <c:v>59.5</c:v>
                      </c:pt>
                      <c:pt idx="4">
                        <c:v>60.1</c:v>
                      </c:pt>
                      <c:pt idx="5">
                        <c:v>59.9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3-5BA2-4F95-8B21-24405E6E6F11}"/>
                  </c:ext>
                </c:extLst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'структура пр-ва по ОО'!$B$5</c15:sqref>
                        </c15:formulaRef>
                      </c:ext>
                    </c:extLst>
                    <c:strCache>
                      <c:ptCount val="1"/>
                      <c:pt idx="0">
                        <c:v>хозяйства населения</c:v>
                      </c:pt>
                    </c:strCache>
                  </c:strRef>
                </c:tx>
                <c:spPr>
                  <a:solidFill>
                    <a:schemeClr val="accent5"/>
                  </a:solidFill>
                  <a:ln>
                    <a:noFill/>
                  </a:ln>
                  <a:effectLst/>
                </c:spPr>
                <c:invertIfNegative val="0"/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'структура пр-ва по ОО'!$C$5:$H$5</c15:sqref>
                        </c15:formulaRef>
                      </c:ext>
                    </c:extLst>
                    <c:numCache>
                      <c:formatCode>0.0</c:formatCode>
                      <c:ptCount val="6"/>
                      <c:pt idx="0">
                        <c:v>31</c:v>
                      </c:pt>
                      <c:pt idx="1">
                        <c:v>28.6</c:v>
                      </c:pt>
                      <c:pt idx="2">
                        <c:v>26.6</c:v>
                      </c:pt>
                      <c:pt idx="3">
                        <c:v>25.1</c:v>
                      </c:pt>
                      <c:pt idx="4">
                        <c:v>24.1</c:v>
                      </c:pt>
                      <c:pt idx="5">
                        <c:v>25.3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4-5BA2-4F95-8B21-24405E6E6F11}"/>
                  </c:ext>
                </c:extLst>
              </c15:ser>
            </c15:filteredBarSeries>
            <c15:filteredBa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'структура пр-ва по ОО'!$B$6</c15:sqref>
                        </c15:formulaRef>
                      </c:ext>
                    </c:extLst>
                    <c:strCache>
                      <c:ptCount val="1"/>
                      <c:pt idx="0">
                        <c:v>крестьянские (фермерские) хозяйства</c:v>
                      </c:pt>
                    </c:strCache>
                  </c:strRef>
                </c:tx>
                <c:spPr>
                  <a:solidFill>
                    <a:schemeClr val="accent6"/>
                  </a:solidFill>
                  <a:ln>
                    <a:noFill/>
                  </a:ln>
                  <a:effectLst/>
                </c:spPr>
                <c:invertIfNegative val="0"/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'структура пр-ва по ОО'!$C$6:$H$6</c15:sqref>
                        </c15:formulaRef>
                      </c:ext>
                    </c:extLst>
                    <c:numCache>
                      <c:formatCode>0.0</c:formatCode>
                      <c:ptCount val="6"/>
                      <c:pt idx="0">
                        <c:v>12.5</c:v>
                      </c:pt>
                      <c:pt idx="1">
                        <c:v>13.7</c:v>
                      </c:pt>
                      <c:pt idx="2">
                        <c:v>14.9</c:v>
                      </c:pt>
                      <c:pt idx="3">
                        <c:v>15.4</c:v>
                      </c:pt>
                      <c:pt idx="4">
                        <c:v>15.8</c:v>
                      </c:pt>
                      <c:pt idx="5">
                        <c:v>14.8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5-5BA2-4F95-8B21-24405E6E6F11}"/>
                  </c:ext>
                </c:extLst>
              </c15:ser>
            </c15:filteredBarSeries>
            <c15:filteredBa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'структура пр-ва по ОО'!$B$18</c15:sqref>
                        </c15:formulaRef>
                      </c:ext>
                    </c:extLst>
                    <c:strCache>
                      <c:ptCount val="1"/>
                      <c:pt idx="0">
                        <c:v>сельскохозяйственные организации ПФО</c:v>
                      </c:pt>
                    </c:strCache>
                  </c:strRef>
                </c:tx>
                <c:spPr>
                  <a:solidFill>
                    <a:schemeClr val="accent1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'структура пр-ва по ОО'!$C$18:$H$18</c15:sqref>
                        </c15:formulaRef>
                      </c:ext>
                    </c:extLst>
                    <c:numCache>
                      <c:formatCode>0.0</c:formatCode>
                      <c:ptCount val="6"/>
                      <c:pt idx="0">
                        <c:v>50.3</c:v>
                      </c:pt>
                      <c:pt idx="1">
                        <c:v>52.4</c:v>
                      </c:pt>
                      <c:pt idx="2">
                        <c:v>53.8</c:v>
                      </c:pt>
                      <c:pt idx="3">
                        <c:v>54.2</c:v>
                      </c:pt>
                      <c:pt idx="4">
                        <c:v>55.7</c:v>
                      </c:pt>
                      <c:pt idx="5">
                        <c:v>55.3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5BA2-4F95-8B21-24405E6E6F11}"/>
                  </c:ext>
                </c:extLst>
              </c15:ser>
            </c15:filteredBarSeries>
            <c15:filteredBa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'структура пр-ва по ОО'!$B$19</c15:sqref>
                        </c15:formulaRef>
                      </c:ext>
                    </c:extLst>
                    <c:strCache>
                      <c:ptCount val="1"/>
                      <c:pt idx="0">
                        <c:v>хозяйства населения ПФО</c:v>
                      </c:pt>
                    </c:strCache>
                  </c:strRef>
                </c:tx>
                <c:spPr>
                  <a:solidFill>
                    <a:schemeClr val="accent2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'структура пр-ва по ОО'!$C$19:$H$19</c15:sqref>
                        </c15:formulaRef>
                      </c:ext>
                    </c:extLst>
                    <c:numCache>
                      <c:formatCode>0.0</c:formatCode>
                      <c:ptCount val="6"/>
                      <c:pt idx="0">
                        <c:v>37.9</c:v>
                      </c:pt>
                      <c:pt idx="1">
                        <c:v>34.700000000000003</c:v>
                      </c:pt>
                      <c:pt idx="2">
                        <c:v>30.9</c:v>
                      </c:pt>
                      <c:pt idx="3">
                        <c:v>31.1</c:v>
                      </c:pt>
                      <c:pt idx="4">
                        <c:v>28.3</c:v>
                      </c:pt>
                      <c:pt idx="5">
                        <c:v>30.2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5BA2-4F95-8B21-24405E6E6F11}"/>
                  </c:ext>
                </c:extLst>
              </c15:ser>
            </c15:filteredBarSeries>
            <c15:filteredBa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'структура пр-ва по ОО'!$B$20</c15:sqref>
                        </c15:formulaRef>
                      </c:ext>
                    </c:extLst>
                    <c:strCache>
                      <c:ptCount val="1"/>
                      <c:pt idx="0">
                        <c:v>крестьянские (фермерские) хозяйства ПФО</c:v>
                      </c:pt>
                    </c:strCache>
                  </c:strRef>
                </c:tx>
                <c:spPr>
                  <a:solidFill>
                    <a:schemeClr val="accent3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'структура пр-ва по ОО'!$C$20:$H$20</c15:sqref>
                        </c15:formulaRef>
                      </c:ext>
                    </c:extLst>
                    <c:numCache>
                      <c:formatCode>0.0</c:formatCode>
                      <c:ptCount val="6"/>
                      <c:pt idx="0">
                        <c:v>11.8</c:v>
                      </c:pt>
                      <c:pt idx="1">
                        <c:v>12.9</c:v>
                      </c:pt>
                      <c:pt idx="2">
                        <c:v>15.3</c:v>
                      </c:pt>
                      <c:pt idx="3">
                        <c:v>14.7</c:v>
                      </c:pt>
                      <c:pt idx="4">
                        <c:v>16</c:v>
                      </c:pt>
                      <c:pt idx="5">
                        <c:v>14.5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5BA2-4F95-8B21-24405E6E6F11}"/>
                  </c:ext>
                </c:extLst>
              </c15:ser>
            </c15:filteredBarSeries>
          </c:ext>
        </c:extLst>
      </c:barChart>
      <c:catAx>
        <c:axId val="9550272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5504640"/>
        <c:crosses val="autoZero"/>
        <c:auto val="1"/>
        <c:lblAlgn val="ctr"/>
        <c:lblOffset val="100"/>
        <c:noMultiLvlLbl val="0"/>
      </c:catAx>
      <c:valAx>
        <c:axId val="95504640"/>
        <c:scaling>
          <c:orientation val="minMax"/>
          <c:max val="10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550272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7.000238986451808E-2"/>
          <c:y val="0.8792198646282271"/>
          <c:w val="0.90893257145174922"/>
          <c:h val="0.10930838190680708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3.7244326629605119E-2"/>
          <c:y val="3.1509265233019564E-2"/>
          <c:w val="0.94450493632139865"/>
          <c:h val="0.77042224751959831"/>
        </c:manualLayout>
      </c:layout>
      <c:lineChart>
        <c:grouping val="standard"/>
        <c:varyColors val="0"/>
        <c:ser>
          <c:idx val="0"/>
          <c:order val="0"/>
          <c:tx>
            <c:strRef>
              <c:f>обеспеченность!$C$4</c:f>
              <c:strCache>
                <c:ptCount val="1"/>
                <c:pt idx="0">
                  <c:v>Мясо и мясопродукты</c:v>
                </c:pt>
              </c:strCache>
            </c:strRef>
          </c:tx>
          <c:spPr>
            <a:ln w="28575" cap="rnd">
              <a:solidFill>
                <a:schemeClr val="bg2">
                  <a:lumMod val="50000"/>
                </a:schemeClr>
              </a:solidFill>
              <a:prstDash val="lgDashDotDot"/>
              <a:round/>
            </a:ln>
            <a:effectLst/>
          </c:spPr>
          <c:marker>
            <c:symbol val="none"/>
          </c:marker>
          <c:dLbls>
            <c:dLbl>
              <c:idx val="0"/>
              <c:layout>
                <c:manualLayout>
                  <c:x val="-1.5442931349150672E-2"/>
                  <c:y val="3.051106025934401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12F8-4ECF-8C1C-A77ABD5431A5}"/>
                </c:ext>
              </c:extLst>
            </c:dLbl>
            <c:dLbl>
              <c:idx val="1"/>
              <c:layout>
                <c:manualLayout>
                  <c:x val="-1.8250737048996209E-2"/>
                  <c:y val="-2.288329519450801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12F8-4ECF-8C1C-A77ABD5431A5}"/>
                </c:ext>
              </c:extLst>
            </c:dLbl>
            <c:dLbl>
              <c:idx val="2"/>
              <c:layout>
                <c:manualLayout>
                  <c:x val="-1.4039028499227859E-2"/>
                  <c:y val="2.288329519450795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12F8-4ECF-8C1C-A77ABD5431A5}"/>
                </c:ext>
              </c:extLst>
            </c:dLbl>
            <c:dLbl>
              <c:idx val="3"/>
              <c:layout>
                <c:manualLayout>
                  <c:x val="-1.7759562841530161E-2"/>
                  <c:y val="-3.560830305874700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12F8-4ECF-8C1C-A77ABD5431A5}"/>
                </c:ext>
              </c:extLst>
            </c:dLbl>
            <c:dLbl>
              <c:idx val="4"/>
              <c:layout>
                <c:manualLayout>
                  <c:x val="-8.4234170995368222E-3"/>
                  <c:y val="-1.716247139588101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12F8-4ECF-8C1C-A77ABD5431A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обеспеченность!$D$3:$H$3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обеспеченность!$D$4:$H$4</c:f>
              <c:numCache>
                <c:formatCode>General</c:formatCode>
                <c:ptCount val="5"/>
                <c:pt idx="0">
                  <c:v>101.2</c:v>
                </c:pt>
                <c:pt idx="1">
                  <c:v>97.8</c:v>
                </c:pt>
                <c:pt idx="2">
                  <c:v>99.4</c:v>
                </c:pt>
                <c:pt idx="3">
                  <c:v>95.9</c:v>
                </c:pt>
                <c:pt idx="4">
                  <c:v>103.6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12F8-4ECF-8C1C-A77ABD5431A5}"/>
            </c:ext>
          </c:extLst>
        </c:ser>
        <c:ser>
          <c:idx val="1"/>
          <c:order val="1"/>
          <c:tx>
            <c:strRef>
              <c:f>обеспеченность!$C$5</c:f>
              <c:strCache>
                <c:ptCount val="1"/>
                <c:pt idx="0">
                  <c:v>Молоко и молокопродукты</c:v>
                </c:pt>
              </c:strCache>
            </c:strRef>
          </c:tx>
          <c:spPr>
            <a:ln w="28575" cap="rnd">
              <a:solidFill>
                <a:schemeClr val="tx1">
                  <a:lumMod val="50000"/>
                  <a:lumOff val="50000"/>
                </a:schemeClr>
              </a:solidFill>
              <a:prstDash val="dash"/>
              <a:round/>
            </a:ln>
            <a:effectLst/>
          </c:spPr>
          <c:marker>
            <c:symbol val="none"/>
          </c:marker>
          <c:dLbls>
            <c:dLbl>
              <c:idx val="0"/>
              <c:layout>
                <c:manualLayout>
                  <c:x val="-2.1058542748841787E-2"/>
                  <c:y val="-3.051106025934401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12F8-4ECF-8C1C-A77ABD5431A5}"/>
                </c:ext>
              </c:extLst>
            </c:dLbl>
            <c:dLbl>
              <c:idx val="1"/>
              <c:layout>
                <c:manualLayout>
                  <c:x val="-8.4234170995367164E-3"/>
                  <c:y val="1.906941266209001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12F8-4ECF-8C1C-A77ABD5431A5}"/>
                </c:ext>
              </c:extLst>
            </c:dLbl>
            <c:dLbl>
              <c:idx val="2"/>
              <c:layout>
                <c:manualLayout>
                  <c:x val="-1.5442931349150646E-2"/>
                  <c:y val="-3.241800152555309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12F8-4ECF-8C1C-A77ABD5431A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обеспеченность!$D$3:$H$3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обеспеченность!$D$5:$H$5</c:f>
              <c:numCache>
                <c:formatCode>General</c:formatCode>
                <c:ptCount val="5"/>
                <c:pt idx="0">
                  <c:v>96.5</c:v>
                </c:pt>
                <c:pt idx="1">
                  <c:v>96</c:v>
                </c:pt>
                <c:pt idx="2">
                  <c:v>96.1</c:v>
                </c:pt>
                <c:pt idx="3">
                  <c:v>94.4</c:v>
                </c:pt>
                <c:pt idx="4">
                  <c:v>95.4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9-12F8-4ECF-8C1C-A77ABD5431A5}"/>
            </c:ext>
          </c:extLst>
        </c:ser>
        <c:ser>
          <c:idx val="2"/>
          <c:order val="2"/>
          <c:tx>
            <c:strRef>
              <c:f>обеспеченность!$C$6</c:f>
              <c:strCache>
                <c:ptCount val="1"/>
                <c:pt idx="0">
                  <c:v>Яйца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dLbls>
            <c:dLbl>
              <c:idx val="1"/>
              <c:layout>
                <c:manualLayout>
                  <c:x val="-2.386634844868735E-2"/>
                  <c:y val="3.623188405797106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12F8-4ECF-8C1C-A77ABD5431A5}"/>
                </c:ext>
              </c:extLst>
            </c:dLbl>
            <c:dLbl>
              <c:idx val="2"/>
              <c:layout>
                <c:manualLayout>
                  <c:x val="-1.4039028499227859E-3"/>
                  <c:y val="2.479023646071698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12F8-4ECF-8C1C-A77ABD5431A5}"/>
                </c:ext>
              </c:extLst>
            </c:dLbl>
            <c:dLbl>
              <c:idx val="3"/>
              <c:layout>
                <c:manualLayout>
                  <c:x val="-1.1231222799382287E-2"/>
                  <c:y val="1.716247139588101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12F8-4ECF-8C1C-A77ABD5431A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обеспеченность!$D$3:$H$3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обеспеченность!$D$6:$H$6</c:f>
              <c:numCache>
                <c:formatCode>General</c:formatCode>
                <c:ptCount val="5"/>
                <c:pt idx="0">
                  <c:v>181.4</c:v>
                </c:pt>
                <c:pt idx="1">
                  <c:v>155.5</c:v>
                </c:pt>
                <c:pt idx="2">
                  <c:v>155.5</c:v>
                </c:pt>
                <c:pt idx="3">
                  <c:v>156.80000000000001</c:v>
                </c:pt>
                <c:pt idx="4">
                  <c:v>157.4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D-12F8-4ECF-8C1C-A77ABD5431A5}"/>
            </c:ext>
          </c:extLst>
        </c:ser>
        <c:ser>
          <c:idx val="3"/>
          <c:order val="3"/>
          <c:tx>
            <c:strRef>
              <c:f>обеспеченность!$C$7</c:f>
              <c:strCache>
                <c:ptCount val="1"/>
                <c:pt idx="0">
                  <c:v>Картофель</c:v>
                </c:pt>
              </c:strCache>
            </c:strRef>
          </c:tx>
          <c:spPr>
            <a:ln w="28575" cap="rnd">
              <a:solidFill>
                <a:schemeClr val="bg1">
                  <a:lumMod val="50000"/>
                </a:schemeClr>
              </a:solidFill>
              <a:prstDash val="sysDash"/>
              <a:round/>
            </a:ln>
            <a:effectLst/>
          </c:spPr>
          <c:marker>
            <c:symbol val="none"/>
          </c:marker>
          <c:dLbls>
            <c:dLbl>
              <c:idx val="1"/>
              <c:layout>
                <c:manualLayout>
                  <c:x val="-8.4234170995367164E-3"/>
                  <c:y val="1.716247139588101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E-12F8-4ECF-8C1C-A77ABD5431A5}"/>
                </c:ext>
              </c:extLst>
            </c:dLbl>
            <c:dLbl>
              <c:idx val="2"/>
              <c:layout>
                <c:manualLayout>
                  <c:x val="-1.4039028499227859E-3"/>
                  <c:y val="1.716247139588101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F-12F8-4ECF-8C1C-A77ABD5431A5}"/>
                </c:ext>
              </c:extLst>
            </c:dLbl>
            <c:dLbl>
              <c:idx val="3"/>
              <c:layout>
                <c:manualLayout>
                  <c:x val="4.2117085497683573E-3"/>
                  <c:y val="1.144164759725393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0-12F8-4ECF-8C1C-A77ABD5431A5}"/>
                </c:ext>
              </c:extLst>
            </c:dLbl>
            <c:dLbl>
              <c:idx val="4"/>
              <c:layout>
                <c:manualLayout>
                  <c:x val="0"/>
                  <c:y val="3.051106025934401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1-12F8-4ECF-8C1C-A77ABD5431A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обеспеченность!$D$3:$H$3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обеспеченность!$D$7:$H$7</c:f>
              <c:numCache>
                <c:formatCode>General</c:formatCode>
                <c:ptCount val="5"/>
                <c:pt idx="0">
                  <c:v>77.2</c:v>
                </c:pt>
                <c:pt idx="1">
                  <c:v>74.400000000000006</c:v>
                </c:pt>
                <c:pt idx="2">
                  <c:v>84.2</c:v>
                </c:pt>
                <c:pt idx="3">
                  <c:v>84.4</c:v>
                </c:pt>
                <c:pt idx="4">
                  <c:v>89.3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12-12F8-4ECF-8C1C-A77ABD5431A5}"/>
            </c:ext>
          </c:extLst>
        </c:ser>
        <c:ser>
          <c:idx val="4"/>
          <c:order val="4"/>
          <c:tx>
            <c:strRef>
              <c:f>обеспеченность!$C$8</c:f>
              <c:strCache>
                <c:ptCount val="1"/>
                <c:pt idx="0">
                  <c:v>Овощи и продовольственные бахчевые культуры</c:v>
                </c:pt>
              </c:strCache>
            </c:strRef>
          </c:tx>
          <c:spPr>
            <a:ln w="28575" cap="rnd">
              <a:solidFill>
                <a:schemeClr val="tx1">
                  <a:lumMod val="50000"/>
                  <a:lumOff val="50000"/>
                </a:schemeClr>
              </a:solidFill>
              <a:prstDash val="sysDot"/>
              <a:round/>
            </a:ln>
            <a:effectLst/>
          </c:spPr>
          <c:marker>
            <c:symbol val="none"/>
          </c:marker>
          <c:dLbls>
            <c:dLbl>
              <c:idx val="1"/>
              <c:layout>
                <c:manualLayout>
                  <c:x val="-3.3693668398146845E-2"/>
                  <c:y val="-2.47902364607170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3-12F8-4ECF-8C1C-A77ABD5431A5}"/>
                </c:ext>
              </c:extLst>
            </c:dLbl>
            <c:dLbl>
              <c:idx val="2"/>
              <c:layout>
                <c:manualLayout>
                  <c:x val="-2.8078056998455708E-2"/>
                  <c:y val="-2.479023646071703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4-12F8-4ECF-8C1C-A77ABD5431A5}"/>
                </c:ext>
              </c:extLst>
            </c:dLbl>
            <c:dLbl>
              <c:idx val="3"/>
              <c:layout>
                <c:manualLayout>
                  <c:x val="-2.6674154148532921E-2"/>
                  <c:y val="2.47902364607170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5-12F8-4ECF-8C1C-A77ABD5431A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обеспеченность!$D$3:$H$3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обеспеченность!$D$8:$H$8</c:f>
              <c:numCache>
                <c:formatCode>General</c:formatCode>
                <c:ptCount val="5"/>
                <c:pt idx="0">
                  <c:v>173.2</c:v>
                </c:pt>
                <c:pt idx="1">
                  <c:v>168.5</c:v>
                </c:pt>
                <c:pt idx="2">
                  <c:v>159.5</c:v>
                </c:pt>
                <c:pt idx="3">
                  <c:v>186.9</c:v>
                </c:pt>
                <c:pt idx="4">
                  <c:v>175.4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16-12F8-4ECF-8C1C-A77ABD5431A5}"/>
            </c:ext>
          </c:extLst>
        </c:ser>
        <c:ser>
          <c:idx val="5"/>
          <c:order val="5"/>
          <c:tx>
            <c:strRef>
              <c:f>обеспеченность!$C$9</c:f>
              <c:strCache>
                <c:ptCount val="1"/>
                <c:pt idx="0">
                  <c:v>Фрукты и ягоды</c:v>
                </c:pt>
              </c:strCache>
            </c:strRef>
          </c:tx>
          <c:spPr>
            <a:ln w="28575" cap="rnd">
              <a:solidFill>
                <a:schemeClr val="bg2">
                  <a:lumMod val="90000"/>
                </a:schemeClr>
              </a:solidFill>
              <a:prstDash val="dash"/>
              <a:round/>
            </a:ln>
            <a:effectLst/>
          </c:spPr>
          <c:marker>
            <c:symbol val="none"/>
          </c:marker>
          <c:dLbls>
            <c:dLbl>
              <c:idx val="0"/>
              <c:layout>
                <c:manualLayout>
                  <c:x val="-2.0491803278688533E-2"/>
                  <c:y val="3.758654211756629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7-12F8-4ECF-8C1C-A77ABD5431A5}"/>
                </c:ext>
              </c:extLst>
            </c:dLbl>
            <c:dLbl>
              <c:idx val="1"/>
              <c:layout>
                <c:manualLayout>
                  <c:x val="-2.1857923497267777E-2"/>
                  <c:y val="-1.186943435291567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8-12F8-4ECF-8C1C-A77ABD5431A5}"/>
                </c:ext>
              </c:extLst>
            </c:dLbl>
            <c:dLbl>
              <c:idx val="2"/>
              <c:layout>
                <c:manualLayout>
                  <c:x val="-2.5956284153005566E-2"/>
                  <c:y val="4.154302023520483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9-12F8-4ECF-8C1C-A77ABD5431A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обеспеченность!$D$3:$H$3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обеспеченность!$D$9:$H$9</c:f>
              <c:numCache>
                <c:formatCode>General</c:formatCode>
                <c:ptCount val="5"/>
                <c:pt idx="0">
                  <c:v>38.1</c:v>
                </c:pt>
                <c:pt idx="1">
                  <c:v>40.1</c:v>
                </c:pt>
                <c:pt idx="2">
                  <c:v>51.6</c:v>
                </c:pt>
                <c:pt idx="3">
                  <c:v>38.1</c:v>
                </c:pt>
                <c:pt idx="4">
                  <c:v>47.3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1A-12F8-4ECF-8C1C-A77ABD5431A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17093888"/>
        <c:axId val="120529664"/>
      </c:lineChart>
      <c:catAx>
        <c:axId val="1170938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20529664"/>
        <c:crosses val="autoZero"/>
        <c:auto val="1"/>
        <c:lblAlgn val="ctr"/>
        <c:lblOffset val="100"/>
        <c:noMultiLvlLbl val="0"/>
      </c:catAx>
      <c:valAx>
        <c:axId val="12052966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170938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6.3291139240506333E-2"/>
          <c:y val="0.87622459057841506"/>
          <c:w val="0.93359618178045189"/>
          <c:h val="0.10795776814327047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2A36E5-0401-4960-BBB7-63318569A4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6</Pages>
  <Words>2314</Words>
  <Characters>13191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Гусевы</cp:lastModifiedBy>
  <cp:revision>4</cp:revision>
  <cp:lastPrinted>2025-05-18T23:48:00Z</cp:lastPrinted>
  <dcterms:created xsi:type="dcterms:W3CDTF">2026-05-15T17:45:00Z</dcterms:created>
  <dcterms:modified xsi:type="dcterms:W3CDTF">2026-05-15T18:21:00Z</dcterms:modified>
</cp:coreProperties>
</file>