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0D4308" w14:textId="77777777" w:rsidR="00B95A26" w:rsidRDefault="000E6D4E">
      <w:pPr>
        <w:ind w:firstLine="0"/>
      </w:pPr>
      <w:r>
        <w:t>УДК 334.722</w:t>
      </w:r>
    </w:p>
    <w:p w14:paraId="72D14F10" w14:textId="77777777" w:rsidR="00B95A26" w:rsidRDefault="00B95A26"/>
    <w:p w14:paraId="62D30BC0" w14:textId="77777777" w:rsidR="00B95A26" w:rsidRDefault="000E6D4E">
      <w:pPr>
        <w:ind w:firstLine="0"/>
        <w:jc w:val="center"/>
      </w:pPr>
      <w:r>
        <w:rPr>
          <w:b/>
          <w:bCs/>
        </w:rPr>
        <w:t>МАЛЫЙ РОЗНИЧНЫЙ БИЗНЕС В СОВРЕМЕННОЙ РОССИИ: ДИНАМИКА ЗАКРЫТИЙ, ПРОБЛЕМА ЦИФРОВОЙ НЕСТАБИЛЬНОСТИ И МЕРЫ ГОСУДАРСТВЕННОЙ ПОДДЕРЖКИ</w:t>
      </w:r>
    </w:p>
    <w:p w14:paraId="5576B72A" w14:textId="77777777" w:rsidR="00B95A26" w:rsidRDefault="00B95A26"/>
    <w:p w14:paraId="465DAE1C" w14:textId="77777777" w:rsidR="00B95A26" w:rsidRDefault="000E6D4E">
      <w:pPr>
        <w:ind w:firstLine="0"/>
        <w:jc w:val="right"/>
      </w:pPr>
      <w:proofErr w:type="spellStart"/>
      <w:r>
        <w:rPr>
          <w:b/>
          <w:bCs/>
        </w:rPr>
        <w:t>Галимова</w:t>
      </w:r>
      <w:proofErr w:type="spellEnd"/>
      <w:r>
        <w:rPr>
          <w:b/>
          <w:bCs/>
        </w:rPr>
        <w:t xml:space="preserve"> Лилия,</w:t>
      </w:r>
    </w:p>
    <w:p w14:paraId="646E7A01" w14:textId="3887776E" w:rsidR="00B95A26" w:rsidRPr="00623BDC" w:rsidRDefault="000E6D4E" w:rsidP="009053E0">
      <w:pPr>
        <w:ind w:firstLine="0"/>
        <w:jc w:val="right"/>
      </w:pPr>
      <w:r>
        <w:t>Студент</w:t>
      </w:r>
      <w:r w:rsidR="00623BDC">
        <w:t> </w:t>
      </w:r>
    </w:p>
    <w:p w14:paraId="7D4B641B" w14:textId="77777777" w:rsidR="00B95A26" w:rsidRDefault="000E6D4E" w:rsidP="00623BDC">
      <w:pPr>
        <w:ind w:firstLine="0"/>
        <w:jc w:val="right"/>
      </w:pPr>
      <w:r>
        <w:t>Научный руководитель: Варламова Юлия Андреевна,</w:t>
      </w:r>
    </w:p>
    <w:p w14:paraId="504C67A7" w14:textId="77777777" w:rsidR="00B95A26" w:rsidRDefault="000E6D4E" w:rsidP="00623BDC">
      <w:pPr>
        <w:ind w:firstLine="0"/>
        <w:jc w:val="right"/>
      </w:pPr>
      <w:r>
        <w:t>к.э.н., доцент кафедры экономики предпринимательства</w:t>
      </w:r>
    </w:p>
    <w:p w14:paraId="65FC36F2" w14:textId="4573B8B5" w:rsidR="00B95A26" w:rsidRPr="00623BDC" w:rsidRDefault="00623BDC" w:rsidP="00623BDC">
      <w:pPr>
        <w:ind w:firstLine="0"/>
        <w:jc w:val="right"/>
      </w:pPr>
      <w:r>
        <w:t>Казанский (Приволжский) федеральный университет </w:t>
      </w:r>
    </w:p>
    <w:p w14:paraId="5A9205FC" w14:textId="5F9070C8" w:rsidR="00B95A26" w:rsidRDefault="000E6D4E">
      <w:r>
        <w:rPr>
          <w:b/>
          <w:bCs/>
        </w:rPr>
        <w:t xml:space="preserve">Аннотация: </w:t>
      </w:r>
      <w:bookmarkStart w:id="0" w:name="_GoBack"/>
      <w:bookmarkEnd w:id="0"/>
      <w:r w:rsidR="00727069" w:rsidRPr="00727069">
        <w:t xml:space="preserve">В статье исследуется динамика малого предпринимательства России в 2020–2026 гг. на основе данных Единого реестра субъектов МСП ФНС. Выявлены ключевые причины массовых закрытий малых торговых предприятий: высокая ключевая ставка, рост налоговой нагрузки, конкуренция </w:t>
      </w:r>
      <w:proofErr w:type="spellStart"/>
      <w:r w:rsidR="00727069" w:rsidRPr="00727069">
        <w:t>маркетплейсов</w:t>
      </w:r>
      <w:proofErr w:type="spellEnd"/>
      <w:r w:rsidR="00727069" w:rsidRPr="00727069">
        <w:t xml:space="preserve">. Исследовано влияние нестабильности интернета на операционную деятельность (онлайн-кассы, </w:t>
      </w:r>
      <w:proofErr w:type="spellStart"/>
      <w:r w:rsidR="00727069" w:rsidRPr="00727069">
        <w:t>эквайринг</w:t>
      </w:r>
      <w:proofErr w:type="spellEnd"/>
      <w:r w:rsidR="00727069" w:rsidRPr="00727069">
        <w:t>, маркировку). Предложен комплекс мер господдержки для повышения выживаемости сектора.</w:t>
      </w:r>
    </w:p>
    <w:p w14:paraId="2EFC8B9C" w14:textId="77777777" w:rsidR="00B95A26" w:rsidRDefault="000E6D4E">
      <w:r>
        <w:rPr>
          <w:b/>
          <w:bCs/>
        </w:rPr>
        <w:t xml:space="preserve">Ключевые слова: </w:t>
      </w:r>
      <w:r>
        <w:t xml:space="preserve">малый бизнес, МСП, розничная торговля, закрытие предприятий, ключевая ставка, </w:t>
      </w:r>
      <w:proofErr w:type="spellStart"/>
      <w:r>
        <w:t>маркетплейсы</w:t>
      </w:r>
      <w:proofErr w:type="spellEnd"/>
      <w:r>
        <w:t xml:space="preserve">, интернет-ограничения, онлайн-касса, государственная поддержка, </w:t>
      </w:r>
      <w:proofErr w:type="spellStart"/>
      <w:r>
        <w:t>импортозамещение</w:t>
      </w:r>
      <w:proofErr w:type="spellEnd"/>
      <w:r>
        <w:t>.</w:t>
      </w:r>
    </w:p>
    <w:p w14:paraId="2984AB34" w14:textId="77777777" w:rsidR="00B95A26" w:rsidRDefault="00B95A26"/>
    <w:p w14:paraId="61A8A0F6" w14:textId="77777777" w:rsidR="00B95A26" w:rsidRPr="00623BDC" w:rsidRDefault="000E6D4E">
      <w:pPr>
        <w:ind w:firstLine="0"/>
        <w:jc w:val="center"/>
        <w:rPr>
          <w:lang w:val="en-US"/>
        </w:rPr>
      </w:pPr>
      <w:r>
        <w:rPr>
          <w:b/>
          <w:bCs/>
          <w:lang w:val="en-US"/>
        </w:rPr>
        <w:t>SMALL RETAIL BUSINESS IN MODERN RUSSIA: CLOSURE DYNAMICS, DIGITAL INSTABILITY AND STATE SUPPORT MEASURES</w:t>
      </w:r>
    </w:p>
    <w:p w14:paraId="1D33EA9D" w14:textId="77777777" w:rsidR="00B95A26" w:rsidRPr="00623BDC" w:rsidRDefault="00B95A26">
      <w:pPr>
        <w:rPr>
          <w:lang w:val="en-US"/>
        </w:rPr>
      </w:pPr>
    </w:p>
    <w:p w14:paraId="6BBC5C6E" w14:textId="0CE30BDE" w:rsidR="00B95A26" w:rsidRPr="00623BDC" w:rsidRDefault="000E6D4E">
      <w:pPr>
        <w:ind w:firstLine="0"/>
        <w:jc w:val="right"/>
        <w:rPr>
          <w:lang w:val="en-US"/>
        </w:rPr>
      </w:pPr>
      <w:proofErr w:type="spellStart"/>
      <w:r>
        <w:rPr>
          <w:b/>
          <w:bCs/>
          <w:lang w:val="en-US"/>
        </w:rPr>
        <w:t>Galimova</w:t>
      </w:r>
      <w:proofErr w:type="spellEnd"/>
      <w:r>
        <w:rPr>
          <w:b/>
          <w:bCs/>
          <w:lang w:val="en-US"/>
        </w:rPr>
        <w:t xml:space="preserve"> </w:t>
      </w:r>
      <w:proofErr w:type="spellStart"/>
      <w:r>
        <w:rPr>
          <w:b/>
          <w:bCs/>
          <w:lang w:val="en-US"/>
        </w:rPr>
        <w:t>Liliya</w:t>
      </w:r>
      <w:proofErr w:type="spellEnd"/>
    </w:p>
    <w:p w14:paraId="3432C82B" w14:textId="77777777" w:rsidR="00B95A26" w:rsidRPr="00623BDC" w:rsidRDefault="00B95A26">
      <w:pPr>
        <w:rPr>
          <w:lang w:val="en-US"/>
        </w:rPr>
      </w:pPr>
    </w:p>
    <w:p w14:paraId="1B35FC28" w14:textId="77777777" w:rsidR="00B95A26" w:rsidRPr="00623BDC" w:rsidRDefault="000E6D4E">
      <w:pPr>
        <w:ind w:firstLine="0"/>
        <w:jc w:val="right"/>
        <w:rPr>
          <w:lang w:val="en-US"/>
        </w:rPr>
      </w:pPr>
      <w:r>
        <w:rPr>
          <w:lang w:val="en-US"/>
        </w:rPr>
        <w:t xml:space="preserve">Scientific adviser: </w:t>
      </w:r>
      <w:proofErr w:type="spellStart"/>
      <w:r>
        <w:rPr>
          <w:lang w:val="en-US"/>
        </w:rPr>
        <w:t>Varlamova</w:t>
      </w:r>
      <w:proofErr w:type="spellEnd"/>
      <w:r>
        <w:rPr>
          <w:lang w:val="en-US"/>
        </w:rPr>
        <w:t xml:space="preserve"> </w:t>
      </w:r>
      <w:proofErr w:type="spellStart"/>
      <w:r>
        <w:rPr>
          <w:lang w:val="en-US"/>
        </w:rPr>
        <w:t>Yulia</w:t>
      </w:r>
      <w:proofErr w:type="spellEnd"/>
      <w:r>
        <w:rPr>
          <w:lang w:val="en-US"/>
        </w:rPr>
        <w:t xml:space="preserve"> </w:t>
      </w:r>
      <w:proofErr w:type="spellStart"/>
      <w:r>
        <w:rPr>
          <w:lang w:val="en-US"/>
        </w:rPr>
        <w:t>Andreevna</w:t>
      </w:r>
      <w:proofErr w:type="spellEnd"/>
    </w:p>
    <w:p w14:paraId="0117388B" w14:textId="77777777" w:rsidR="00B95A26" w:rsidRPr="00623BDC" w:rsidRDefault="00B95A26">
      <w:pPr>
        <w:rPr>
          <w:lang w:val="en-US"/>
        </w:rPr>
      </w:pPr>
    </w:p>
    <w:p w14:paraId="3545846E" w14:textId="47A482EA" w:rsidR="00B95A26" w:rsidRPr="00623BDC" w:rsidRDefault="000E6D4E">
      <w:pPr>
        <w:rPr>
          <w:lang w:val="en-US"/>
        </w:rPr>
      </w:pPr>
      <w:r>
        <w:rPr>
          <w:b/>
          <w:bCs/>
          <w:lang w:val="en-US"/>
        </w:rPr>
        <w:t xml:space="preserve">Abstract: </w:t>
      </w:r>
      <w:r w:rsidR="00727069" w:rsidRPr="00727069">
        <w:rPr>
          <w:lang w:val="en-US"/>
        </w:rPr>
        <w:t>The article examines the dynamics of small business in Russia in 2020–2026 based on the Unified Register of SMEs of the Federal Tax Service. Key reasons for mass closures of small retail enterprises are identified: high key rate, increased tax burden, competition from marketplaces. The impact of Internet instability on operations (online cash registers, acquiring, marking systems) is studied. A set of state support measures is proposed to increase the survival rate of the sector.</w:t>
      </w:r>
    </w:p>
    <w:p w14:paraId="6D5DFE7A" w14:textId="019CF532" w:rsidR="00B95A26" w:rsidRDefault="000E6D4E">
      <w:pPr>
        <w:rPr>
          <w:lang w:val="en-US"/>
        </w:rPr>
      </w:pPr>
      <w:r>
        <w:rPr>
          <w:b/>
          <w:bCs/>
          <w:lang w:val="en-US"/>
        </w:rPr>
        <w:t xml:space="preserve">Key words: </w:t>
      </w:r>
      <w:r>
        <w:rPr>
          <w:lang w:val="en-US"/>
        </w:rPr>
        <w:t>small business, SME, retail trade, business closures, key interest rate, online marketplaces, internet restrictions, online cash register, state support, import substitution.</w:t>
      </w:r>
    </w:p>
    <w:p w14:paraId="0D18920F" w14:textId="6F8420D2" w:rsidR="0009697F" w:rsidRPr="0009697F" w:rsidRDefault="0009697F" w:rsidP="009053E0">
      <w:r w:rsidRPr="0009697F">
        <w:t xml:space="preserve">К 2026 году малый розничный бизнес в России столкнулся с сочетанием ряда неблагоприятных факторов, среди которых можно выделить рост налоговой нагрузки, снижение потребительского спроса, нестабильность цифровых сервисов и усиление конкуренции со стороны крупных онлайн-площадок. По данным </w:t>
      </w:r>
      <w:proofErr w:type="spellStart"/>
      <w:r w:rsidRPr="0009697F">
        <w:t>лонгитюдного</w:t>
      </w:r>
      <w:proofErr w:type="spellEnd"/>
      <w:r w:rsidRPr="0009697F">
        <w:t xml:space="preserve"> исследования ФОМ и НИУ ВШЭ (январь–февраль 2026 г.), 31% предпринимателей рассматривают возможность закрытия или продажи бизнеса — что на 8 процентных пунктов выше</w:t>
      </w:r>
      <w:r w:rsidR="00A43D03">
        <w:t xml:space="preserve"> показателя предыдущего года [13</w:t>
      </w:r>
      <w:r w:rsidRPr="0009697F">
        <w:t>].Цель настоящей работы — на основе официальных статистических данных проанализировать динамику регистраций и ликвидаций субъектов малого предпринимательства в сфере торговли и оценить возможное влияние на неё налоговых изменений, состояния цифровой инфраструкту</w:t>
      </w:r>
      <w:r>
        <w:t xml:space="preserve">ры </w:t>
      </w:r>
      <w:r w:rsidRPr="0009697F">
        <w:t>и мер государственной поддержки.</w:t>
      </w:r>
    </w:p>
    <w:p w14:paraId="4D561EA9" w14:textId="59F42A6C" w:rsidR="00246187" w:rsidRPr="00246187" w:rsidRDefault="00246187" w:rsidP="00D52A1D">
      <w:r>
        <w:t>Динамика малого бизнеса в России: данные реестра ФНС.</w:t>
      </w:r>
    </w:p>
    <w:p w14:paraId="719A5FCC" w14:textId="69F92A75" w:rsidR="00B95A26" w:rsidRPr="00D52A1D" w:rsidRDefault="00246187" w:rsidP="00D52A1D">
      <w:r>
        <w:t xml:space="preserve">Численность субъектов МСП в России на протяжении 2020–2025 годов демонстрировала неоднородную динамику (табл. 1). После сдержанного роста в 2021–2023 годах сектор ускорился: по данным Единого реестра МСП, обновлённого ФНС на основе сведений за 2024 год, по состоянию на 10 июля 2025 года в реестре насчитывалось 6,4 млн субъектов, что на 203 тыс., или на 3,2%, больше, чем годом </w:t>
      </w:r>
      <w:proofErr w:type="gramStart"/>
      <w:r>
        <w:t>ранее .К</w:t>
      </w:r>
      <w:proofErr w:type="gramEnd"/>
      <w:r>
        <w:t xml:space="preserve"> декабрю 2025 года число </w:t>
      </w:r>
      <w:r>
        <w:lastRenderedPageBreak/>
        <w:t>субъектов МСП достигло 6,76 млн — исторического максимума за весь период ведения реестр</w:t>
      </w:r>
      <w:r w:rsidR="002B2DDB">
        <w:t>а.</w:t>
      </w:r>
    </w:p>
    <w:p w14:paraId="4A59FD7C" w14:textId="77777777" w:rsidR="00B95A26" w:rsidRPr="00D52A1D" w:rsidRDefault="000E6D4E">
      <w:pPr>
        <w:ind w:firstLine="0"/>
        <w:jc w:val="right"/>
      </w:pPr>
      <w:r>
        <w:t>Таблица 1</w:t>
      </w:r>
    </w:p>
    <w:p w14:paraId="795E58EF" w14:textId="77777777" w:rsidR="00B95A26" w:rsidRPr="00D52A1D" w:rsidRDefault="000E6D4E">
      <w:pPr>
        <w:ind w:firstLine="0"/>
        <w:jc w:val="center"/>
      </w:pPr>
      <w:r>
        <w:t>Динамика числа субъектов МСП в России, 2020–2025 гг. (данные реестра ФНС)</w:t>
      </w:r>
    </w:p>
    <w:tbl>
      <w:tblPr>
        <w:tblW w:w="9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000"/>
        <w:gridCol w:w="2500"/>
        <w:gridCol w:w="2638"/>
        <w:gridCol w:w="2500"/>
      </w:tblGrid>
      <w:tr w:rsidR="00B95A26" w:rsidRPr="00D52A1D" w14:paraId="571FAED9" w14:textId="77777777">
        <w:tc>
          <w:tcPr>
            <w:tcW w:w="2000" w:type="dxa"/>
            <w:tcBorders>
              <w:top w:val="single" w:sz="4" w:space="0" w:color="000000"/>
              <w:left w:val="single" w:sz="4" w:space="0" w:color="000000"/>
              <w:bottom w:val="single" w:sz="4" w:space="0" w:color="000000"/>
              <w:right w:val="single" w:sz="4" w:space="0" w:color="000000"/>
            </w:tcBorders>
            <w:shd w:val="clear" w:color="auto" w:fill="D9D9D9"/>
            <w:tcMar>
              <w:top w:w="60" w:type="dxa"/>
              <w:left w:w="100" w:type="dxa"/>
              <w:bottom w:w="60" w:type="dxa"/>
              <w:right w:w="100" w:type="dxa"/>
            </w:tcMar>
            <w:vAlign w:val="center"/>
          </w:tcPr>
          <w:p w14:paraId="3386AF54" w14:textId="77777777" w:rsidR="00B95A26" w:rsidRPr="00D52A1D" w:rsidRDefault="000E6D4E">
            <w:pPr>
              <w:ind w:firstLine="0"/>
              <w:jc w:val="center"/>
            </w:pPr>
            <w:r>
              <w:t>Год</w:t>
            </w:r>
          </w:p>
        </w:tc>
        <w:tc>
          <w:tcPr>
            <w:tcW w:w="2500" w:type="dxa"/>
            <w:tcBorders>
              <w:top w:val="single" w:sz="4" w:space="0" w:color="000000"/>
              <w:left w:val="single" w:sz="4" w:space="0" w:color="000000"/>
              <w:bottom w:val="single" w:sz="4" w:space="0" w:color="000000"/>
              <w:right w:val="single" w:sz="4" w:space="0" w:color="000000"/>
            </w:tcBorders>
            <w:shd w:val="clear" w:color="auto" w:fill="D9D9D9"/>
            <w:tcMar>
              <w:top w:w="60" w:type="dxa"/>
              <w:left w:w="100" w:type="dxa"/>
              <w:bottom w:w="60" w:type="dxa"/>
              <w:right w:w="100" w:type="dxa"/>
            </w:tcMar>
            <w:vAlign w:val="center"/>
          </w:tcPr>
          <w:p w14:paraId="5100EF93" w14:textId="77777777" w:rsidR="00B95A26" w:rsidRPr="00D52A1D" w:rsidRDefault="000E6D4E">
            <w:pPr>
              <w:ind w:firstLine="0"/>
              <w:jc w:val="center"/>
            </w:pPr>
            <w:r>
              <w:t>Число субъектов МСП (млн)</w:t>
            </w:r>
          </w:p>
        </w:tc>
        <w:tc>
          <w:tcPr>
            <w:tcW w:w="2638" w:type="dxa"/>
            <w:tcBorders>
              <w:top w:val="single" w:sz="4" w:space="0" w:color="000000"/>
              <w:left w:val="single" w:sz="4" w:space="0" w:color="000000"/>
              <w:bottom w:val="single" w:sz="4" w:space="0" w:color="000000"/>
              <w:right w:val="single" w:sz="4" w:space="0" w:color="000000"/>
            </w:tcBorders>
            <w:shd w:val="clear" w:color="auto" w:fill="D9D9D9"/>
            <w:tcMar>
              <w:top w:w="60" w:type="dxa"/>
              <w:left w:w="100" w:type="dxa"/>
              <w:bottom w:w="60" w:type="dxa"/>
              <w:right w:w="100" w:type="dxa"/>
            </w:tcMar>
            <w:vAlign w:val="center"/>
          </w:tcPr>
          <w:p w14:paraId="2BF3ADE0" w14:textId="77777777" w:rsidR="00B95A26" w:rsidRPr="00D52A1D" w:rsidRDefault="000E6D4E">
            <w:pPr>
              <w:ind w:firstLine="0"/>
              <w:jc w:val="center"/>
            </w:pPr>
            <w:r>
              <w:t>Прирост за год (тыс. субъектов)</w:t>
            </w:r>
          </w:p>
        </w:tc>
        <w:tc>
          <w:tcPr>
            <w:tcW w:w="2500" w:type="dxa"/>
            <w:tcBorders>
              <w:top w:val="single" w:sz="4" w:space="0" w:color="000000"/>
              <w:left w:val="single" w:sz="4" w:space="0" w:color="000000"/>
              <w:bottom w:val="single" w:sz="4" w:space="0" w:color="000000"/>
              <w:right w:val="single" w:sz="4" w:space="0" w:color="000000"/>
            </w:tcBorders>
            <w:shd w:val="clear" w:color="auto" w:fill="D9D9D9"/>
            <w:tcMar>
              <w:top w:w="60" w:type="dxa"/>
              <w:left w:w="100" w:type="dxa"/>
              <w:bottom w:w="60" w:type="dxa"/>
              <w:right w:w="100" w:type="dxa"/>
            </w:tcMar>
            <w:vAlign w:val="center"/>
          </w:tcPr>
          <w:p w14:paraId="3E622B30" w14:textId="77777777" w:rsidR="00B95A26" w:rsidRPr="00D52A1D" w:rsidRDefault="000E6D4E">
            <w:pPr>
              <w:ind w:firstLine="0"/>
              <w:jc w:val="center"/>
            </w:pPr>
            <w:r>
              <w:t>Темп прироста, %</w:t>
            </w:r>
          </w:p>
        </w:tc>
      </w:tr>
      <w:tr w:rsidR="00B95A26" w14:paraId="26E581D0" w14:textId="77777777">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5838F93" w14:textId="77777777" w:rsidR="00B95A26" w:rsidRDefault="000E6D4E">
            <w:pPr>
              <w:ind w:firstLine="0"/>
              <w:jc w:val="center"/>
            </w:pPr>
            <w:r>
              <w:t>2020</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327E4F3" w14:textId="77777777" w:rsidR="00B95A26" w:rsidRDefault="000E6D4E">
            <w:pPr>
              <w:ind w:firstLine="0"/>
              <w:jc w:val="center"/>
            </w:pPr>
            <w:r>
              <w:t>5,60</w:t>
            </w:r>
          </w:p>
        </w:tc>
        <w:tc>
          <w:tcPr>
            <w:tcW w:w="263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C872382" w14:textId="77777777" w:rsidR="00B95A26" w:rsidRDefault="000E6D4E">
            <w:pPr>
              <w:ind w:firstLine="0"/>
              <w:jc w:val="center"/>
            </w:pPr>
            <w:r>
              <w:t>–</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769F4EA" w14:textId="77777777" w:rsidR="00B95A26" w:rsidRDefault="000E6D4E">
            <w:pPr>
              <w:ind w:firstLine="0"/>
              <w:jc w:val="center"/>
            </w:pPr>
            <w:r>
              <w:t>–</w:t>
            </w:r>
          </w:p>
        </w:tc>
      </w:tr>
      <w:tr w:rsidR="00B95A26" w14:paraId="6FC5162D" w14:textId="77777777">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DB1C302" w14:textId="77777777" w:rsidR="00B95A26" w:rsidRDefault="000E6D4E">
            <w:pPr>
              <w:ind w:firstLine="0"/>
              <w:jc w:val="center"/>
            </w:pPr>
            <w:r>
              <w:t>2021</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792F147" w14:textId="77777777" w:rsidR="00B95A26" w:rsidRDefault="000E6D4E">
            <w:pPr>
              <w:ind w:firstLine="0"/>
              <w:jc w:val="center"/>
            </w:pPr>
            <w:r>
              <w:t>5,84</w:t>
            </w:r>
          </w:p>
        </w:tc>
        <w:tc>
          <w:tcPr>
            <w:tcW w:w="263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B3F0A8F" w14:textId="77777777" w:rsidR="00B95A26" w:rsidRDefault="000E6D4E">
            <w:pPr>
              <w:ind w:firstLine="0"/>
              <w:jc w:val="center"/>
            </w:pPr>
            <w:r>
              <w:t>+240</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C84DAA7" w14:textId="77777777" w:rsidR="00B95A26" w:rsidRDefault="000E6D4E">
            <w:pPr>
              <w:ind w:firstLine="0"/>
              <w:jc w:val="center"/>
            </w:pPr>
            <w:r>
              <w:t>+4,3</w:t>
            </w:r>
          </w:p>
        </w:tc>
      </w:tr>
      <w:tr w:rsidR="00B95A26" w14:paraId="73E71803" w14:textId="77777777">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6F0B08F" w14:textId="77777777" w:rsidR="00B95A26" w:rsidRDefault="000E6D4E">
            <w:pPr>
              <w:ind w:firstLine="0"/>
              <w:jc w:val="center"/>
            </w:pPr>
            <w:r>
              <w:t>2022</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AB253AA" w14:textId="77777777" w:rsidR="00B95A26" w:rsidRDefault="000E6D4E">
            <w:pPr>
              <w:ind w:firstLine="0"/>
              <w:jc w:val="center"/>
            </w:pPr>
            <w:r>
              <w:t>5,90</w:t>
            </w:r>
          </w:p>
        </w:tc>
        <w:tc>
          <w:tcPr>
            <w:tcW w:w="263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6406204" w14:textId="77777777" w:rsidR="00B95A26" w:rsidRDefault="000E6D4E">
            <w:pPr>
              <w:ind w:firstLine="0"/>
              <w:jc w:val="center"/>
            </w:pPr>
            <w:r>
              <w:t>+60</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EFD3BAD" w14:textId="77777777" w:rsidR="00B95A26" w:rsidRDefault="000E6D4E">
            <w:pPr>
              <w:ind w:firstLine="0"/>
              <w:jc w:val="center"/>
            </w:pPr>
            <w:r>
              <w:t>+1,0</w:t>
            </w:r>
          </w:p>
        </w:tc>
      </w:tr>
      <w:tr w:rsidR="00B95A26" w14:paraId="2BE4CA24" w14:textId="77777777">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39125D4" w14:textId="77777777" w:rsidR="00B95A26" w:rsidRDefault="000E6D4E">
            <w:pPr>
              <w:ind w:firstLine="0"/>
              <w:jc w:val="center"/>
            </w:pPr>
            <w:r>
              <w:t>2023</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264D781" w14:textId="77777777" w:rsidR="00B95A26" w:rsidRDefault="000E6D4E">
            <w:pPr>
              <w:ind w:firstLine="0"/>
              <w:jc w:val="center"/>
            </w:pPr>
            <w:r>
              <w:t>5,95</w:t>
            </w:r>
          </w:p>
        </w:tc>
        <w:tc>
          <w:tcPr>
            <w:tcW w:w="263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1AC777C" w14:textId="77777777" w:rsidR="00B95A26" w:rsidRDefault="000E6D4E">
            <w:pPr>
              <w:ind w:firstLine="0"/>
              <w:jc w:val="center"/>
            </w:pPr>
            <w:r>
              <w:t>+50</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070A131" w14:textId="77777777" w:rsidR="00B95A26" w:rsidRDefault="000E6D4E">
            <w:pPr>
              <w:ind w:firstLine="0"/>
              <w:jc w:val="center"/>
            </w:pPr>
            <w:r>
              <w:t>+0,8</w:t>
            </w:r>
          </w:p>
        </w:tc>
      </w:tr>
      <w:tr w:rsidR="00B95A26" w14:paraId="23182489" w14:textId="77777777">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32B8BF1" w14:textId="77777777" w:rsidR="00B95A26" w:rsidRDefault="000E6D4E">
            <w:pPr>
              <w:ind w:firstLine="0"/>
              <w:jc w:val="center"/>
            </w:pPr>
            <w:r>
              <w:t>2024</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8A44D41" w14:textId="77777777" w:rsidR="00B95A26" w:rsidRDefault="000E6D4E">
            <w:pPr>
              <w:ind w:firstLine="0"/>
              <w:jc w:val="center"/>
            </w:pPr>
            <w:r>
              <w:t>6,20</w:t>
            </w:r>
          </w:p>
        </w:tc>
        <w:tc>
          <w:tcPr>
            <w:tcW w:w="263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2349301" w14:textId="77777777" w:rsidR="00B95A26" w:rsidRDefault="000E6D4E">
            <w:pPr>
              <w:ind w:firstLine="0"/>
              <w:jc w:val="center"/>
            </w:pPr>
            <w:r>
              <w:t>+254</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5F8566C" w14:textId="77777777" w:rsidR="00B95A26" w:rsidRDefault="000E6D4E">
            <w:pPr>
              <w:ind w:firstLine="0"/>
              <w:jc w:val="center"/>
            </w:pPr>
            <w:r>
              <w:t>+4,3</w:t>
            </w:r>
          </w:p>
        </w:tc>
      </w:tr>
      <w:tr w:rsidR="00B95A26" w14:paraId="70CB39B9" w14:textId="77777777">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03E5131" w14:textId="77777777" w:rsidR="00B95A26" w:rsidRDefault="000E6D4E">
            <w:pPr>
              <w:ind w:firstLine="0"/>
              <w:jc w:val="center"/>
            </w:pPr>
            <w:r>
              <w:t>2025 (июль)</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1BDB233" w14:textId="77777777" w:rsidR="00B95A26" w:rsidRDefault="000E6D4E">
            <w:pPr>
              <w:ind w:firstLine="0"/>
              <w:jc w:val="center"/>
            </w:pPr>
            <w:r>
              <w:t>6,40</w:t>
            </w:r>
          </w:p>
        </w:tc>
        <w:tc>
          <w:tcPr>
            <w:tcW w:w="263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56A0980" w14:textId="77777777" w:rsidR="00B95A26" w:rsidRDefault="000E6D4E">
            <w:pPr>
              <w:ind w:firstLine="0"/>
              <w:jc w:val="center"/>
            </w:pPr>
            <w:r>
              <w:t>+203</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FFB251A" w14:textId="77777777" w:rsidR="00B95A26" w:rsidRDefault="000E6D4E">
            <w:pPr>
              <w:ind w:firstLine="0"/>
              <w:jc w:val="center"/>
            </w:pPr>
            <w:r>
              <w:t>+3,2</w:t>
            </w:r>
          </w:p>
        </w:tc>
      </w:tr>
      <w:tr w:rsidR="00B95A26" w14:paraId="7DE032CB" w14:textId="77777777">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F7261E6" w14:textId="77777777" w:rsidR="00B95A26" w:rsidRDefault="000E6D4E">
            <w:pPr>
              <w:ind w:firstLine="0"/>
              <w:jc w:val="center"/>
            </w:pPr>
            <w:r>
              <w:t>2025 (декабрь)</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222796A" w14:textId="77777777" w:rsidR="00B95A26" w:rsidRDefault="000E6D4E">
            <w:pPr>
              <w:ind w:firstLine="0"/>
              <w:jc w:val="center"/>
            </w:pPr>
            <w:r>
              <w:t>6,76</w:t>
            </w:r>
          </w:p>
        </w:tc>
        <w:tc>
          <w:tcPr>
            <w:tcW w:w="2638"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F98AE94" w14:textId="588012B4" w:rsidR="00B95A26" w:rsidRDefault="000E6D4E">
            <w:pPr>
              <w:ind w:firstLine="0"/>
              <w:jc w:val="center"/>
            </w:pPr>
            <w:r>
              <w:t xml:space="preserve">+560 </w:t>
            </w:r>
          </w:p>
        </w:tc>
        <w:tc>
          <w:tcPr>
            <w:tcW w:w="25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F6E19CA" w14:textId="5933380E" w:rsidR="00B95A26" w:rsidRDefault="000E6D4E">
            <w:pPr>
              <w:ind w:firstLine="0"/>
              <w:jc w:val="center"/>
            </w:pPr>
            <w:r>
              <w:t>+9,0</w:t>
            </w:r>
          </w:p>
        </w:tc>
      </w:tr>
    </w:tbl>
    <w:p w14:paraId="034CC7E8" w14:textId="022AB8FB" w:rsidR="000D5AD9" w:rsidRDefault="0009697F" w:rsidP="007A294D">
      <w:r w:rsidRPr="0009697F">
        <w:t>Источник: составлено автором по данным Единого реестра субъектов МСП ФНС России [4].</w:t>
      </w:r>
    </w:p>
    <w:p w14:paraId="7F8B19B1" w14:textId="6E5CECDC" w:rsidR="0009697F" w:rsidRDefault="000D5AD9" w:rsidP="007A294D">
      <w:r>
        <w:t>Общий рост числа субъектов МСП обеспечивался преимущественно</w:t>
      </w:r>
      <w:r w:rsidR="00361092">
        <w:t xml:space="preserve"> за счет</w:t>
      </w:r>
      <w:r w:rsidR="00EF0FD0">
        <w:t xml:space="preserve"> </w:t>
      </w:r>
      <w:r>
        <w:t xml:space="preserve">индивидуальными предпринимателями и </w:t>
      </w:r>
      <w:proofErr w:type="spellStart"/>
      <w:r>
        <w:t>микропредприятиями</w:t>
      </w:r>
      <w:proofErr w:type="spellEnd"/>
      <w:r>
        <w:t>. По данным Минэкономразвития РФ, в 2025 году количество юридических лиц — субъектов МСП сократилось на 4,4%, тогда как</w:t>
      </w:r>
      <w:r w:rsidR="005478E7">
        <w:t xml:space="preserve"> число ИП увеличилось на 5,3% [7</w:t>
      </w:r>
      <w:r>
        <w:t>]. В первом полугодии 2025 года, согласно официальной статистике регистрации юридических лиц, закрылось 141 тыс. компаний при 95 тыс. вновь открытых. Как показано в табл. 2, в 2024 году наблюдалось положительное сальдо (+12 тыс.), однако в 2025 году разрыв в пользу закрытий составил 60 тыс., а количество ликвидаций превысило число регистраций на 26%.</w:t>
      </w:r>
    </w:p>
    <w:p w14:paraId="12DCE61F" w14:textId="02A7EF11" w:rsidR="00B95A26" w:rsidRPr="00D52A1D" w:rsidRDefault="000E6D4E">
      <w:pPr>
        <w:ind w:firstLine="0"/>
        <w:jc w:val="right"/>
      </w:pPr>
      <w:r>
        <w:t>Таблица 2</w:t>
      </w:r>
    </w:p>
    <w:p w14:paraId="3F74E457" w14:textId="77777777" w:rsidR="00B95A26" w:rsidRPr="00D52A1D" w:rsidRDefault="000E6D4E">
      <w:pPr>
        <w:ind w:firstLine="0"/>
        <w:jc w:val="center"/>
      </w:pPr>
      <w:r>
        <w:t>Открытие и ликвидация юридических лиц в России, 2023–2025 гг.</w:t>
      </w:r>
    </w:p>
    <w:tbl>
      <w:tblPr>
        <w:tblW w:w="9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800"/>
        <w:gridCol w:w="2419"/>
        <w:gridCol w:w="2419"/>
        <w:gridCol w:w="2000"/>
      </w:tblGrid>
      <w:tr w:rsidR="00B95A26" w14:paraId="3E281D49" w14:textId="77777777">
        <w:tc>
          <w:tcPr>
            <w:tcW w:w="2800" w:type="dxa"/>
            <w:tcBorders>
              <w:top w:val="single" w:sz="4" w:space="0" w:color="000000"/>
              <w:left w:val="single" w:sz="4" w:space="0" w:color="000000"/>
              <w:bottom w:val="single" w:sz="4" w:space="0" w:color="000000"/>
              <w:right w:val="single" w:sz="4" w:space="0" w:color="000000"/>
            </w:tcBorders>
            <w:shd w:val="clear" w:color="auto" w:fill="D9D9D9"/>
            <w:tcMar>
              <w:top w:w="60" w:type="dxa"/>
              <w:left w:w="100" w:type="dxa"/>
              <w:bottom w:w="60" w:type="dxa"/>
              <w:right w:w="100" w:type="dxa"/>
            </w:tcMar>
            <w:vAlign w:val="center"/>
          </w:tcPr>
          <w:p w14:paraId="0268B679" w14:textId="77777777" w:rsidR="00B95A26" w:rsidRDefault="000E6D4E">
            <w:pPr>
              <w:ind w:firstLine="0"/>
              <w:jc w:val="center"/>
            </w:pPr>
            <w:r>
              <w:rPr>
                <w:b/>
                <w:bCs/>
              </w:rPr>
              <w:t>Показатель</w:t>
            </w:r>
          </w:p>
        </w:tc>
        <w:tc>
          <w:tcPr>
            <w:tcW w:w="2419" w:type="dxa"/>
            <w:tcBorders>
              <w:top w:val="single" w:sz="4" w:space="0" w:color="000000"/>
              <w:left w:val="single" w:sz="4" w:space="0" w:color="000000"/>
              <w:bottom w:val="single" w:sz="4" w:space="0" w:color="000000"/>
              <w:right w:val="single" w:sz="4" w:space="0" w:color="000000"/>
            </w:tcBorders>
            <w:shd w:val="clear" w:color="auto" w:fill="D9D9D9"/>
            <w:tcMar>
              <w:top w:w="60" w:type="dxa"/>
              <w:left w:w="100" w:type="dxa"/>
              <w:bottom w:w="60" w:type="dxa"/>
              <w:right w:w="100" w:type="dxa"/>
            </w:tcMar>
            <w:vAlign w:val="center"/>
          </w:tcPr>
          <w:p w14:paraId="062D03C5" w14:textId="77777777" w:rsidR="00B95A26" w:rsidRDefault="000E6D4E">
            <w:pPr>
              <w:ind w:firstLine="0"/>
              <w:jc w:val="center"/>
            </w:pPr>
            <w:r>
              <w:rPr>
                <w:b/>
                <w:bCs/>
              </w:rPr>
              <w:t>2023 г.</w:t>
            </w:r>
          </w:p>
        </w:tc>
        <w:tc>
          <w:tcPr>
            <w:tcW w:w="2419" w:type="dxa"/>
            <w:tcBorders>
              <w:top w:val="single" w:sz="4" w:space="0" w:color="000000"/>
              <w:left w:val="single" w:sz="4" w:space="0" w:color="000000"/>
              <w:bottom w:val="single" w:sz="4" w:space="0" w:color="000000"/>
              <w:right w:val="single" w:sz="4" w:space="0" w:color="000000"/>
            </w:tcBorders>
            <w:shd w:val="clear" w:color="auto" w:fill="D9D9D9"/>
            <w:tcMar>
              <w:top w:w="60" w:type="dxa"/>
              <w:left w:w="100" w:type="dxa"/>
              <w:bottom w:w="60" w:type="dxa"/>
              <w:right w:w="100" w:type="dxa"/>
            </w:tcMar>
            <w:vAlign w:val="center"/>
          </w:tcPr>
          <w:p w14:paraId="07F65ECF" w14:textId="77777777" w:rsidR="00B95A26" w:rsidRDefault="000E6D4E">
            <w:pPr>
              <w:ind w:firstLine="0"/>
              <w:jc w:val="center"/>
            </w:pPr>
            <w:r>
              <w:rPr>
                <w:b/>
                <w:bCs/>
              </w:rPr>
              <w:t>2024 г.</w:t>
            </w:r>
          </w:p>
        </w:tc>
        <w:tc>
          <w:tcPr>
            <w:tcW w:w="2000" w:type="dxa"/>
            <w:tcBorders>
              <w:top w:val="single" w:sz="4" w:space="0" w:color="000000"/>
              <w:left w:val="single" w:sz="4" w:space="0" w:color="000000"/>
              <w:bottom w:val="single" w:sz="4" w:space="0" w:color="000000"/>
              <w:right w:val="single" w:sz="4" w:space="0" w:color="000000"/>
            </w:tcBorders>
            <w:shd w:val="clear" w:color="auto" w:fill="D9D9D9"/>
            <w:tcMar>
              <w:top w:w="60" w:type="dxa"/>
              <w:left w:w="100" w:type="dxa"/>
              <w:bottom w:w="60" w:type="dxa"/>
              <w:right w:w="100" w:type="dxa"/>
            </w:tcMar>
            <w:vAlign w:val="center"/>
          </w:tcPr>
          <w:p w14:paraId="119FE530" w14:textId="77777777" w:rsidR="00B95A26" w:rsidRDefault="000E6D4E">
            <w:pPr>
              <w:ind w:firstLine="0"/>
              <w:jc w:val="center"/>
            </w:pPr>
            <w:r>
              <w:rPr>
                <w:b/>
                <w:bCs/>
              </w:rPr>
              <w:t>I пол. 2025 г.</w:t>
            </w:r>
          </w:p>
        </w:tc>
      </w:tr>
      <w:tr w:rsidR="00B95A26" w14:paraId="3ABC277B" w14:textId="77777777">
        <w:tc>
          <w:tcPr>
            <w:tcW w:w="2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3F84AF8" w14:textId="77777777" w:rsidR="00B95A26" w:rsidRDefault="000E6D4E" w:rsidP="0009697F">
            <w:pPr>
              <w:ind w:firstLine="0"/>
            </w:pPr>
            <w:r>
              <w:t xml:space="preserve">Открыто новых </w:t>
            </w:r>
            <w:proofErr w:type="spellStart"/>
            <w:r>
              <w:t>юрлиц</w:t>
            </w:r>
            <w:proofErr w:type="spellEnd"/>
            <w:r>
              <w:t>, тыс.</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760D095" w14:textId="13057505" w:rsidR="00B95A26" w:rsidRDefault="000E6D4E">
            <w:pPr>
              <w:ind w:firstLine="0"/>
              <w:jc w:val="center"/>
            </w:pPr>
            <w:r>
              <w:t>215</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82E985B" w14:textId="6BCDF5C8" w:rsidR="00B95A26" w:rsidRDefault="000E6D4E">
            <w:pPr>
              <w:ind w:firstLine="0"/>
              <w:jc w:val="center"/>
            </w:pPr>
            <w:r>
              <w:t>215</w:t>
            </w:r>
          </w:p>
        </w:tc>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E97A5B1" w14:textId="3C36C907" w:rsidR="00B95A26" w:rsidRDefault="00341A52">
            <w:pPr>
              <w:ind w:firstLine="0"/>
              <w:jc w:val="center"/>
            </w:pPr>
            <w:r>
              <w:t>173</w:t>
            </w:r>
          </w:p>
        </w:tc>
      </w:tr>
      <w:tr w:rsidR="00B95A26" w14:paraId="15A8335B" w14:textId="77777777">
        <w:tc>
          <w:tcPr>
            <w:tcW w:w="2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F436BA7" w14:textId="77777777" w:rsidR="00B95A26" w:rsidRDefault="000E6D4E" w:rsidP="0009697F">
            <w:pPr>
              <w:ind w:firstLine="0"/>
            </w:pPr>
            <w:r>
              <w:t xml:space="preserve">Ликвидировано </w:t>
            </w:r>
            <w:proofErr w:type="spellStart"/>
            <w:r>
              <w:t>юрлиц</w:t>
            </w:r>
            <w:proofErr w:type="spellEnd"/>
            <w:r>
              <w:t>, тыс.</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3885DAEE" w14:textId="77777777" w:rsidR="00B95A26" w:rsidRDefault="000E6D4E">
            <w:pPr>
              <w:ind w:firstLine="0"/>
              <w:jc w:val="center"/>
            </w:pPr>
            <w:r>
              <w:t>254</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22CC092" w14:textId="77777777" w:rsidR="00B95A26" w:rsidRDefault="000E6D4E">
            <w:pPr>
              <w:ind w:firstLine="0"/>
              <w:jc w:val="center"/>
            </w:pPr>
            <w:r>
              <w:t>203</w:t>
            </w:r>
          </w:p>
        </w:tc>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9E447EE" w14:textId="3C857506" w:rsidR="00B95A26" w:rsidRDefault="00341A52">
            <w:pPr>
              <w:ind w:firstLine="0"/>
              <w:jc w:val="center"/>
            </w:pPr>
            <w:r>
              <w:t>233</w:t>
            </w:r>
          </w:p>
        </w:tc>
      </w:tr>
      <w:tr w:rsidR="00B95A26" w14:paraId="145B5986" w14:textId="77777777">
        <w:tc>
          <w:tcPr>
            <w:tcW w:w="2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0C6F5E0" w14:textId="77777777" w:rsidR="00B95A26" w:rsidRDefault="000E6D4E" w:rsidP="0009697F">
            <w:pPr>
              <w:ind w:firstLine="0"/>
            </w:pPr>
            <w:r>
              <w:t>Сальдо (открытые – закрытые), тыс.</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BD37C70" w14:textId="77777777" w:rsidR="00B95A26" w:rsidRDefault="000E6D4E">
            <w:pPr>
              <w:ind w:firstLine="0"/>
              <w:jc w:val="center"/>
            </w:pPr>
            <w:r>
              <w:t>–39</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1B599FB1" w14:textId="77777777" w:rsidR="00B95A26" w:rsidRDefault="000E6D4E">
            <w:pPr>
              <w:ind w:firstLine="0"/>
              <w:jc w:val="center"/>
            </w:pPr>
            <w:r>
              <w:t>+12</w:t>
            </w:r>
          </w:p>
        </w:tc>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8501C52" w14:textId="7862FB4B" w:rsidR="00B95A26" w:rsidRDefault="000E6D4E">
            <w:pPr>
              <w:ind w:firstLine="0"/>
              <w:jc w:val="center"/>
            </w:pPr>
            <w:r>
              <w:t>–60</w:t>
            </w:r>
          </w:p>
        </w:tc>
      </w:tr>
      <w:tr w:rsidR="00B95A26" w14:paraId="198768C8" w14:textId="77777777">
        <w:tc>
          <w:tcPr>
            <w:tcW w:w="2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F861418" w14:textId="77777777" w:rsidR="00B95A26" w:rsidRDefault="000E6D4E" w:rsidP="0009697F">
            <w:pPr>
              <w:ind w:firstLine="0"/>
            </w:pPr>
            <w:r>
              <w:t xml:space="preserve">Число новых регистраций </w:t>
            </w:r>
            <w:proofErr w:type="spellStart"/>
            <w:r>
              <w:t>юрлиц</w:t>
            </w:r>
            <w:proofErr w:type="spellEnd"/>
            <w:r>
              <w:t>, % к пред. году</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25BD88DA" w14:textId="77777777" w:rsidR="00B95A26" w:rsidRDefault="000E6D4E">
            <w:pPr>
              <w:ind w:firstLine="0"/>
              <w:jc w:val="center"/>
            </w:pPr>
            <w:r>
              <w:t>–</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337EC82" w14:textId="77777777" w:rsidR="00B95A26" w:rsidRDefault="000E6D4E">
            <w:pPr>
              <w:ind w:firstLine="0"/>
              <w:jc w:val="center"/>
            </w:pPr>
            <w:r>
              <w:t>–</w:t>
            </w:r>
          </w:p>
        </w:tc>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437924D9" w14:textId="77777777" w:rsidR="00B95A26" w:rsidRDefault="000E6D4E">
            <w:pPr>
              <w:ind w:firstLine="0"/>
              <w:jc w:val="center"/>
            </w:pPr>
            <w:r>
              <w:t>–20%</w:t>
            </w:r>
          </w:p>
        </w:tc>
      </w:tr>
      <w:tr w:rsidR="00B95A26" w14:paraId="2E6E385A" w14:textId="77777777">
        <w:tc>
          <w:tcPr>
            <w:tcW w:w="28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7ACB9339" w14:textId="77777777" w:rsidR="00B95A26" w:rsidRDefault="000E6D4E" w:rsidP="0009697F">
            <w:pPr>
              <w:ind w:firstLine="0"/>
            </w:pPr>
            <w:r>
              <w:t xml:space="preserve">Число ликвидаций </w:t>
            </w:r>
            <w:proofErr w:type="spellStart"/>
            <w:r>
              <w:t>юрлиц</w:t>
            </w:r>
            <w:proofErr w:type="spellEnd"/>
            <w:r>
              <w:t>, % к пред. году</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6EDBF85A" w14:textId="77777777" w:rsidR="00B95A26" w:rsidRDefault="000E6D4E">
            <w:pPr>
              <w:ind w:firstLine="0"/>
              <w:jc w:val="center"/>
            </w:pPr>
            <w:r>
              <w:t>–9%</w:t>
            </w:r>
          </w:p>
        </w:tc>
        <w:tc>
          <w:tcPr>
            <w:tcW w:w="2419"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07D37E46" w14:textId="77777777" w:rsidR="00B95A26" w:rsidRDefault="000E6D4E">
            <w:pPr>
              <w:ind w:firstLine="0"/>
              <w:jc w:val="center"/>
            </w:pPr>
            <w:r>
              <w:t>–20%</w:t>
            </w:r>
          </w:p>
        </w:tc>
        <w:tc>
          <w:tcPr>
            <w:tcW w:w="2000" w:type="dxa"/>
            <w:tcBorders>
              <w:top w:val="single" w:sz="4" w:space="0" w:color="000000"/>
              <w:left w:val="single" w:sz="4" w:space="0" w:color="000000"/>
              <w:bottom w:val="single" w:sz="4" w:space="0" w:color="000000"/>
              <w:right w:val="single" w:sz="4" w:space="0" w:color="000000"/>
            </w:tcBorders>
            <w:tcMar>
              <w:top w:w="60" w:type="dxa"/>
              <w:left w:w="100" w:type="dxa"/>
              <w:bottom w:w="60" w:type="dxa"/>
              <w:right w:w="100" w:type="dxa"/>
            </w:tcMar>
          </w:tcPr>
          <w:p w14:paraId="579FF45B" w14:textId="77777777" w:rsidR="00B95A26" w:rsidRDefault="000E6D4E">
            <w:pPr>
              <w:ind w:firstLine="0"/>
              <w:jc w:val="center"/>
            </w:pPr>
            <w:r>
              <w:t>+15%</w:t>
            </w:r>
          </w:p>
        </w:tc>
      </w:tr>
    </w:tbl>
    <w:p w14:paraId="241D64A0" w14:textId="0AB2A22C" w:rsidR="007C7DCC" w:rsidRDefault="0009697F" w:rsidP="007A294D">
      <w:r w:rsidRPr="0009697F">
        <w:t>Источник: данные ФНС России (форма № 1-МП) и оперативная статистика регистрации</w:t>
      </w:r>
      <w:r>
        <w:t xml:space="preserve"> </w:t>
      </w:r>
      <w:r w:rsidRPr="0009697F">
        <w:t>юридических</w:t>
      </w:r>
      <w:r>
        <w:t xml:space="preserve"> </w:t>
      </w:r>
      <w:r w:rsidRPr="0009697F">
        <w:t>лиц</w:t>
      </w:r>
      <w:r w:rsidR="007A294D">
        <w:t xml:space="preserve"> </w:t>
      </w:r>
      <w:r w:rsidRPr="0009697F">
        <w:t>[4;</w:t>
      </w:r>
      <w:r w:rsidR="005478E7">
        <w:t>5;</w:t>
      </w:r>
      <w:r w:rsidRPr="0009697F">
        <w:t>6].</w:t>
      </w:r>
    </w:p>
    <w:p w14:paraId="6C336972" w14:textId="2C350F98" w:rsidR="007A294D" w:rsidRDefault="0009697F" w:rsidP="007A294D">
      <w:r w:rsidRPr="0009697F">
        <w:t>Из данных табл. 2 можно сделать вывод о том, что во втором полугодии 2024 года — первом полугодии 2025 года произошла смена тенденции: если 2024 год дал положительное сальдо (возможно, связанное с «зачисткой» реестра от недействующих лиц), то в 2025 году число ликвидаций выросло на 15% по сравнению с аналогичным периодом прошлого года, а число новых регистраций снизилось до минимума. Однако прямой связи этих показателей с общим состоянием бизнес-климата без</w:t>
      </w:r>
      <w:r w:rsidR="007A294D">
        <w:t xml:space="preserve"> </w:t>
      </w:r>
      <w:r>
        <w:t>дополни</w:t>
      </w:r>
      <w:r w:rsidRPr="0009697F">
        <w:t>тельных данных (опросов, финансовой</w:t>
      </w:r>
      <w:r w:rsidR="007A294D">
        <w:t xml:space="preserve"> отчетности) делать не следует.</w:t>
      </w:r>
    </w:p>
    <w:p w14:paraId="675A3F53" w14:textId="362C8139" w:rsidR="007A294D" w:rsidRDefault="0009697F" w:rsidP="007A294D">
      <w:r w:rsidRPr="0009697F">
        <w:lastRenderedPageBreak/>
        <w:t>Возможные причины убыли юридических лиц: кредитные условия, налоговая нагрузка и конкуренция</w:t>
      </w:r>
      <w:r w:rsidR="00C42C38">
        <w:t>.</w:t>
      </w:r>
      <w:r w:rsidR="007A294D">
        <w:t xml:space="preserve"> </w:t>
      </w:r>
      <w:r w:rsidRPr="0009697F">
        <w:t>Среди факторов, которые могут объяснять отрицательную динамику числа действующих юридических лиц в 2024–2026 гг., авторы публикаций и отраслевые опро</w:t>
      </w:r>
      <w:r w:rsidR="007A294D">
        <w:t>сы выделяют несколько основных.</w:t>
      </w:r>
    </w:p>
    <w:p w14:paraId="26A8EBD4" w14:textId="733ECC81" w:rsidR="007A294D" w:rsidRDefault="0009697F" w:rsidP="007A294D">
      <w:r w:rsidRPr="0009697F">
        <w:t>Во-первых, уровень ключевой ставки Банка России (21% в 2024 г.) сделал заёмное финансирование для многих малых предприятий труднодоступным. Ряд экспертов указывает, что кредиты под 25–30% годовых трудно оправдать при типичной рентабельности розничной торговли [</w:t>
      </w:r>
      <w:r w:rsidR="005478E7">
        <w:t>9</w:t>
      </w:r>
      <w:r w:rsidRPr="0009697F">
        <w:t>]. Согласно статистике Банка России, просроченная задолженность МСП по кредитам достигла 767 млрд руб., увеличившись за</w:t>
      </w:r>
      <w:r w:rsidR="007A294D">
        <w:t xml:space="preserve"> год на 14% [</w:t>
      </w:r>
      <w:r w:rsidR="005478E7">
        <w:t>8</w:t>
      </w:r>
      <w:r w:rsidR="007A294D">
        <w:t>].</w:t>
      </w:r>
    </w:p>
    <w:p w14:paraId="4110462A" w14:textId="4E1D1918" w:rsidR="007A294D" w:rsidRDefault="0009697F" w:rsidP="007A294D">
      <w:r w:rsidRPr="0009697F">
        <w:t>Во-вторых, с 1 января 2026 года вступили в силу изменения налогового законодательства: основная ставка НДС повышена с 20% до 22% (льготная ставка 10% сохранена для социально значимых товаров). Одновременно снижен порог выручки для обязанности уплаты НДС для плательщиков УСН и ПСН: с 60 млн руб. в 2025 г. до 20 млн руб. в 2026 г. (с последующим снижением до 15 и 10 млн руб.). В результате тысячи малых предприятий стали плательщиками НДС. Кроме того, с 2026 года для большинства субъектов МСП отменён пониженный тариф страховых взносов 15% и применяется общий тариф 30%. По данным опроса «Опоры России» (март 2026 г.), 95% компаний МСП отметили ухудшение условий ведения бизнеса, при этом только 23,7% полностью уверены в продолжении деятельности [1</w:t>
      </w:r>
      <w:r w:rsidR="005478E7">
        <w:t>4</w:t>
      </w:r>
      <w:r w:rsidRPr="0009697F">
        <w:t>]. Однако эти данные отражают субъективные оценки предпринимателей, а не объективны</w:t>
      </w:r>
      <w:r w:rsidR="007A294D">
        <w:t>й причинно-следственный анализ.</w:t>
      </w:r>
    </w:p>
    <w:p w14:paraId="49DE3E5E" w14:textId="58AE669C" w:rsidR="007A294D" w:rsidRDefault="0009697F" w:rsidP="007A294D">
      <w:r w:rsidRPr="0009697F">
        <w:t xml:space="preserve">В-третьих, как отмечается в аналитических обзорах, давление со стороны </w:t>
      </w:r>
      <w:proofErr w:type="spellStart"/>
      <w:r w:rsidRPr="0009697F">
        <w:t>маркетплейсов</w:t>
      </w:r>
      <w:proofErr w:type="spellEnd"/>
      <w:r w:rsidRPr="0009697F">
        <w:t xml:space="preserve"> (</w:t>
      </w:r>
      <w:proofErr w:type="spellStart"/>
      <w:r w:rsidRPr="0009697F">
        <w:t>Wildberries</w:t>
      </w:r>
      <w:proofErr w:type="spellEnd"/>
      <w:r w:rsidRPr="0009697F">
        <w:t xml:space="preserve">, </w:t>
      </w:r>
      <w:proofErr w:type="spellStart"/>
      <w:r w:rsidRPr="0009697F">
        <w:t>Ozon</w:t>
      </w:r>
      <w:proofErr w:type="spellEnd"/>
      <w:r w:rsidRPr="0009697F">
        <w:t xml:space="preserve">, Яндекс </w:t>
      </w:r>
      <w:proofErr w:type="spellStart"/>
      <w:r w:rsidRPr="0009697F">
        <w:t>Маркет</w:t>
      </w:r>
      <w:proofErr w:type="spellEnd"/>
      <w:r w:rsidRPr="0009697F">
        <w:t xml:space="preserve">) может способствовать закрытию части офлайн-магазинов. Согласно публикациям, основанным на данных ФНС, в 2025 году 18% ликвидаций среди ИП пришлось на сферу </w:t>
      </w:r>
      <w:proofErr w:type="spellStart"/>
      <w:r w:rsidRPr="0009697F">
        <w:t>интернет-торговли</w:t>
      </w:r>
      <w:proofErr w:type="spellEnd"/>
      <w:r w:rsidRPr="0009697F">
        <w:t xml:space="preserve"> [</w:t>
      </w:r>
      <w:r w:rsidR="005478E7">
        <w:t>6</w:t>
      </w:r>
      <w:r w:rsidRPr="0009697F">
        <w:t xml:space="preserve">]. При этом сложно однозначно разделить вклад конкуренции </w:t>
      </w:r>
      <w:proofErr w:type="spellStart"/>
      <w:r w:rsidRPr="0009697F">
        <w:t>маркетплейсов</w:t>
      </w:r>
      <w:proofErr w:type="spellEnd"/>
      <w:r w:rsidRPr="0009697F">
        <w:t xml:space="preserve"> и других</w:t>
      </w:r>
      <w:r w:rsidR="00C42C38">
        <w:t xml:space="preserve"> </w:t>
      </w:r>
      <w:r w:rsidR="007A294D">
        <w:t>факторов.</w:t>
      </w:r>
    </w:p>
    <w:p w14:paraId="08FC7355" w14:textId="35A361C3" w:rsidR="007A294D" w:rsidRDefault="0009697F" w:rsidP="007A294D">
      <w:r w:rsidRPr="0009697F">
        <w:t>В-четвёртых, снижение реальных располагаемых доходов населения, фиксируемое Росстатом, могло ограничить потребительский спрос. В 2024 году 30% опрошенных МСП называли снижение продаж ключевой проблемой; в 2025 году, по данным отраслевых опросов, эта тенденция сохранилась. Чаще всего закрытия наблюдаются в торговле, строительстве, операциях с</w:t>
      </w:r>
      <w:r w:rsidR="007A294D">
        <w:t xml:space="preserve"> недвижимостью и сервисах [1].</w:t>
      </w:r>
    </w:p>
    <w:p w14:paraId="237D5C3B" w14:textId="77777777" w:rsidR="007A294D" w:rsidRDefault="0009697F" w:rsidP="007A294D">
      <w:r w:rsidRPr="0009697F">
        <w:t>Цифровая зависимость малой торговли и возможные риски ограничения интернета</w:t>
      </w:r>
      <w:r w:rsidRPr="0009697F">
        <w:br/>
        <w:t xml:space="preserve">Сбои в работе интернета представляют собой самостоятельный операционный риск для малого розничного бизнеса, поскольку современные требования к торговле предполагают передачу фискальных данных онлайн-касс в ФНС (Федеральный закон № 54-ФЗ), безналичные платежи через </w:t>
      </w:r>
      <w:proofErr w:type="spellStart"/>
      <w:r w:rsidRPr="0009697F">
        <w:t>эквайринг</w:t>
      </w:r>
      <w:proofErr w:type="spellEnd"/>
      <w:r w:rsidRPr="0009697F">
        <w:t xml:space="preserve"> и использование сис</w:t>
      </w:r>
      <w:r w:rsidR="007A294D">
        <w:t>темы маркировки «Честный ЗНАК».</w:t>
      </w:r>
    </w:p>
    <w:p w14:paraId="6228A268" w14:textId="216D9125" w:rsidR="007A294D" w:rsidRDefault="0009697F" w:rsidP="007A294D">
      <w:r w:rsidRPr="0009697F">
        <w:t xml:space="preserve">В 2025 году в ряде регионов России имели место систематические отключения мобильного интернета: по данным независимого проекта «На связи», за первые 11 дней июля 2025 года было зафиксировано 744 отключения, а всего к концу года проблемы с доступом отмечались в 73 из 83 регионов, включая Приморье, Сахалин и Камчатку. По оценке «Опоры России», малый бизнес оказывается наиболее уязвимым к таким сбоям, поскольку не </w:t>
      </w:r>
      <w:r w:rsidR="007A294D">
        <w:t>имеет резервных каналов связи.</w:t>
      </w:r>
    </w:p>
    <w:p w14:paraId="3722592A" w14:textId="77777777" w:rsidR="007A294D" w:rsidRDefault="0009697F" w:rsidP="007A294D">
      <w:r w:rsidRPr="0009697F">
        <w:t xml:space="preserve">Для конкретной малой торговой точки последствия сбоя могут быть следующими (на основании </w:t>
      </w:r>
      <w:r w:rsidR="007A294D">
        <w:t>действующего законодательства):</w:t>
      </w:r>
    </w:p>
    <w:p w14:paraId="6E7B4C30" w14:textId="77777777" w:rsidR="007A294D" w:rsidRDefault="0009697F" w:rsidP="007A294D">
      <w:r w:rsidRPr="0009697F">
        <w:t>· при отсутствии связи онлайн-касса может работать в автономном режиме не более 30 календарных дней (ст. 4.1 Федерального закона № 54-ФЗ); если по истечении этого срока связь не восстановлена, фискал</w:t>
      </w:r>
      <w:r w:rsidR="007A294D">
        <w:t>ьный накопитель блокируется;</w:t>
      </w:r>
    </w:p>
    <w:p w14:paraId="16D38914" w14:textId="77777777" w:rsidR="007A294D" w:rsidRDefault="0009697F" w:rsidP="007A294D">
      <w:r w:rsidRPr="0009697F">
        <w:t xml:space="preserve">· терминал </w:t>
      </w:r>
      <w:proofErr w:type="spellStart"/>
      <w:r w:rsidRPr="0009697F">
        <w:t>эквайринга</w:t>
      </w:r>
      <w:proofErr w:type="spellEnd"/>
      <w:r w:rsidRPr="0009697F">
        <w:t xml:space="preserve"> без интернета н</w:t>
      </w:r>
      <w:r w:rsidR="007A294D">
        <w:t>е проводит безналичные платежи;</w:t>
      </w:r>
    </w:p>
    <w:p w14:paraId="52E2A38C" w14:textId="77777777" w:rsidR="007A294D" w:rsidRDefault="0009697F" w:rsidP="007A294D">
      <w:r w:rsidRPr="0009697F">
        <w:t>· продажа товаров, подлежащих обязательной маркировке, в автономном режиме затруднена, однако данные о выбытии кода маркировки необходимо передать в систему п</w:t>
      </w:r>
      <w:r w:rsidR="007A294D">
        <w:t>осле восстановления связи.</w:t>
      </w:r>
    </w:p>
    <w:p w14:paraId="5B295FA5" w14:textId="77777777" w:rsidR="007A294D" w:rsidRDefault="0009697F" w:rsidP="007A294D">
      <w:r w:rsidRPr="0009697F">
        <w:lastRenderedPageBreak/>
        <w:t xml:space="preserve">Крупные </w:t>
      </w:r>
      <w:proofErr w:type="spellStart"/>
      <w:r w:rsidRPr="0009697F">
        <w:t>ретейлеры</w:t>
      </w:r>
      <w:proofErr w:type="spellEnd"/>
      <w:r w:rsidRPr="0009697F">
        <w:t>, как правило, имеют резервные каналы связи, тогда как индивидуальный предприниматель несёт убытки без механизма их компенсации.</w:t>
      </w:r>
      <w:r w:rsidRPr="0009697F">
        <w:br/>
        <w:t>Меры государственной поддержки (на основе официальных программ)</w:t>
      </w:r>
      <w:r w:rsidRPr="0009697F">
        <w:br/>
        <w:t>На основе анализа проблем, выделяемых в официальных</w:t>
      </w:r>
      <w:r w:rsidR="007A294D">
        <w:t xml:space="preserve"> </w:t>
      </w:r>
      <w:r w:rsidRPr="0009697F">
        <w:t>документах и отраслевых исследованиях, можно перечислить следующие меры поддержки, уже реализуемые или предл</w:t>
      </w:r>
      <w:r w:rsidR="007A294D">
        <w:t>агаемые компетентными органами.</w:t>
      </w:r>
    </w:p>
    <w:p w14:paraId="5E3EB4CC" w14:textId="77777777" w:rsidR="007A294D" w:rsidRDefault="0009697F" w:rsidP="007A294D">
      <w:r w:rsidRPr="0009697F">
        <w:t xml:space="preserve">В сфере </w:t>
      </w:r>
      <w:r w:rsidR="007A294D">
        <w:t xml:space="preserve">кредитования и налогообложения. </w:t>
      </w:r>
      <w:r w:rsidRPr="0009697F">
        <w:t xml:space="preserve">Банк России реализует Программу стимулирования кредитования МСП совместно с Корпорацией «МСП» с совокупным лимитом 320 млрд рублей. Кредиты в рамках этой программы предоставляются по ставке «ключевая ставка минус 1,5 процентного пункта». В качестве возможного направления развития предлагается расширить лимит программы и распространить её на </w:t>
      </w:r>
      <w:proofErr w:type="spellStart"/>
      <w:r w:rsidRPr="0009697F">
        <w:t>микробизнес</w:t>
      </w:r>
      <w:proofErr w:type="spellEnd"/>
      <w:r w:rsidRPr="0009697F">
        <w:t xml:space="preserve"> с оборотом до 5 млн руб. в год. Кроме того, для смягчения последствий введения НДС для малых предприятий целесообразно предусмотреть переходный период 2–3 года, в течение которого технические ошибки первого года не будут вес</w:t>
      </w:r>
      <w:r w:rsidR="007A294D">
        <w:t>ти к административным санкциям.</w:t>
      </w:r>
    </w:p>
    <w:p w14:paraId="021D5D2E" w14:textId="77777777" w:rsidR="007A294D" w:rsidRDefault="0009697F" w:rsidP="007A294D">
      <w:r w:rsidRPr="0009697F">
        <w:t>В</w:t>
      </w:r>
      <w:r w:rsidR="007A294D">
        <w:t xml:space="preserve"> части цифровой инфраструктуры. </w:t>
      </w:r>
      <w:r w:rsidRPr="0009697F">
        <w:t xml:space="preserve">Для стабильной работы малых торговых точек необходимо обеспечение бесперебойного доступа в интернет на всей территории страны, а также доступных тарифов на услуги связи для предпринимателей. Решение этих задач относится к компетенции Министерства цифрового развития и может быть реализовано в рамках национальной </w:t>
      </w:r>
      <w:r w:rsidR="007A294D">
        <w:t>программы «Цифровая экономика».</w:t>
      </w:r>
    </w:p>
    <w:p w14:paraId="7B4C660F" w14:textId="77777777" w:rsidR="007A294D" w:rsidRDefault="007A294D" w:rsidP="007A294D">
      <w:r>
        <w:t xml:space="preserve">В области конкурентной среды. </w:t>
      </w:r>
      <w:r w:rsidR="0009697F" w:rsidRPr="0009697F">
        <w:t xml:space="preserve">С целью выравнивания условий для офлайн-торговли и </w:t>
      </w:r>
      <w:proofErr w:type="spellStart"/>
      <w:r w:rsidR="0009697F" w:rsidRPr="0009697F">
        <w:t>маркетплейсов</w:t>
      </w:r>
      <w:proofErr w:type="spellEnd"/>
      <w:r w:rsidR="0009697F" w:rsidRPr="0009697F">
        <w:t xml:space="preserve"> в качестве предложения можно рассматривать меры по ограничению демпинга и недобросовестных практик ценообразования, которые искусственно занижают стоимость товаров. Такие меры должны основываться на нормах Федерального закона «О защите кон</w:t>
      </w:r>
      <w:r>
        <w:t>куренции».</w:t>
      </w:r>
    </w:p>
    <w:p w14:paraId="7B0A2B55" w14:textId="77777777" w:rsidR="007A294D" w:rsidRDefault="007A294D" w:rsidP="007A294D">
      <w:r>
        <w:t xml:space="preserve">В части арендной политики. </w:t>
      </w:r>
      <w:r w:rsidR="0009697F" w:rsidRPr="0009697F">
        <w:t xml:space="preserve">Расширение программ льготной аренды муниципальных нежилых помещений для торговых точек шаговой доступности, особенно в малых городах с населением до 50 тыс. человек, может способствовать снижению издержек предпринимателей. Такие программы уже реализуются в ряде регионов, например, предоставление льготы в размере 50% по арендной плате за муниципальное имущество для социально ориентированных субъектов МСП на 2025 год, однако </w:t>
      </w:r>
      <w:r>
        <w:t>их масштаб может быть увеличен.</w:t>
      </w:r>
    </w:p>
    <w:p w14:paraId="75BD5EEA" w14:textId="77777777" w:rsidR="007A294D" w:rsidRDefault="0009697F" w:rsidP="007A294D">
      <w:r w:rsidRPr="0009697F">
        <w:t>Список использо</w:t>
      </w:r>
      <w:r w:rsidR="007A294D">
        <w:t>ванных источников</w:t>
      </w:r>
    </w:p>
    <w:p w14:paraId="395656A6" w14:textId="77777777" w:rsidR="00925942" w:rsidRDefault="00925942" w:rsidP="00925942">
      <w:r>
        <w:t>1. Федеральный закон от 22.05.2003 № 54-ФЗ «О применении контрольно-кассовой техники при осуществлении расчетов в Российской Федерации» (с изм. от 01.01.2026). – Ст. 4.1. – [Электронный ресурс]. – URL: https://www.consultant.ru/document/cons_doc_LAW_42359/12a6477d0e22968564d9416e594a80202a7024db/ (дата обращения: 15.05.2026).</w:t>
      </w:r>
    </w:p>
    <w:p w14:paraId="4046DDFE" w14:textId="77777777" w:rsidR="00925942" w:rsidRDefault="00925942" w:rsidP="00925942">
      <w:r>
        <w:t>2. Кодекс Российской Федерации об административных правонарушениях от 30.12.2001 № 195-ФЗ. – Ст. 14.5. – [Электронный ресурс]. – URL: https://www.consultant.ru/document/cons_doc_LAW_34661/3824bbacc6e85f19f12895b0ee20f3bbae92f439/ (дата обращения: 15.05.2026).</w:t>
      </w:r>
    </w:p>
    <w:p w14:paraId="79BF423F" w14:textId="77777777" w:rsidR="00925942" w:rsidRDefault="00925942" w:rsidP="00925942">
      <w:r>
        <w:t>3. Приказ ФНС России от 19.01.2026 № ЕД-1-21/28@ «Об утверждении формы представления сведений, порядка её заполнения, формата и порядка представления таких сведений». – [Электронный ресурс]. – URL: https://www.nalog.gov.ru/ (дата обращения: 11.05.2026).</w:t>
      </w:r>
    </w:p>
    <w:p w14:paraId="395D5715" w14:textId="77777777" w:rsidR="00925942" w:rsidRDefault="00925942" w:rsidP="00925942">
      <w:r>
        <w:t xml:space="preserve">4. Федеральная налоговая служба России. Единый реестр субъектов малого и среднего </w:t>
      </w:r>
      <w:proofErr w:type="gramStart"/>
      <w:r>
        <w:t>предпринимательства :</w:t>
      </w:r>
      <w:proofErr w:type="gramEnd"/>
      <w:r>
        <w:t xml:space="preserve"> статистический бюллетень (данные на 10 июля 2025 г.) и ежемесячные сведения о количестве субъектов МСП. – [Электронный ресурс]. – URL: https://rmsp.nalog.ru/ (дата обращения: 11.05.2026).</w:t>
      </w:r>
    </w:p>
    <w:p w14:paraId="4CE2A58F" w14:textId="77777777" w:rsidR="00925942" w:rsidRDefault="00925942" w:rsidP="00925942">
      <w:r>
        <w:t>5. Федеральная налоговая служба. Отчёт по форме № 1-ЮР (2026 год) «Сведения о работе по государственной регистрации юридических лиц». – [Электронный ресурс]. – URL: https://www.nalog.gov.ru/rn77/related_activities/statistics_and_analytics/forms/16601803/ (дата обращения: 15.05.2026).</w:t>
      </w:r>
    </w:p>
    <w:p w14:paraId="2DF62C20" w14:textId="77777777" w:rsidR="00925942" w:rsidRDefault="00925942" w:rsidP="00925942">
      <w:r>
        <w:lastRenderedPageBreak/>
        <w:t>6. Федеральная налоговая служба. Данные о регистрации и ликвидации индивидуальных предпринимателей по видам экономической деятельности (ОКВЭД</w:t>
      </w:r>
      <w:proofErr w:type="gramStart"/>
      <w:r>
        <w:t>) :</w:t>
      </w:r>
      <w:proofErr w:type="gramEnd"/>
      <w:r>
        <w:t xml:space="preserve"> выборочная статистика за 2025 г. – [Электронный ресурс]. – URL: https://www.nalog.gov.ru/ (дата обращения: 14.05.2026).</w:t>
      </w:r>
    </w:p>
    <w:p w14:paraId="5807A4E9" w14:textId="77777777" w:rsidR="00925942" w:rsidRDefault="00925942" w:rsidP="00925942">
      <w:r>
        <w:t xml:space="preserve">7. Минэкономразвития РФ. На 200 тысяч увеличилось число МСП по сравнению с прошлым </w:t>
      </w:r>
      <w:proofErr w:type="gramStart"/>
      <w:r>
        <w:t>годом :</w:t>
      </w:r>
      <w:proofErr w:type="gramEnd"/>
      <w:r>
        <w:t xml:space="preserve"> сообщение. – [Электронный ресурс]. – URL: https://www.economy.gov.ru/material/news/minekonomrazvitiya_na_200_tysyach_uvelichilos_chislo_msp_po_sravneniyu_s_proshlym_godom.html?ysclid=mp74vopn6n890590686 (дата обращения: 15.05.2026).</w:t>
      </w:r>
    </w:p>
    <w:p w14:paraId="384E5DF4" w14:textId="77777777" w:rsidR="00925942" w:rsidRDefault="00925942" w:rsidP="00925942">
      <w:r>
        <w:t xml:space="preserve">8. Банк России. Информационный материал о просроченной задолженности по кредитам, предоставленным субъектам </w:t>
      </w:r>
      <w:proofErr w:type="gramStart"/>
      <w:r>
        <w:t>МСП :</w:t>
      </w:r>
      <w:proofErr w:type="gramEnd"/>
      <w:r>
        <w:t xml:space="preserve"> 2025 г. – [Электронный ресурс]. – URL: https://cbr.ru/Collection/Collection/File/59472/inf_material_msp_2025_1.pdf (дата обращения: 15.05.2026).</w:t>
      </w:r>
    </w:p>
    <w:p w14:paraId="31773547" w14:textId="77777777" w:rsidR="00925942" w:rsidRDefault="00925942" w:rsidP="00925942">
      <w:r>
        <w:t>9. Банк России. Основные направления единой государственной денежно-кредитной политики на 2025 год и период 2026 и 2027 годов. – [Электронный ресурс]. – URL: https://cbr.ru/about_br/publ/ondkp/on_2025_2027 (дата обращения: 15.05.2026).</w:t>
      </w:r>
    </w:p>
    <w:p w14:paraId="4543C440" w14:textId="77777777" w:rsidR="00925942" w:rsidRDefault="00925942" w:rsidP="00925942">
      <w:r>
        <w:t>10. Банк России. Программа стимулирования кредитования субъектов малого и среднего предпринимательства. – [Электронный ресурс]. – URL: https://cbr.ru/develop/msp/ (дата обращения: 15.05.2026).</w:t>
      </w:r>
    </w:p>
    <w:p w14:paraId="53CCB4D3" w14:textId="77777777" w:rsidR="00925942" w:rsidRDefault="00925942" w:rsidP="00925942">
      <w:r>
        <w:t>11. Банк России. Аналитическая записка «О тенденциях кредитования субъектов малого и среднего предпринимательства в 2024 году». – [Электронный ресурс]. – URL: https://cbr.ru/Content/Document/File/170387/analytic_note_20241212_gucfo.pdf (дата обращения: 15.05.2026).</w:t>
      </w:r>
    </w:p>
    <w:p w14:paraId="6F41D9DE" w14:textId="77777777" w:rsidR="00925942" w:rsidRDefault="00925942" w:rsidP="00925942">
      <w:r>
        <w:t xml:space="preserve">12. Постановление Правительства РФ от 26.04.2019 № 515 (ред. от 29.09.2025) «О системе маркировки товаров средствами идентификации и </w:t>
      </w:r>
      <w:proofErr w:type="spellStart"/>
      <w:r>
        <w:t>прослеживаемости</w:t>
      </w:r>
      <w:proofErr w:type="spellEnd"/>
      <w:r>
        <w:t xml:space="preserve"> движения товаров». – [Электронный ресурс]. – URL: https://www.consultant.ru/document/cons_doc_LAW_323818/ (дата обращения: 15.05.2026).</w:t>
      </w:r>
    </w:p>
    <w:p w14:paraId="4C5003F9" w14:textId="77777777" w:rsidR="00925942" w:rsidRDefault="00925942" w:rsidP="00925942">
      <w:r>
        <w:t>13. Ведомости. Почти треть малого бизнеса думает о закрытии или продаже. – [Электронный ресурс] // Ведомости. – 2026. – 10 марта. – URL: https://www.vedomosti.ru/economics/articles/2026/03/10/1181642-pochti-tret-malogo-biznesa-dumaet-o-zakritii-ili-prodazhe (дата обращения: 11.05.2026).</w:t>
      </w:r>
    </w:p>
    <w:p w14:paraId="502F0CE1" w14:textId="34B537B5" w:rsidR="00925942" w:rsidRPr="0009697F" w:rsidRDefault="00925942" w:rsidP="00925942">
      <w:r>
        <w:t>14. «Опора России». Результаты опроса предпринимателей (март 2026 г.). – [Электронный ресурс]. – URL: https://opora.ru/news/media-about-us/tri-chetverti-predprinimateley-zayavili-ob-uslozhnenii-vedeniya-biznesa/ (дата обращения: 11.05.2026).</w:t>
      </w:r>
    </w:p>
    <w:p w14:paraId="546E8C90" w14:textId="19AC382A" w:rsidR="00B95A26" w:rsidRDefault="00B95A26" w:rsidP="00D52A1D"/>
    <w:sectPr w:rsidR="00B95A26">
      <w:pgSz w:w="11906" w:h="16838"/>
      <w:pgMar w:top="1134" w:right="1134" w:bottom="1134" w:left="1134"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544F24"/>
    <w:multiLevelType w:val="multilevel"/>
    <w:tmpl w:val="967C8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D4B7F90"/>
    <w:multiLevelType w:val="multilevel"/>
    <w:tmpl w:val="1BB428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5FC2299"/>
    <w:multiLevelType w:val="multilevel"/>
    <w:tmpl w:val="239EAF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6741D6D"/>
    <w:multiLevelType w:val="multilevel"/>
    <w:tmpl w:val="187001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8C82ACE"/>
    <w:multiLevelType w:val="hybridMultilevel"/>
    <w:tmpl w:val="C0F035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0C064C4"/>
    <w:multiLevelType w:val="hybridMultilevel"/>
    <w:tmpl w:val="2318B392"/>
    <w:lvl w:ilvl="0" w:tplc="56B4B370">
      <w:start w:val="1"/>
      <w:numFmt w:val="bullet"/>
      <w:lvlText w:val="●"/>
      <w:lvlJc w:val="left"/>
      <w:pPr>
        <w:ind w:left="720" w:hanging="360"/>
      </w:pPr>
    </w:lvl>
    <w:lvl w:ilvl="1" w:tplc="75A831A2">
      <w:start w:val="1"/>
      <w:numFmt w:val="bullet"/>
      <w:lvlText w:val="○"/>
      <w:lvlJc w:val="left"/>
      <w:pPr>
        <w:ind w:left="1440" w:hanging="360"/>
      </w:pPr>
    </w:lvl>
    <w:lvl w:ilvl="2" w:tplc="80FE132E">
      <w:start w:val="1"/>
      <w:numFmt w:val="bullet"/>
      <w:lvlText w:val="■"/>
      <w:lvlJc w:val="left"/>
      <w:pPr>
        <w:ind w:left="2160" w:hanging="360"/>
      </w:pPr>
    </w:lvl>
    <w:lvl w:ilvl="3" w:tplc="1E6EE1A2">
      <w:start w:val="1"/>
      <w:numFmt w:val="bullet"/>
      <w:lvlText w:val="●"/>
      <w:lvlJc w:val="left"/>
      <w:pPr>
        <w:ind w:left="2880" w:hanging="360"/>
      </w:pPr>
    </w:lvl>
    <w:lvl w:ilvl="4" w:tplc="ADF06A76">
      <w:start w:val="1"/>
      <w:numFmt w:val="bullet"/>
      <w:lvlText w:val="○"/>
      <w:lvlJc w:val="left"/>
      <w:pPr>
        <w:ind w:left="3600" w:hanging="360"/>
      </w:pPr>
    </w:lvl>
    <w:lvl w:ilvl="5" w:tplc="A8D449A4">
      <w:start w:val="1"/>
      <w:numFmt w:val="bullet"/>
      <w:lvlText w:val="■"/>
      <w:lvlJc w:val="left"/>
      <w:pPr>
        <w:ind w:left="4320" w:hanging="360"/>
      </w:pPr>
    </w:lvl>
    <w:lvl w:ilvl="6" w:tplc="9C38BE06">
      <w:start w:val="1"/>
      <w:numFmt w:val="bullet"/>
      <w:lvlText w:val="●"/>
      <w:lvlJc w:val="left"/>
      <w:pPr>
        <w:ind w:left="5040" w:hanging="360"/>
      </w:pPr>
    </w:lvl>
    <w:lvl w:ilvl="7" w:tplc="8592CB7A">
      <w:start w:val="1"/>
      <w:numFmt w:val="bullet"/>
      <w:lvlText w:val="●"/>
      <w:lvlJc w:val="left"/>
      <w:pPr>
        <w:ind w:left="5760" w:hanging="360"/>
      </w:pPr>
    </w:lvl>
    <w:lvl w:ilvl="8" w:tplc="A35A3988">
      <w:start w:val="1"/>
      <w:numFmt w:val="bullet"/>
      <w:lvlText w:val="●"/>
      <w:lvlJc w:val="left"/>
      <w:pPr>
        <w:ind w:left="6480" w:hanging="360"/>
      </w:pPr>
    </w:lvl>
  </w:abstractNum>
  <w:num w:numId="1">
    <w:abstractNumId w:val="5"/>
    <w:lvlOverride w:ilvl="0">
      <w:startOverride w:val="1"/>
    </w:lvlOverride>
  </w:num>
  <w:num w:numId="2">
    <w:abstractNumId w:val="0"/>
  </w:num>
  <w:num w:numId="3">
    <w:abstractNumId w:val="4"/>
  </w:num>
  <w:num w:numId="4">
    <w:abstractNumId w:val="2"/>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A26"/>
    <w:rsid w:val="000552C2"/>
    <w:rsid w:val="000555E3"/>
    <w:rsid w:val="0009697F"/>
    <w:rsid w:val="000A4141"/>
    <w:rsid w:val="000B17F2"/>
    <w:rsid w:val="000D5AD9"/>
    <w:rsid w:val="000E6D4E"/>
    <w:rsid w:val="001204D4"/>
    <w:rsid w:val="001B4613"/>
    <w:rsid w:val="001C4848"/>
    <w:rsid w:val="00246187"/>
    <w:rsid w:val="002B2DDB"/>
    <w:rsid w:val="002B32D7"/>
    <w:rsid w:val="00341A52"/>
    <w:rsid w:val="00361092"/>
    <w:rsid w:val="003634A8"/>
    <w:rsid w:val="003E5DE1"/>
    <w:rsid w:val="00533613"/>
    <w:rsid w:val="005478E7"/>
    <w:rsid w:val="00623BDC"/>
    <w:rsid w:val="006351C4"/>
    <w:rsid w:val="006D7CCF"/>
    <w:rsid w:val="007023DC"/>
    <w:rsid w:val="00715E6E"/>
    <w:rsid w:val="00727069"/>
    <w:rsid w:val="007A294D"/>
    <w:rsid w:val="007A6508"/>
    <w:rsid w:val="007B34FE"/>
    <w:rsid w:val="007B7EB1"/>
    <w:rsid w:val="007C7DCC"/>
    <w:rsid w:val="00812E14"/>
    <w:rsid w:val="00881E60"/>
    <w:rsid w:val="009053E0"/>
    <w:rsid w:val="00925942"/>
    <w:rsid w:val="00934E1D"/>
    <w:rsid w:val="009730B0"/>
    <w:rsid w:val="00A43D03"/>
    <w:rsid w:val="00AE2EC3"/>
    <w:rsid w:val="00B51628"/>
    <w:rsid w:val="00B83108"/>
    <w:rsid w:val="00B95A26"/>
    <w:rsid w:val="00C42C38"/>
    <w:rsid w:val="00D52A1D"/>
    <w:rsid w:val="00DB3B82"/>
    <w:rsid w:val="00E539A7"/>
    <w:rsid w:val="00EF0F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FD98C"/>
  <w15:docId w15:val="{742DED05-46E5-4215-845B-970B057FE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ru-RU" w:eastAsia="ru-RU"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ind w:firstLine="709"/>
    </w:pPr>
  </w:style>
  <w:style w:type="paragraph" w:styleId="1">
    <w:name w:val="heading 1"/>
    <w:uiPriority w:val="9"/>
    <w:qFormat/>
    <w:pPr>
      <w:outlineLvl w:val="0"/>
    </w:pPr>
    <w:rPr>
      <w:color w:val="2E74B5"/>
      <w:sz w:val="32"/>
      <w:szCs w:val="32"/>
    </w:rPr>
  </w:style>
  <w:style w:type="paragraph" w:styleId="2">
    <w:name w:val="heading 2"/>
    <w:uiPriority w:val="9"/>
    <w:semiHidden/>
    <w:unhideWhenUsed/>
    <w:qFormat/>
    <w:pPr>
      <w:outlineLvl w:val="1"/>
    </w:pPr>
    <w:rPr>
      <w:color w:val="2E74B5"/>
      <w:sz w:val="26"/>
      <w:szCs w:val="26"/>
    </w:rPr>
  </w:style>
  <w:style w:type="paragraph" w:styleId="3">
    <w:name w:val="heading 3"/>
    <w:uiPriority w:val="9"/>
    <w:semiHidden/>
    <w:unhideWhenUsed/>
    <w:qFormat/>
    <w:pPr>
      <w:outlineLvl w:val="2"/>
    </w:pPr>
    <w:rPr>
      <w:color w:val="1F4D78"/>
    </w:rPr>
  </w:style>
  <w:style w:type="paragraph" w:styleId="4">
    <w:name w:val="heading 4"/>
    <w:uiPriority w:val="9"/>
    <w:semiHidden/>
    <w:unhideWhenUsed/>
    <w:qFormat/>
    <w:pPr>
      <w:outlineLvl w:val="3"/>
    </w:pPr>
    <w:rPr>
      <w:i/>
      <w:iCs/>
      <w:color w:val="2E74B5"/>
    </w:rPr>
  </w:style>
  <w:style w:type="paragraph" w:styleId="5">
    <w:name w:val="heading 5"/>
    <w:uiPriority w:val="9"/>
    <w:semiHidden/>
    <w:unhideWhenUsed/>
    <w:qFormat/>
    <w:pPr>
      <w:outlineLvl w:val="4"/>
    </w:pPr>
    <w:rPr>
      <w:color w:val="2E74B5"/>
    </w:rPr>
  </w:style>
  <w:style w:type="paragraph" w:styleId="6">
    <w:name w:val="heading 6"/>
    <w:uiPriority w:val="9"/>
    <w:semiHidden/>
    <w:unhideWhenUsed/>
    <w:qFormat/>
    <w:pPr>
      <w:outlineLvl w:val="5"/>
    </w:pPr>
    <w:rPr>
      <w:color w:val="1F4D7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uiPriority w:val="10"/>
    <w:qFormat/>
    <w:rPr>
      <w:sz w:val="56"/>
      <w:szCs w:val="56"/>
    </w:rPr>
  </w:style>
  <w:style w:type="paragraph" w:customStyle="1" w:styleId="10">
    <w:name w:val="Строгий1"/>
    <w:qFormat/>
    <w:rPr>
      <w:b/>
      <w:bCs/>
    </w:rPr>
  </w:style>
  <w:style w:type="paragraph" w:styleId="a4">
    <w:name w:val="List Paragraph"/>
    <w:qFormat/>
  </w:style>
  <w:style w:type="character" w:styleId="a5">
    <w:name w:val="Hyperlink"/>
    <w:uiPriority w:val="99"/>
    <w:unhideWhenUsed/>
    <w:rPr>
      <w:color w:val="0563C1"/>
      <w:u w:val="single"/>
    </w:rPr>
  </w:style>
  <w:style w:type="character" w:styleId="a6">
    <w:name w:val="footnote reference"/>
    <w:uiPriority w:val="99"/>
    <w:semiHidden/>
    <w:unhideWhenUsed/>
    <w:rPr>
      <w:vertAlign w:val="superscript"/>
    </w:rPr>
  </w:style>
  <w:style w:type="paragraph" w:styleId="a7">
    <w:name w:val="footnote text"/>
    <w:link w:val="a8"/>
    <w:uiPriority w:val="99"/>
    <w:semiHidden/>
    <w:unhideWhenUsed/>
  </w:style>
  <w:style w:type="character" w:customStyle="1" w:styleId="a8">
    <w:name w:val="Текст сноски Знак"/>
    <w:link w:val="a7"/>
    <w:uiPriority w:val="99"/>
    <w:semiHidden/>
    <w:unhideWhenUsed/>
    <w:rPr>
      <w:sz w:val="20"/>
      <w:szCs w:val="20"/>
    </w:rPr>
  </w:style>
  <w:style w:type="character" w:styleId="a9">
    <w:name w:val="endnote reference"/>
    <w:uiPriority w:val="99"/>
    <w:semiHidden/>
    <w:unhideWhenUsed/>
    <w:rPr>
      <w:vertAlign w:val="superscript"/>
    </w:rPr>
  </w:style>
  <w:style w:type="paragraph" w:styleId="aa">
    <w:name w:val="endnote text"/>
    <w:link w:val="ab"/>
    <w:uiPriority w:val="99"/>
    <w:semiHidden/>
    <w:unhideWhenUsed/>
  </w:style>
  <w:style w:type="character" w:customStyle="1" w:styleId="ab">
    <w:name w:val="Текст концевой сноски Знак"/>
    <w:link w:val="aa"/>
    <w:uiPriority w:val="99"/>
    <w:semiHidden/>
    <w:unhideWhenUsed/>
    <w:rPr>
      <w:sz w:val="20"/>
      <w:szCs w:val="20"/>
    </w:rPr>
  </w:style>
  <w:style w:type="character" w:styleId="ac">
    <w:name w:val="Strong"/>
    <w:basedOn w:val="a0"/>
    <w:uiPriority w:val="22"/>
    <w:qFormat/>
    <w:rsid w:val="00623BDC"/>
    <w:rPr>
      <w:b/>
      <w:bCs/>
    </w:rPr>
  </w:style>
  <w:style w:type="paragraph" w:customStyle="1" w:styleId="ds-markdown-paragraph">
    <w:name w:val="ds-markdown-paragraph"/>
    <w:basedOn w:val="a"/>
    <w:rsid w:val="00246187"/>
    <w:pPr>
      <w:spacing w:before="100" w:beforeAutospacing="1" w:after="100" w:afterAutospacing="1"/>
    </w:pPr>
  </w:style>
  <w:style w:type="character" w:styleId="ad">
    <w:name w:val="Emphasis"/>
    <w:basedOn w:val="a0"/>
    <w:uiPriority w:val="20"/>
    <w:qFormat/>
    <w:rsid w:val="00341A52"/>
    <w:rPr>
      <w:i/>
      <w:iCs/>
    </w:rPr>
  </w:style>
  <w:style w:type="character" w:customStyle="1" w:styleId="UnresolvedMention">
    <w:name w:val="Unresolved Mention"/>
    <w:basedOn w:val="a0"/>
    <w:uiPriority w:val="99"/>
    <w:semiHidden/>
    <w:unhideWhenUsed/>
    <w:rsid w:val="007B7EB1"/>
    <w:rPr>
      <w:color w:val="605E5C"/>
      <w:shd w:val="clear" w:color="auto" w:fill="E1DFDD"/>
    </w:rPr>
  </w:style>
  <w:style w:type="character" w:customStyle="1" w:styleId="messagetext">
    <w:name w:val="messagetext"/>
    <w:basedOn w:val="a0"/>
    <w:rsid w:val="000969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165561">
      <w:bodyDiv w:val="1"/>
      <w:marLeft w:val="0"/>
      <w:marRight w:val="0"/>
      <w:marTop w:val="0"/>
      <w:marBottom w:val="0"/>
      <w:divBdr>
        <w:top w:val="none" w:sz="0" w:space="0" w:color="auto"/>
        <w:left w:val="none" w:sz="0" w:space="0" w:color="auto"/>
        <w:bottom w:val="none" w:sz="0" w:space="0" w:color="auto"/>
        <w:right w:val="none" w:sz="0" w:space="0" w:color="auto"/>
      </w:divBdr>
    </w:div>
    <w:div w:id="572085011">
      <w:bodyDiv w:val="1"/>
      <w:marLeft w:val="0"/>
      <w:marRight w:val="0"/>
      <w:marTop w:val="0"/>
      <w:marBottom w:val="0"/>
      <w:divBdr>
        <w:top w:val="none" w:sz="0" w:space="0" w:color="auto"/>
        <w:left w:val="none" w:sz="0" w:space="0" w:color="auto"/>
        <w:bottom w:val="none" w:sz="0" w:space="0" w:color="auto"/>
        <w:right w:val="none" w:sz="0" w:space="0" w:color="auto"/>
      </w:divBdr>
    </w:div>
    <w:div w:id="617757711">
      <w:bodyDiv w:val="1"/>
      <w:marLeft w:val="0"/>
      <w:marRight w:val="0"/>
      <w:marTop w:val="0"/>
      <w:marBottom w:val="0"/>
      <w:divBdr>
        <w:top w:val="none" w:sz="0" w:space="0" w:color="auto"/>
        <w:left w:val="none" w:sz="0" w:space="0" w:color="auto"/>
        <w:bottom w:val="none" w:sz="0" w:space="0" w:color="auto"/>
        <w:right w:val="none" w:sz="0" w:space="0" w:color="auto"/>
      </w:divBdr>
    </w:div>
    <w:div w:id="816915803">
      <w:bodyDiv w:val="1"/>
      <w:marLeft w:val="0"/>
      <w:marRight w:val="0"/>
      <w:marTop w:val="0"/>
      <w:marBottom w:val="0"/>
      <w:divBdr>
        <w:top w:val="none" w:sz="0" w:space="0" w:color="auto"/>
        <w:left w:val="none" w:sz="0" w:space="0" w:color="auto"/>
        <w:bottom w:val="none" w:sz="0" w:space="0" w:color="auto"/>
        <w:right w:val="none" w:sz="0" w:space="0" w:color="auto"/>
      </w:divBdr>
    </w:div>
    <w:div w:id="996229985">
      <w:bodyDiv w:val="1"/>
      <w:marLeft w:val="0"/>
      <w:marRight w:val="0"/>
      <w:marTop w:val="0"/>
      <w:marBottom w:val="0"/>
      <w:divBdr>
        <w:top w:val="none" w:sz="0" w:space="0" w:color="auto"/>
        <w:left w:val="none" w:sz="0" w:space="0" w:color="auto"/>
        <w:bottom w:val="none" w:sz="0" w:space="0" w:color="auto"/>
        <w:right w:val="none" w:sz="0" w:space="0" w:color="auto"/>
      </w:divBdr>
    </w:div>
    <w:div w:id="1182864492">
      <w:bodyDiv w:val="1"/>
      <w:marLeft w:val="0"/>
      <w:marRight w:val="0"/>
      <w:marTop w:val="0"/>
      <w:marBottom w:val="0"/>
      <w:divBdr>
        <w:top w:val="none" w:sz="0" w:space="0" w:color="auto"/>
        <w:left w:val="none" w:sz="0" w:space="0" w:color="auto"/>
        <w:bottom w:val="none" w:sz="0" w:space="0" w:color="auto"/>
        <w:right w:val="none" w:sz="0" w:space="0" w:color="auto"/>
      </w:divBdr>
    </w:div>
    <w:div w:id="1224414591">
      <w:bodyDiv w:val="1"/>
      <w:marLeft w:val="0"/>
      <w:marRight w:val="0"/>
      <w:marTop w:val="0"/>
      <w:marBottom w:val="0"/>
      <w:divBdr>
        <w:top w:val="none" w:sz="0" w:space="0" w:color="auto"/>
        <w:left w:val="none" w:sz="0" w:space="0" w:color="auto"/>
        <w:bottom w:val="none" w:sz="0" w:space="0" w:color="auto"/>
        <w:right w:val="none" w:sz="0" w:space="0" w:color="auto"/>
      </w:divBdr>
    </w:div>
    <w:div w:id="1250967167">
      <w:bodyDiv w:val="1"/>
      <w:marLeft w:val="0"/>
      <w:marRight w:val="0"/>
      <w:marTop w:val="0"/>
      <w:marBottom w:val="0"/>
      <w:divBdr>
        <w:top w:val="none" w:sz="0" w:space="0" w:color="auto"/>
        <w:left w:val="none" w:sz="0" w:space="0" w:color="auto"/>
        <w:bottom w:val="none" w:sz="0" w:space="0" w:color="auto"/>
        <w:right w:val="none" w:sz="0" w:space="0" w:color="auto"/>
      </w:divBdr>
    </w:div>
    <w:div w:id="1323465173">
      <w:bodyDiv w:val="1"/>
      <w:marLeft w:val="0"/>
      <w:marRight w:val="0"/>
      <w:marTop w:val="0"/>
      <w:marBottom w:val="0"/>
      <w:divBdr>
        <w:top w:val="none" w:sz="0" w:space="0" w:color="auto"/>
        <w:left w:val="none" w:sz="0" w:space="0" w:color="auto"/>
        <w:bottom w:val="none" w:sz="0" w:space="0" w:color="auto"/>
        <w:right w:val="none" w:sz="0" w:space="0" w:color="auto"/>
      </w:divBdr>
    </w:div>
    <w:div w:id="1602950214">
      <w:bodyDiv w:val="1"/>
      <w:marLeft w:val="0"/>
      <w:marRight w:val="0"/>
      <w:marTop w:val="0"/>
      <w:marBottom w:val="0"/>
      <w:divBdr>
        <w:top w:val="none" w:sz="0" w:space="0" w:color="auto"/>
        <w:left w:val="none" w:sz="0" w:space="0" w:color="auto"/>
        <w:bottom w:val="none" w:sz="0" w:space="0" w:color="auto"/>
        <w:right w:val="none" w:sz="0" w:space="0" w:color="auto"/>
      </w:divBdr>
    </w:div>
    <w:div w:id="1944798348">
      <w:bodyDiv w:val="1"/>
      <w:marLeft w:val="0"/>
      <w:marRight w:val="0"/>
      <w:marTop w:val="0"/>
      <w:marBottom w:val="0"/>
      <w:divBdr>
        <w:top w:val="none" w:sz="0" w:space="0" w:color="auto"/>
        <w:left w:val="none" w:sz="0" w:space="0" w:color="auto"/>
        <w:bottom w:val="none" w:sz="0" w:space="0" w:color="auto"/>
        <w:right w:val="none" w:sz="0" w:space="0" w:color="auto"/>
      </w:divBdr>
      <w:divsChild>
        <w:div w:id="291709811">
          <w:marLeft w:val="0"/>
          <w:marRight w:val="0"/>
          <w:marTop w:val="0"/>
          <w:marBottom w:val="0"/>
          <w:divBdr>
            <w:top w:val="none" w:sz="0" w:space="0" w:color="auto"/>
            <w:left w:val="none" w:sz="0" w:space="0" w:color="auto"/>
            <w:bottom w:val="none" w:sz="0" w:space="0" w:color="auto"/>
            <w:right w:val="none" w:sz="0" w:space="0" w:color="auto"/>
          </w:divBdr>
          <w:divsChild>
            <w:div w:id="1776903906">
              <w:marLeft w:val="0"/>
              <w:marRight w:val="0"/>
              <w:marTop w:val="0"/>
              <w:marBottom w:val="0"/>
              <w:divBdr>
                <w:top w:val="none" w:sz="0" w:space="0" w:color="auto"/>
                <w:left w:val="none" w:sz="0" w:space="0" w:color="auto"/>
                <w:bottom w:val="none" w:sz="0" w:space="0" w:color="auto"/>
                <w:right w:val="none" w:sz="0" w:space="0" w:color="auto"/>
              </w:divBdr>
              <w:divsChild>
                <w:div w:id="677193083">
                  <w:marLeft w:val="0"/>
                  <w:marRight w:val="0"/>
                  <w:marTop w:val="0"/>
                  <w:marBottom w:val="0"/>
                  <w:divBdr>
                    <w:top w:val="none" w:sz="0" w:space="0" w:color="auto"/>
                    <w:left w:val="none" w:sz="0" w:space="0" w:color="auto"/>
                    <w:bottom w:val="none" w:sz="0" w:space="0" w:color="auto"/>
                    <w:right w:val="none" w:sz="0" w:space="0" w:color="auto"/>
                  </w:divBdr>
                  <w:divsChild>
                    <w:div w:id="80924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840616">
          <w:marLeft w:val="0"/>
          <w:marRight w:val="0"/>
          <w:marTop w:val="0"/>
          <w:marBottom w:val="0"/>
          <w:divBdr>
            <w:top w:val="none" w:sz="0" w:space="0" w:color="auto"/>
            <w:left w:val="none" w:sz="0" w:space="0" w:color="auto"/>
            <w:bottom w:val="none" w:sz="0" w:space="0" w:color="auto"/>
            <w:right w:val="none" w:sz="0" w:space="0" w:color="auto"/>
          </w:divBdr>
          <w:divsChild>
            <w:div w:id="753550893">
              <w:marLeft w:val="0"/>
              <w:marRight w:val="0"/>
              <w:marTop w:val="0"/>
              <w:marBottom w:val="0"/>
              <w:divBdr>
                <w:top w:val="none" w:sz="0" w:space="0" w:color="auto"/>
                <w:left w:val="none" w:sz="0" w:space="0" w:color="auto"/>
                <w:bottom w:val="none" w:sz="0" w:space="0" w:color="auto"/>
                <w:right w:val="none" w:sz="0" w:space="0" w:color="auto"/>
              </w:divBdr>
              <w:divsChild>
                <w:div w:id="1595551051">
                  <w:marLeft w:val="0"/>
                  <w:marRight w:val="0"/>
                  <w:marTop w:val="0"/>
                  <w:marBottom w:val="0"/>
                  <w:divBdr>
                    <w:top w:val="none" w:sz="0" w:space="0" w:color="auto"/>
                    <w:left w:val="none" w:sz="0" w:space="0" w:color="auto"/>
                    <w:bottom w:val="none" w:sz="0" w:space="0" w:color="auto"/>
                    <w:right w:val="none" w:sz="0" w:space="0" w:color="auto"/>
                  </w:divBdr>
                  <w:divsChild>
                    <w:div w:id="206452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864067">
          <w:marLeft w:val="0"/>
          <w:marRight w:val="0"/>
          <w:marTop w:val="0"/>
          <w:marBottom w:val="0"/>
          <w:divBdr>
            <w:top w:val="none" w:sz="0" w:space="0" w:color="auto"/>
            <w:left w:val="none" w:sz="0" w:space="0" w:color="auto"/>
            <w:bottom w:val="none" w:sz="0" w:space="0" w:color="auto"/>
            <w:right w:val="none" w:sz="0" w:space="0" w:color="auto"/>
          </w:divBdr>
          <w:divsChild>
            <w:div w:id="1652098044">
              <w:marLeft w:val="0"/>
              <w:marRight w:val="0"/>
              <w:marTop w:val="0"/>
              <w:marBottom w:val="0"/>
              <w:divBdr>
                <w:top w:val="none" w:sz="0" w:space="0" w:color="auto"/>
                <w:left w:val="none" w:sz="0" w:space="0" w:color="auto"/>
                <w:bottom w:val="none" w:sz="0" w:space="0" w:color="auto"/>
                <w:right w:val="none" w:sz="0" w:space="0" w:color="auto"/>
              </w:divBdr>
              <w:divsChild>
                <w:div w:id="477766571">
                  <w:marLeft w:val="0"/>
                  <w:marRight w:val="0"/>
                  <w:marTop w:val="0"/>
                  <w:marBottom w:val="0"/>
                  <w:divBdr>
                    <w:top w:val="none" w:sz="0" w:space="0" w:color="auto"/>
                    <w:left w:val="none" w:sz="0" w:space="0" w:color="auto"/>
                    <w:bottom w:val="none" w:sz="0" w:space="0" w:color="auto"/>
                    <w:right w:val="none" w:sz="0" w:space="0" w:color="auto"/>
                  </w:divBdr>
                  <w:divsChild>
                    <w:div w:id="1121413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5</Pages>
  <Words>2244</Words>
  <Characters>12795</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levchick</cp:lastModifiedBy>
  <cp:revision>5</cp:revision>
  <dcterms:created xsi:type="dcterms:W3CDTF">2026-05-15T17:09:00Z</dcterms:created>
  <dcterms:modified xsi:type="dcterms:W3CDTF">2026-05-15T17:48:00Z</dcterms:modified>
</cp:coreProperties>
</file>