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9A6AF9" w14:textId="2D8D6899" w:rsidR="002E1784" w:rsidRPr="002E1784" w:rsidRDefault="002E1784" w:rsidP="002E1784">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sidR="0040648E">
        <w:rPr>
          <w:rFonts w:ascii="Times New Roman" w:eastAsia="Times New Roman" w:hAnsi="Times New Roman" w:cs="Times New Roman"/>
          <w:b/>
          <w:sz w:val="24"/>
          <w:lang w:eastAsia="ru-RU"/>
        </w:rPr>
        <w:t xml:space="preserve"> 366.6</w:t>
      </w:r>
      <w:r w:rsidRPr="002E1784">
        <w:rPr>
          <w:rFonts w:ascii="Times New Roman" w:eastAsia="Times New Roman" w:hAnsi="Times New Roman" w:cs="Times New Roman"/>
          <w:b/>
          <w:sz w:val="24"/>
          <w:lang w:eastAsia="ru-RU"/>
        </w:rPr>
        <w:t>/ББК</w:t>
      </w:r>
      <w:r w:rsidR="0040648E">
        <w:rPr>
          <w:rFonts w:ascii="Times New Roman" w:eastAsia="Times New Roman" w:hAnsi="Times New Roman" w:cs="Times New Roman"/>
          <w:b/>
          <w:sz w:val="24"/>
          <w:lang w:eastAsia="ru-RU"/>
        </w:rPr>
        <w:t xml:space="preserve"> 65.30</w:t>
      </w:r>
    </w:p>
    <w:p w14:paraId="6606ABEB" w14:textId="4A980476" w:rsidR="002E1784" w:rsidRPr="002E1784" w:rsidRDefault="00913F48"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Гончарук Д.С.</w:t>
      </w:r>
    </w:p>
    <w:p w14:paraId="28FE51EE" w14:textId="3B15E5F4" w:rsidR="002E1784" w:rsidRPr="002E1784" w:rsidRDefault="00913F48" w:rsidP="002E1784">
      <w:pPr>
        <w:spacing w:after="0" w:line="240" w:lineRule="auto"/>
        <w:ind w:left="-540" w:firstLine="540"/>
        <w:jc w:val="center"/>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К ВОПРОСУ О</w:t>
      </w:r>
      <w:r w:rsidR="00DF20E2">
        <w:rPr>
          <w:rFonts w:ascii="Times New Roman" w:eastAsia="Times New Roman" w:hAnsi="Times New Roman" w:cs="Times New Roman"/>
          <w:b/>
          <w:sz w:val="24"/>
          <w:lang w:eastAsia="ru-RU"/>
        </w:rPr>
        <w:t>Б</w:t>
      </w:r>
      <w:r>
        <w:rPr>
          <w:rFonts w:ascii="Times New Roman" w:eastAsia="Times New Roman" w:hAnsi="Times New Roman" w:cs="Times New Roman"/>
          <w:b/>
          <w:sz w:val="24"/>
          <w:lang w:eastAsia="ru-RU"/>
        </w:rPr>
        <w:t xml:space="preserve"> ИНВЕСТИЦИОННОЙ ПОЛИТИКЕ КРУПНЫХ </w:t>
      </w:r>
      <w:r w:rsidR="00BE4E96">
        <w:rPr>
          <w:rFonts w:ascii="Times New Roman" w:eastAsia="Times New Roman" w:hAnsi="Times New Roman" w:cs="Times New Roman"/>
          <w:b/>
          <w:sz w:val="24"/>
          <w:lang w:eastAsia="ru-RU"/>
        </w:rPr>
        <w:t>МЕТАЛЛУРГИЧЕСКИХ</w:t>
      </w:r>
      <w:r>
        <w:rPr>
          <w:rFonts w:ascii="Times New Roman" w:eastAsia="Times New Roman" w:hAnsi="Times New Roman" w:cs="Times New Roman"/>
          <w:b/>
          <w:sz w:val="24"/>
          <w:lang w:eastAsia="ru-RU"/>
        </w:rPr>
        <w:t xml:space="preserve"> КОРПОРАЦИЙ В УСЛОВИЯХ </w:t>
      </w:r>
      <w:r w:rsidR="009F2149">
        <w:rPr>
          <w:rFonts w:ascii="Times New Roman" w:eastAsia="Times New Roman" w:hAnsi="Times New Roman" w:cs="Times New Roman"/>
          <w:b/>
          <w:sz w:val="24"/>
          <w:lang w:eastAsia="ru-RU"/>
        </w:rPr>
        <w:t>ТЕКУЩЕ</w:t>
      </w:r>
      <w:r w:rsidR="00877857">
        <w:rPr>
          <w:rFonts w:ascii="Times New Roman" w:eastAsia="Times New Roman" w:hAnsi="Times New Roman" w:cs="Times New Roman"/>
          <w:b/>
          <w:sz w:val="24"/>
          <w:lang w:eastAsia="ru-RU"/>
        </w:rPr>
        <w:t>ГО ДЕНЕЖНО-КРЕДИТНОГО РЕГУЛИРОВАНИЯ</w:t>
      </w:r>
    </w:p>
    <w:p w14:paraId="316F265E" w14:textId="77777777" w:rsidR="00913F48" w:rsidRDefault="00913F48" w:rsidP="002E1784">
      <w:pPr>
        <w:spacing w:after="0" w:line="240" w:lineRule="auto"/>
        <w:ind w:left="-540" w:firstLine="540"/>
        <w:jc w:val="both"/>
        <w:rPr>
          <w:rFonts w:ascii="Times New Roman" w:eastAsia="Times New Roman" w:hAnsi="Times New Roman" w:cs="Times New Roman"/>
          <w:b/>
          <w:sz w:val="24"/>
          <w:lang w:eastAsia="ru-RU"/>
        </w:rPr>
      </w:pPr>
    </w:p>
    <w:p w14:paraId="497557E6" w14:textId="00A89E37" w:rsidR="002E1784" w:rsidRPr="00883328" w:rsidRDefault="002E1784" w:rsidP="00B36746">
      <w:pPr>
        <w:spacing w:after="0" w:line="240" w:lineRule="auto"/>
        <w:ind w:left="-540" w:firstLine="540"/>
        <w:jc w:val="both"/>
        <w:rPr>
          <w:rFonts w:ascii="Times New Roman" w:eastAsia="Times New Roman" w:hAnsi="Times New Roman" w:cs="Times New Roman"/>
          <w:b/>
          <w:iCs/>
          <w:sz w:val="24"/>
          <w:lang w:eastAsia="ru-RU"/>
        </w:rPr>
      </w:pPr>
      <w:r w:rsidRPr="002E1784">
        <w:rPr>
          <w:rFonts w:ascii="Times New Roman" w:eastAsia="Times New Roman" w:hAnsi="Times New Roman" w:cs="Times New Roman"/>
          <w:b/>
          <w:sz w:val="24"/>
          <w:lang w:eastAsia="ru-RU"/>
        </w:rPr>
        <w:t>Аннотация</w:t>
      </w:r>
      <w:r w:rsidR="00883328" w:rsidRPr="00883328">
        <w:rPr>
          <w:rFonts w:ascii="Times New Roman" w:eastAsia="Times New Roman" w:hAnsi="Times New Roman" w:cs="Times New Roman"/>
          <w:b/>
          <w:sz w:val="24"/>
          <w:lang w:eastAsia="ru-RU"/>
        </w:rPr>
        <w:t>.</w:t>
      </w:r>
      <w:r w:rsidRPr="002E1784">
        <w:rPr>
          <w:rFonts w:ascii="Times New Roman" w:eastAsia="Times New Roman" w:hAnsi="Times New Roman" w:cs="Times New Roman"/>
          <w:b/>
          <w:sz w:val="24"/>
          <w:lang w:eastAsia="ru-RU"/>
        </w:rPr>
        <w:t xml:space="preserve"> </w:t>
      </w:r>
      <w:r w:rsidR="00B36746" w:rsidRPr="00883328">
        <w:rPr>
          <w:rFonts w:ascii="Times New Roman" w:eastAsia="Times New Roman" w:hAnsi="Times New Roman" w:cs="Times New Roman"/>
          <w:iCs/>
          <w:sz w:val="24"/>
          <w:lang w:eastAsia="ru-RU"/>
        </w:rPr>
        <w:t>В статье исследуется влияние денежно-кредитной политики Банка России на инвестиционные стратегии крупнейших металлургических холдингов, таких как ПАО «Северсталь», ПАО «ММК», ПАО «НЛМК», ПАО «ГМК «Норильский никель» и АО «РУСАЛ БРАТСК». Автор анализирует динамику заемного капитала и структуру вложений в условиях высокой ключевой ставки.</w:t>
      </w:r>
    </w:p>
    <w:p w14:paraId="35B9F8D5" w14:textId="0E0AB848" w:rsidR="002E1784" w:rsidRDefault="002E1784" w:rsidP="002E1784">
      <w:pPr>
        <w:spacing w:after="0" w:line="240" w:lineRule="auto"/>
        <w:ind w:left="-540" w:firstLine="540"/>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Ключевые слова</w:t>
      </w:r>
      <w:r w:rsidR="00B643A5" w:rsidRPr="00B643A5">
        <w:rPr>
          <w:rFonts w:ascii="Times New Roman" w:eastAsia="Times New Roman" w:hAnsi="Times New Roman" w:cs="Times New Roman"/>
          <w:b/>
          <w:sz w:val="24"/>
          <w:lang w:eastAsia="ru-RU"/>
        </w:rPr>
        <w:t xml:space="preserve">: </w:t>
      </w:r>
      <w:r w:rsidR="00B643A5" w:rsidRPr="00883328">
        <w:rPr>
          <w:rFonts w:ascii="Times New Roman" w:eastAsia="Times New Roman" w:hAnsi="Times New Roman" w:cs="Times New Roman"/>
          <w:iCs/>
          <w:sz w:val="24"/>
          <w:lang w:eastAsia="ru-RU"/>
        </w:rPr>
        <w:t>инвестиционн</w:t>
      </w:r>
      <w:r w:rsidR="00F43084">
        <w:rPr>
          <w:rFonts w:ascii="Times New Roman" w:eastAsia="Times New Roman" w:hAnsi="Times New Roman" w:cs="Times New Roman"/>
          <w:iCs/>
          <w:sz w:val="24"/>
          <w:lang w:eastAsia="ru-RU"/>
        </w:rPr>
        <w:t>ая</w:t>
      </w:r>
      <w:r w:rsidR="00B643A5" w:rsidRPr="00883328">
        <w:rPr>
          <w:rFonts w:ascii="Times New Roman" w:eastAsia="Times New Roman" w:hAnsi="Times New Roman" w:cs="Times New Roman"/>
          <w:iCs/>
          <w:sz w:val="24"/>
          <w:lang w:eastAsia="ru-RU"/>
        </w:rPr>
        <w:t xml:space="preserve"> </w:t>
      </w:r>
      <w:r w:rsidR="00F43084">
        <w:rPr>
          <w:rFonts w:ascii="Times New Roman" w:eastAsia="Times New Roman" w:hAnsi="Times New Roman" w:cs="Times New Roman"/>
          <w:iCs/>
          <w:sz w:val="24"/>
          <w:lang w:eastAsia="ru-RU"/>
        </w:rPr>
        <w:t>политика</w:t>
      </w:r>
      <w:r w:rsidR="00B643A5" w:rsidRPr="00883328">
        <w:rPr>
          <w:rFonts w:ascii="Times New Roman" w:eastAsia="Times New Roman" w:hAnsi="Times New Roman" w:cs="Times New Roman"/>
          <w:iCs/>
          <w:sz w:val="24"/>
          <w:lang w:eastAsia="ru-RU"/>
        </w:rPr>
        <w:t>; черная металлургия; цветная металлургия; финансовые вложения; кредиторская задолженность</w:t>
      </w:r>
      <w:r w:rsidRPr="00883328">
        <w:rPr>
          <w:rFonts w:ascii="Times New Roman" w:eastAsia="Times New Roman" w:hAnsi="Times New Roman" w:cs="Times New Roman"/>
          <w:iCs/>
          <w:sz w:val="24"/>
          <w:lang w:eastAsia="ru-RU"/>
        </w:rPr>
        <w:t>.</w:t>
      </w:r>
    </w:p>
    <w:p w14:paraId="292E992D" w14:textId="30E2A653" w:rsidR="00BB6BC9" w:rsidRPr="002E1784" w:rsidRDefault="00BB6BC9" w:rsidP="002E1784">
      <w:pPr>
        <w:spacing w:after="0" w:line="240" w:lineRule="auto"/>
        <w:ind w:left="-540" w:firstLine="540"/>
        <w:jc w:val="both"/>
        <w:rPr>
          <w:rFonts w:ascii="Times New Roman" w:eastAsia="Times New Roman" w:hAnsi="Times New Roman" w:cs="Times New Roman"/>
          <w:iCs/>
          <w:sz w:val="24"/>
          <w:lang w:eastAsia="ru-RU"/>
        </w:rPr>
      </w:pPr>
      <w:r w:rsidRPr="00BB6BC9">
        <w:rPr>
          <w:rFonts w:ascii="Times New Roman" w:eastAsia="Times New Roman" w:hAnsi="Times New Roman" w:cs="Times New Roman"/>
          <w:b/>
          <w:bCs/>
          <w:iCs/>
          <w:sz w:val="24"/>
          <w:lang w:eastAsia="ru-RU"/>
        </w:rPr>
        <w:t>Благодарность.</w:t>
      </w:r>
      <w:r>
        <w:rPr>
          <w:rFonts w:ascii="Times New Roman" w:eastAsia="Times New Roman" w:hAnsi="Times New Roman" w:cs="Times New Roman"/>
          <w:iCs/>
          <w:sz w:val="24"/>
          <w:lang w:eastAsia="ru-RU"/>
        </w:rPr>
        <w:t xml:space="preserve"> </w:t>
      </w:r>
      <w:r w:rsidRPr="00BB6BC9">
        <w:rPr>
          <w:rFonts w:ascii="Times New Roman" w:eastAsia="Times New Roman" w:hAnsi="Times New Roman" w:cs="Times New Roman"/>
          <w:iCs/>
          <w:sz w:val="24"/>
          <w:lang w:eastAsia="ru-RU"/>
        </w:rPr>
        <w:t>Исследование выполнено в соответствии с государственным заданием для ФГБУН ВолНЦ РАН по теме НИР № FMGZ-2025-0011 «Обеспечение устойчивости экономики регионов в контексте укрепления технологического суверенитета и национальной безопасности».</w:t>
      </w:r>
    </w:p>
    <w:p w14:paraId="2D32BFCC" w14:textId="77777777" w:rsidR="00913F48" w:rsidRDefault="00913F48" w:rsidP="002E1784">
      <w:pPr>
        <w:spacing w:after="0" w:line="240" w:lineRule="auto"/>
        <w:ind w:left="-540" w:firstLine="540"/>
        <w:jc w:val="both"/>
        <w:rPr>
          <w:rFonts w:ascii="Times New Roman" w:eastAsia="Times New Roman" w:hAnsi="Times New Roman" w:cs="Times New Roman"/>
          <w:sz w:val="24"/>
          <w:u w:val="single"/>
          <w:lang w:eastAsia="ru-RU"/>
        </w:rPr>
      </w:pPr>
    </w:p>
    <w:p w14:paraId="22596307" w14:textId="042E3B58" w:rsidR="002E1784" w:rsidRPr="002E1784" w:rsidRDefault="00913F48" w:rsidP="002E1784">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Текущая денежно-кредитная политика Российской Федерации</w:t>
      </w:r>
      <w:r w:rsidR="004F0698">
        <w:rPr>
          <w:rFonts w:ascii="Times New Roman" w:eastAsia="Times New Roman" w:hAnsi="Times New Roman" w:cs="Times New Roman"/>
          <w:sz w:val="24"/>
          <w:lang w:eastAsia="ru-RU"/>
        </w:rPr>
        <w:t xml:space="preserve"> (далее ДКП)</w:t>
      </w:r>
      <w:r>
        <w:rPr>
          <w:rFonts w:ascii="Times New Roman" w:eastAsia="Times New Roman" w:hAnsi="Times New Roman" w:cs="Times New Roman"/>
          <w:sz w:val="24"/>
          <w:lang w:eastAsia="ru-RU"/>
        </w:rPr>
        <w:t xml:space="preserve"> ассоциируется, прежде всего, с удерживаемой на высоком уровне ключевой ставкой. </w:t>
      </w:r>
      <w:r w:rsidR="009F2149">
        <w:rPr>
          <w:rFonts w:ascii="Times New Roman" w:eastAsia="Times New Roman" w:hAnsi="Times New Roman" w:cs="Times New Roman"/>
          <w:sz w:val="24"/>
          <w:lang w:eastAsia="ru-RU"/>
        </w:rPr>
        <w:t>У</w:t>
      </w:r>
      <w:r w:rsidR="003940D3">
        <w:rPr>
          <w:rFonts w:ascii="Times New Roman" w:eastAsia="Times New Roman" w:hAnsi="Times New Roman" w:cs="Times New Roman"/>
          <w:sz w:val="24"/>
          <w:lang w:eastAsia="ru-RU"/>
        </w:rPr>
        <w:t>ровень инфляции в марте 2026 г. составил 5,86%</w:t>
      </w:r>
      <w:r w:rsidR="00DF20E2">
        <w:rPr>
          <w:rFonts w:ascii="Times New Roman" w:eastAsia="Times New Roman" w:hAnsi="Times New Roman" w:cs="Times New Roman"/>
          <w:sz w:val="24"/>
          <w:lang w:eastAsia="ru-RU"/>
        </w:rPr>
        <w:t xml:space="preserve"> (рис. 1)</w:t>
      </w:r>
      <w:r w:rsidR="003940D3">
        <w:rPr>
          <w:rFonts w:ascii="Times New Roman" w:eastAsia="Times New Roman" w:hAnsi="Times New Roman" w:cs="Times New Roman"/>
          <w:sz w:val="24"/>
          <w:lang w:eastAsia="ru-RU"/>
        </w:rPr>
        <w:t>, при 15% ключевой ставке и 4% тар</w:t>
      </w:r>
      <w:r w:rsidR="002F1F5C">
        <w:rPr>
          <w:rFonts w:ascii="Times New Roman" w:eastAsia="Times New Roman" w:hAnsi="Times New Roman" w:cs="Times New Roman"/>
          <w:sz w:val="24"/>
          <w:lang w:eastAsia="ru-RU"/>
        </w:rPr>
        <w:t>г</w:t>
      </w:r>
      <w:r w:rsidR="003940D3">
        <w:rPr>
          <w:rFonts w:ascii="Times New Roman" w:eastAsia="Times New Roman" w:hAnsi="Times New Roman" w:cs="Times New Roman"/>
          <w:sz w:val="24"/>
          <w:lang w:eastAsia="ru-RU"/>
        </w:rPr>
        <w:t>ете.</w:t>
      </w:r>
      <w:r w:rsidR="00DF20E2">
        <w:rPr>
          <w:rFonts w:ascii="Times New Roman" w:eastAsia="Times New Roman" w:hAnsi="Times New Roman" w:cs="Times New Roman"/>
          <w:sz w:val="24"/>
          <w:lang w:eastAsia="ru-RU"/>
        </w:rPr>
        <w:t xml:space="preserve"> Как отмечает </w:t>
      </w:r>
      <w:r w:rsidR="003C100B">
        <w:rPr>
          <w:rFonts w:ascii="Times New Roman" w:eastAsia="Times New Roman" w:hAnsi="Times New Roman" w:cs="Times New Roman"/>
          <w:sz w:val="24"/>
          <w:lang w:eastAsia="ru-RU"/>
        </w:rPr>
        <w:t xml:space="preserve">Председатель Совета директоров Банка России Э.С. Набиуллина, прогноз ключевой ставки в настоящем году составляет 14-14,5%, а в следующем – 8-10% </w:t>
      </w:r>
      <w:r w:rsidR="003C100B" w:rsidRPr="003C100B">
        <w:rPr>
          <w:rFonts w:ascii="Times New Roman" w:eastAsia="Times New Roman" w:hAnsi="Times New Roman" w:cs="Times New Roman"/>
          <w:sz w:val="24"/>
          <w:lang w:eastAsia="ru-RU"/>
        </w:rPr>
        <w:t>[1]</w:t>
      </w:r>
      <w:r w:rsidR="003C100B">
        <w:rPr>
          <w:rFonts w:ascii="Times New Roman" w:eastAsia="Times New Roman" w:hAnsi="Times New Roman" w:cs="Times New Roman"/>
          <w:sz w:val="24"/>
          <w:lang w:eastAsia="ru-RU"/>
        </w:rPr>
        <w:t xml:space="preserve">. </w:t>
      </w:r>
    </w:p>
    <w:p w14:paraId="2372AD1D" w14:textId="5C5D8AEF" w:rsidR="002E1784" w:rsidRPr="002E1784" w:rsidRDefault="00913F48" w:rsidP="002E1784">
      <w:pPr>
        <w:spacing w:after="0" w:line="240" w:lineRule="auto"/>
        <w:ind w:left="-540" w:firstLine="540"/>
        <w:jc w:val="center"/>
        <w:rPr>
          <w:rFonts w:ascii="Times New Roman" w:eastAsia="Times New Roman" w:hAnsi="Times New Roman" w:cs="Times New Roman"/>
          <w:sz w:val="24"/>
          <w:lang w:eastAsia="ru-RU"/>
        </w:rPr>
      </w:pPr>
      <w:r>
        <w:rPr>
          <w:noProof/>
        </w:rPr>
        <w:drawing>
          <wp:inline distT="0" distB="0" distL="0" distR="0" wp14:anchorId="0BA7D49C" wp14:editId="67CEE83A">
            <wp:extent cx="5353050" cy="2505075"/>
            <wp:effectExtent l="0" t="0" r="0" b="0"/>
            <wp:docPr id="8" name="Диаграмма 8">
              <a:extLst xmlns:a="http://schemas.openxmlformats.org/drawingml/2006/main">
                <a:ext uri="{FF2B5EF4-FFF2-40B4-BE49-F238E27FC236}">
                  <a16:creationId xmlns:a16="http://schemas.microsoft.com/office/drawing/2014/main" id="{D4B9C3F9-033E-4944-8A20-C232E54BE6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01680310" w14:textId="49FBE9DD" w:rsidR="002E1784" w:rsidRPr="002E1784" w:rsidRDefault="002E1784" w:rsidP="002E1784">
      <w:pPr>
        <w:spacing w:after="0" w:line="240" w:lineRule="auto"/>
        <w:ind w:left="-540" w:firstLine="540"/>
        <w:jc w:val="center"/>
        <w:rPr>
          <w:rFonts w:ascii="Times New Roman" w:eastAsia="Times New Roman" w:hAnsi="Times New Roman" w:cs="Times New Roman"/>
          <w:sz w:val="24"/>
          <w:lang w:eastAsia="ru-RU"/>
        </w:rPr>
      </w:pPr>
      <w:r w:rsidRPr="002E1784">
        <w:rPr>
          <w:rFonts w:ascii="Times New Roman" w:eastAsia="Times New Roman" w:hAnsi="Times New Roman" w:cs="Times New Roman"/>
          <w:sz w:val="24"/>
          <w:lang w:eastAsia="ru-RU"/>
        </w:rPr>
        <w:t xml:space="preserve">Рисунок 1. </w:t>
      </w:r>
      <w:r w:rsidR="003940D3">
        <w:rPr>
          <w:rFonts w:ascii="Times New Roman" w:eastAsia="Times New Roman" w:hAnsi="Times New Roman" w:cs="Times New Roman"/>
          <w:sz w:val="24"/>
          <w:lang w:eastAsia="ru-RU"/>
        </w:rPr>
        <w:t>Ключевая ставка и инфляция в Российской Федерации, 2014-2026 гг.</w:t>
      </w:r>
      <w:r w:rsidRPr="002E1784">
        <w:rPr>
          <w:rFonts w:ascii="Times New Roman" w:eastAsia="Times New Roman" w:hAnsi="Times New Roman" w:cs="Times New Roman"/>
          <w:sz w:val="24"/>
          <w:lang w:eastAsia="ru-RU"/>
        </w:rPr>
        <w:t xml:space="preserve"> </w:t>
      </w:r>
    </w:p>
    <w:p w14:paraId="1821B979" w14:textId="208DB864" w:rsidR="002E1784" w:rsidRPr="002E1784" w:rsidRDefault="003940D3" w:rsidP="002E1784">
      <w:pPr>
        <w:spacing w:after="0" w:line="240" w:lineRule="auto"/>
        <w:ind w:left="-540" w:firstLine="540"/>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Источник: данные Центрального Банка РФ.</w:t>
      </w:r>
    </w:p>
    <w:p w14:paraId="6542A658" w14:textId="51C9BB93" w:rsidR="003940D3" w:rsidRDefault="003940D3" w:rsidP="0015476C">
      <w:pPr>
        <w:spacing w:after="0" w:line="240" w:lineRule="auto"/>
        <w:ind w:left="-540" w:firstLine="540"/>
        <w:jc w:val="center"/>
        <w:rPr>
          <w:rFonts w:ascii="Times New Roman" w:eastAsia="Times New Roman" w:hAnsi="Times New Roman" w:cs="Times New Roman"/>
          <w:sz w:val="24"/>
          <w:u w:val="single"/>
          <w:lang w:eastAsia="ru-RU"/>
        </w:rPr>
      </w:pPr>
    </w:p>
    <w:p w14:paraId="7735FAA8" w14:textId="17051D78" w:rsidR="003C100B" w:rsidRDefault="003C100B" w:rsidP="009F2149">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Наиболее явным последствием такой </w:t>
      </w:r>
      <w:r w:rsidR="004F0698">
        <w:rPr>
          <w:rFonts w:ascii="Times New Roman" w:eastAsia="Times New Roman" w:hAnsi="Times New Roman" w:cs="Times New Roman"/>
          <w:sz w:val="24"/>
          <w:lang w:eastAsia="ru-RU"/>
        </w:rPr>
        <w:t>ДКП</w:t>
      </w:r>
      <w:r>
        <w:rPr>
          <w:rFonts w:ascii="Times New Roman" w:eastAsia="Times New Roman" w:hAnsi="Times New Roman" w:cs="Times New Roman"/>
          <w:sz w:val="24"/>
          <w:lang w:eastAsia="ru-RU"/>
        </w:rPr>
        <w:t xml:space="preserve"> является удорожание кредитов для заемщиков и актуализация финансовых накопительных инструментов для вкладчиков. В этих условиях хозяйствующие субъекты </w:t>
      </w:r>
      <w:r w:rsidR="008752CF">
        <w:rPr>
          <w:rFonts w:ascii="Times New Roman" w:eastAsia="Times New Roman" w:hAnsi="Times New Roman" w:cs="Times New Roman"/>
          <w:sz w:val="24"/>
          <w:lang w:eastAsia="ru-RU"/>
        </w:rPr>
        <w:t xml:space="preserve">фактически </w:t>
      </w:r>
      <w:r>
        <w:rPr>
          <w:rFonts w:ascii="Times New Roman" w:eastAsia="Times New Roman" w:hAnsi="Times New Roman" w:cs="Times New Roman"/>
          <w:sz w:val="24"/>
          <w:lang w:eastAsia="ru-RU"/>
        </w:rPr>
        <w:t>вынуждены пересматривать подходы к ведению собственной инвестиционной политики</w:t>
      </w:r>
      <w:r w:rsidR="004F0698">
        <w:rPr>
          <w:rFonts w:ascii="Times New Roman" w:eastAsia="Times New Roman" w:hAnsi="Times New Roman" w:cs="Times New Roman"/>
          <w:sz w:val="24"/>
          <w:lang w:eastAsia="ru-RU"/>
        </w:rPr>
        <w:t>, несмотря на</w:t>
      </w:r>
      <w:r w:rsidR="008752CF">
        <w:rPr>
          <w:rFonts w:ascii="Times New Roman" w:eastAsia="Times New Roman" w:hAnsi="Times New Roman" w:cs="Times New Roman"/>
          <w:sz w:val="24"/>
          <w:lang w:eastAsia="ru-RU"/>
        </w:rPr>
        <w:t xml:space="preserve"> их</w:t>
      </w:r>
      <w:r w:rsidR="004F0698">
        <w:rPr>
          <w:rFonts w:ascii="Times New Roman" w:eastAsia="Times New Roman" w:hAnsi="Times New Roman" w:cs="Times New Roman"/>
          <w:sz w:val="24"/>
          <w:lang w:eastAsia="ru-RU"/>
        </w:rPr>
        <w:t xml:space="preserve"> негативную оценку проводимой ДКП </w:t>
      </w:r>
      <w:r w:rsidR="004F0698" w:rsidRPr="004F0698">
        <w:rPr>
          <w:rFonts w:ascii="Times New Roman" w:eastAsia="Times New Roman" w:hAnsi="Times New Roman" w:cs="Times New Roman"/>
          <w:sz w:val="24"/>
          <w:lang w:eastAsia="ru-RU"/>
        </w:rPr>
        <w:t>[2].</w:t>
      </w:r>
      <w:r w:rsidR="004F0698">
        <w:rPr>
          <w:rFonts w:ascii="Times New Roman" w:eastAsia="Times New Roman" w:hAnsi="Times New Roman" w:cs="Times New Roman"/>
          <w:sz w:val="24"/>
          <w:lang w:eastAsia="ru-RU"/>
        </w:rPr>
        <w:t xml:space="preserve"> </w:t>
      </w:r>
      <w:r w:rsidR="009F2149">
        <w:rPr>
          <w:rFonts w:ascii="Times New Roman" w:eastAsia="Times New Roman" w:hAnsi="Times New Roman" w:cs="Times New Roman"/>
          <w:sz w:val="24"/>
          <w:lang w:eastAsia="ru-RU"/>
        </w:rPr>
        <w:t xml:space="preserve">Поскольку в научной литературе последних лет вопрос финансового состояния бизнеса в условиях жесткой ДКП поднимался </w:t>
      </w:r>
      <w:r w:rsidR="00021E1D">
        <w:rPr>
          <w:rFonts w:ascii="Times New Roman" w:eastAsia="Times New Roman" w:hAnsi="Times New Roman" w:cs="Times New Roman"/>
          <w:sz w:val="24"/>
          <w:lang w:eastAsia="ru-RU"/>
        </w:rPr>
        <w:t>множество</w:t>
      </w:r>
      <w:r w:rsidR="009F2149">
        <w:rPr>
          <w:rFonts w:ascii="Times New Roman" w:eastAsia="Times New Roman" w:hAnsi="Times New Roman" w:cs="Times New Roman"/>
          <w:sz w:val="24"/>
          <w:lang w:eastAsia="ru-RU"/>
        </w:rPr>
        <w:t xml:space="preserve"> раз, в настоящей работе мы акцентируем внимание на отдельных кейсах крупных металлургических корпораций России, в частности – ПАО «Северсталь», ПАО «ММК», ПАО «НЛМК», ПАО «</w:t>
      </w:r>
      <w:r w:rsidR="007D4A1C">
        <w:rPr>
          <w:rFonts w:ascii="Times New Roman" w:eastAsia="Times New Roman" w:hAnsi="Times New Roman" w:cs="Times New Roman"/>
          <w:sz w:val="24"/>
          <w:lang w:eastAsia="ru-RU"/>
        </w:rPr>
        <w:t xml:space="preserve"> ГМК «</w:t>
      </w:r>
      <w:r w:rsidR="009F2149">
        <w:rPr>
          <w:rFonts w:ascii="Times New Roman" w:eastAsia="Times New Roman" w:hAnsi="Times New Roman" w:cs="Times New Roman"/>
          <w:sz w:val="24"/>
          <w:lang w:eastAsia="ru-RU"/>
        </w:rPr>
        <w:t>Норильский никель», АО «РУСАЛ БРАТСК».</w:t>
      </w:r>
    </w:p>
    <w:p w14:paraId="5092F151" w14:textId="1EED5F4D" w:rsidR="005370FE" w:rsidRDefault="005370FE" w:rsidP="009F2149">
      <w:pPr>
        <w:spacing w:after="0" w:line="240" w:lineRule="auto"/>
        <w:ind w:left="-540" w:firstLine="540"/>
        <w:jc w:val="both"/>
        <w:rPr>
          <w:rFonts w:ascii="Times New Roman" w:eastAsia="Times New Roman" w:hAnsi="Times New Roman" w:cs="Times New Roman"/>
          <w:sz w:val="24"/>
          <w:lang w:eastAsia="ru-RU"/>
        </w:rPr>
      </w:pPr>
      <w:r w:rsidRPr="005370FE">
        <w:rPr>
          <w:rFonts w:ascii="Times New Roman" w:eastAsia="Times New Roman" w:hAnsi="Times New Roman" w:cs="Times New Roman"/>
          <w:sz w:val="24"/>
          <w:lang w:eastAsia="ru-RU"/>
        </w:rPr>
        <w:t xml:space="preserve">Анализ динамики коэффициента долгосрочных заимствований по крупным металлургическим корпорациям </w:t>
      </w:r>
      <w:r w:rsidR="007D4A1C">
        <w:rPr>
          <w:rFonts w:ascii="Times New Roman" w:eastAsia="Times New Roman" w:hAnsi="Times New Roman" w:cs="Times New Roman"/>
          <w:sz w:val="24"/>
          <w:lang w:eastAsia="ru-RU"/>
        </w:rPr>
        <w:t xml:space="preserve">показывает </w:t>
      </w:r>
      <w:r w:rsidRPr="005370FE">
        <w:rPr>
          <w:rFonts w:ascii="Times New Roman" w:eastAsia="Times New Roman" w:hAnsi="Times New Roman" w:cs="Times New Roman"/>
          <w:sz w:val="24"/>
          <w:lang w:eastAsia="ru-RU"/>
        </w:rPr>
        <w:t>общую тенденцию к сокращению зависимости от долгосрочного внешнего финансирования</w:t>
      </w:r>
      <w:r>
        <w:rPr>
          <w:rFonts w:ascii="Times New Roman" w:eastAsia="Times New Roman" w:hAnsi="Times New Roman" w:cs="Times New Roman"/>
          <w:sz w:val="24"/>
          <w:lang w:eastAsia="ru-RU"/>
        </w:rPr>
        <w:t xml:space="preserve"> (рис. 2)</w:t>
      </w:r>
      <w:r w:rsidRPr="005370FE">
        <w:rPr>
          <w:rFonts w:ascii="Times New Roman" w:eastAsia="Times New Roman" w:hAnsi="Times New Roman" w:cs="Times New Roman"/>
          <w:sz w:val="24"/>
          <w:lang w:eastAsia="ru-RU"/>
        </w:rPr>
        <w:t xml:space="preserve">. Особенно ярко этот тренд проявился после 2018–2020 гг., что коррелирует с постепенным ужесточением денежно-кредитной политики и ростом стоимости заемного капитала. Наиболее радикальное снижение показателя наблюдается у ПАО «ММК» и АО </w:t>
      </w:r>
      <w:r w:rsidRPr="005370FE">
        <w:rPr>
          <w:rFonts w:ascii="Times New Roman" w:eastAsia="Times New Roman" w:hAnsi="Times New Roman" w:cs="Times New Roman"/>
          <w:sz w:val="24"/>
          <w:lang w:eastAsia="ru-RU"/>
        </w:rPr>
        <w:lastRenderedPageBreak/>
        <w:t xml:space="preserve">«РУСАЛ БРАТСК», где к 2022–2024 гг. коэффициент приблизился к нулю. У ПАО «ГМК </w:t>
      </w:r>
      <w:r w:rsidR="007D4A1C">
        <w:rPr>
          <w:rFonts w:ascii="Times New Roman" w:eastAsia="Times New Roman" w:hAnsi="Times New Roman" w:cs="Times New Roman"/>
          <w:sz w:val="24"/>
          <w:lang w:eastAsia="ru-RU"/>
        </w:rPr>
        <w:t>«</w:t>
      </w:r>
      <w:r w:rsidRPr="005370FE">
        <w:rPr>
          <w:rFonts w:ascii="Times New Roman" w:eastAsia="Times New Roman" w:hAnsi="Times New Roman" w:cs="Times New Roman"/>
          <w:sz w:val="24"/>
          <w:lang w:eastAsia="ru-RU"/>
        </w:rPr>
        <w:t>Норильский никель» и ПАО «Северсталь» сохраняется умеренная волатильность с локальными пиками в середине 2010-х гг. Тем не менее, даже эти компании демонстрируют сдержанность в наращивании долгосрочн</w:t>
      </w:r>
      <w:r w:rsidR="007D4A1C">
        <w:rPr>
          <w:rFonts w:ascii="Times New Roman" w:eastAsia="Times New Roman" w:hAnsi="Times New Roman" w:cs="Times New Roman"/>
          <w:sz w:val="24"/>
          <w:lang w:eastAsia="ru-RU"/>
        </w:rPr>
        <w:t>ых долговых обязательств</w:t>
      </w:r>
      <w:r w:rsidRPr="005370FE">
        <w:rPr>
          <w:rFonts w:ascii="Times New Roman" w:eastAsia="Times New Roman" w:hAnsi="Times New Roman" w:cs="Times New Roman"/>
          <w:sz w:val="24"/>
          <w:lang w:eastAsia="ru-RU"/>
        </w:rPr>
        <w:t xml:space="preserve"> в последние годы.</w:t>
      </w:r>
    </w:p>
    <w:p w14:paraId="62F8E5A4" w14:textId="432DCE8E" w:rsidR="0027265C" w:rsidRPr="002E1784" w:rsidRDefault="0015476C" w:rsidP="0027265C">
      <w:pPr>
        <w:spacing w:after="0" w:line="240" w:lineRule="auto"/>
        <w:ind w:left="-540" w:firstLine="540"/>
        <w:jc w:val="center"/>
        <w:rPr>
          <w:rFonts w:ascii="Times New Roman" w:eastAsia="Times New Roman" w:hAnsi="Times New Roman" w:cs="Times New Roman"/>
          <w:sz w:val="24"/>
          <w:lang w:eastAsia="ru-RU"/>
        </w:rPr>
      </w:pPr>
      <w:r>
        <w:rPr>
          <w:noProof/>
        </w:rPr>
        <w:drawing>
          <wp:inline distT="0" distB="0" distL="0" distR="0" wp14:anchorId="4F59FF24" wp14:editId="791BDC4C">
            <wp:extent cx="5353200" cy="2505600"/>
            <wp:effectExtent l="0" t="0" r="0" b="0"/>
            <wp:docPr id="1" name="Диаграмма 1">
              <a:extLst xmlns:a="http://schemas.openxmlformats.org/drawingml/2006/main">
                <a:ext uri="{FF2B5EF4-FFF2-40B4-BE49-F238E27FC236}">
                  <a16:creationId xmlns:a16="http://schemas.microsoft.com/office/drawing/2014/main" id="{D4B9C3F9-033E-4944-8A20-C232E54BE6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857756B" w14:textId="38D72401" w:rsidR="0027265C" w:rsidRDefault="0027265C" w:rsidP="0027265C">
      <w:pPr>
        <w:spacing w:after="0" w:line="240" w:lineRule="auto"/>
        <w:ind w:left="-540" w:firstLine="540"/>
        <w:jc w:val="center"/>
        <w:rPr>
          <w:rFonts w:ascii="Times New Roman" w:eastAsia="Times New Roman" w:hAnsi="Times New Roman" w:cs="Times New Roman"/>
          <w:sz w:val="24"/>
          <w:lang w:eastAsia="ru-RU"/>
        </w:rPr>
      </w:pPr>
      <w:r w:rsidRPr="002E1784">
        <w:rPr>
          <w:rFonts w:ascii="Times New Roman" w:eastAsia="Times New Roman" w:hAnsi="Times New Roman" w:cs="Times New Roman"/>
          <w:sz w:val="24"/>
          <w:lang w:eastAsia="ru-RU"/>
        </w:rPr>
        <w:t xml:space="preserve">Рисунок </w:t>
      </w:r>
      <w:r>
        <w:rPr>
          <w:rFonts w:ascii="Times New Roman" w:eastAsia="Times New Roman" w:hAnsi="Times New Roman" w:cs="Times New Roman"/>
          <w:sz w:val="24"/>
          <w:lang w:eastAsia="ru-RU"/>
        </w:rPr>
        <w:t>2</w:t>
      </w:r>
      <w:r w:rsidRPr="002E1784">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Коэффициент долгосрочных заимствований (заемные средства сроком, превышающим 12 месяцев</w:t>
      </w:r>
      <w:r w:rsidR="00344B6D">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w:t>
      </w:r>
      <w:r w:rsidR="00397116">
        <w:rPr>
          <w:rFonts w:ascii="Times New Roman" w:eastAsia="Times New Roman" w:hAnsi="Times New Roman" w:cs="Times New Roman"/>
          <w:sz w:val="24"/>
          <w:lang w:eastAsia="ru-RU"/>
        </w:rPr>
        <w:t>к</w:t>
      </w:r>
      <w:r w:rsidRPr="0027265C">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выручк</w:t>
      </w:r>
      <w:r w:rsidR="00397116">
        <w:rPr>
          <w:rFonts w:ascii="Times New Roman" w:eastAsia="Times New Roman" w:hAnsi="Times New Roman" w:cs="Times New Roman"/>
          <w:sz w:val="24"/>
          <w:lang w:eastAsia="ru-RU"/>
        </w:rPr>
        <w:t>е</w:t>
      </w:r>
      <w:r w:rsidR="00216B9B">
        <w:rPr>
          <w:rFonts w:ascii="Times New Roman" w:eastAsia="Times New Roman" w:hAnsi="Times New Roman" w:cs="Times New Roman"/>
          <w:sz w:val="24"/>
          <w:lang w:eastAsia="ru-RU"/>
        </w:rPr>
        <w:t xml:space="preserve"> компании</w:t>
      </w:r>
      <w:r>
        <w:rPr>
          <w:rFonts w:ascii="Times New Roman" w:eastAsia="Times New Roman" w:hAnsi="Times New Roman" w:cs="Times New Roman"/>
          <w:sz w:val="24"/>
          <w:lang w:eastAsia="ru-RU"/>
        </w:rPr>
        <w:t>)</w:t>
      </w:r>
    </w:p>
    <w:p w14:paraId="35CEACA5" w14:textId="7FDC9740" w:rsidR="0027265C" w:rsidRDefault="0027265C" w:rsidP="0027265C">
      <w:pPr>
        <w:spacing w:after="0" w:line="240" w:lineRule="auto"/>
        <w:ind w:left="-540" w:firstLine="540"/>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Источник: </w:t>
      </w:r>
      <w:r w:rsidR="005370FE">
        <w:rPr>
          <w:rFonts w:ascii="Times New Roman" w:eastAsia="Times New Roman" w:hAnsi="Times New Roman" w:cs="Times New Roman"/>
          <w:sz w:val="24"/>
          <w:lang w:eastAsia="ru-RU"/>
        </w:rPr>
        <w:t>бухгалтерская отчетность исследуемых корпораций</w:t>
      </w:r>
      <w:r>
        <w:rPr>
          <w:rFonts w:ascii="Times New Roman" w:eastAsia="Times New Roman" w:hAnsi="Times New Roman" w:cs="Times New Roman"/>
          <w:sz w:val="24"/>
          <w:lang w:eastAsia="ru-RU"/>
        </w:rPr>
        <w:t>.</w:t>
      </w:r>
    </w:p>
    <w:p w14:paraId="4CA37274" w14:textId="356A9DE3" w:rsidR="007D4A1C" w:rsidRDefault="007D4A1C" w:rsidP="0027265C">
      <w:pPr>
        <w:spacing w:after="0" w:line="240" w:lineRule="auto"/>
        <w:ind w:left="-540" w:firstLine="540"/>
        <w:rPr>
          <w:rFonts w:ascii="Times New Roman" w:eastAsia="Times New Roman" w:hAnsi="Times New Roman" w:cs="Times New Roman"/>
          <w:sz w:val="24"/>
          <w:lang w:eastAsia="ru-RU"/>
        </w:rPr>
      </w:pPr>
    </w:p>
    <w:p w14:paraId="4E912063" w14:textId="3016A4FC" w:rsidR="007D4A1C" w:rsidRDefault="007D4A1C" w:rsidP="007D4A1C">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В свою очередь, коэффициент краткосрочных заимствований четко описывает дифференцированные подходы к управлению ликвидностью у компаний (рис. 3)</w:t>
      </w:r>
      <w:r w:rsidRPr="005370FE">
        <w:rPr>
          <w:rFonts w:ascii="Times New Roman" w:eastAsia="Times New Roman" w:hAnsi="Times New Roman" w:cs="Times New Roman"/>
          <w:sz w:val="24"/>
          <w:lang w:eastAsia="ru-RU"/>
        </w:rPr>
        <w:t xml:space="preserve">. </w:t>
      </w:r>
      <w:r w:rsidRPr="007D4A1C">
        <w:rPr>
          <w:rFonts w:ascii="Times New Roman" w:eastAsia="Times New Roman" w:hAnsi="Times New Roman" w:cs="Times New Roman"/>
          <w:sz w:val="24"/>
          <w:lang w:eastAsia="ru-RU"/>
        </w:rPr>
        <w:t xml:space="preserve">В то время как ПАО «ММК» и ПАО «НЛМК» демонстрируют относительно стабильный и низкий уровень зависимости от краткосрочного долга, АО «РУСАЛ БРАТСК» и ПАО «ГМК </w:t>
      </w:r>
      <w:r>
        <w:rPr>
          <w:rFonts w:ascii="Times New Roman" w:eastAsia="Times New Roman" w:hAnsi="Times New Roman" w:cs="Times New Roman"/>
          <w:sz w:val="24"/>
          <w:lang w:eastAsia="ru-RU"/>
        </w:rPr>
        <w:t>«</w:t>
      </w:r>
      <w:r w:rsidRPr="007D4A1C">
        <w:rPr>
          <w:rFonts w:ascii="Times New Roman" w:eastAsia="Times New Roman" w:hAnsi="Times New Roman" w:cs="Times New Roman"/>
          <w:sz w:val="24"/>
          <w:lang w:eastAsia="ru-RU"/>
        </w:rPr>
        <w:t xml:space="preserve">Норильский никель» показывают резкий рост показателя, начиная с 2020–2021 гг. </w:t>
      </w:r>
    </w:p>
    <w:p w14:paraId="0E20D701" w14:textId="7BB42784" w:rsidR="0027265C" w:rsidRPr="002E1784" w:rsidRDefault="0015476C" w:rsidP="007D4A1C">
      <w:pPr>
        <w:spacing w:after="0" w:line="240" w:lineRule="auto"/>
        <w:ind w:left="-540" w:firstLine="540"/>
        <w:jc w:val="center"/>
        <w:rPr>
          <w:rFonts w:ascii="Times New Roman" w:eastAsia="Times New Roman" w:hAnsi="Times New Roman" w:cs="Times New Roman"/>
          <w:sz w:val="24"/>
          <w:lang w:eastAsia="ru-RU"/>
        </w:rPr>
      </w:pPr>
      <w:r w:rsidRPr="007D4A1C">
        <w:rPr>
          <w:i/>
          <w:iCs/>
          <w:noProof/>
        </w:rPr>
        <w:drawing>
          <wp:inline distT="0" distB="0" distL="0" distR="0" wp14:anchorId="561056F0" wp14:editId="397D80B8">
            <wp:extent cx="5353200" cy="2505600"/>
            <wp:effectExtent l="0" t="0" r="0" b="0"/>
            <wp:docPr id="6" name="Диаграмма 6">
              <a:extLst xmlns:a="http://schemas.openxmlformats.org/drawingml/2006/main">
                <a:ext uri="{FF2B5EF4-FFF2-40B4-BE49-F238E27FC236}">
                  <a16:creationId xmlns:a16="http://schemas.microsoft.com/office/drawing/2014/main" id="{D4B9C3F9-033E-4944-8A20-C232E54BE6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97BA36C" w14:textId="308D1B06" w:rsidR="0027265C" w:rsidRDefault="0027265C" w:rsidP="0027265C">
      <w:pPr>
        <w:spacing w:after="0" w:line="240" w:lineRule="auto"/>
        <w:ind w:left="-540" w:firstLine="540"/>
        <w:jc w:val="center"/>
        <w:rPr>
          <w:rFonts w:ascii="Times New Roman" w:eastAsia="Times New Roman" w:hAnsi="Times New Roman" w:cs="Times New Roman"/>
          <w:sz w:val="24"/>
          <w:lang w:eastAsia="ru-RU"/>
        </w:rPr>
      </w:pPr>
      <w:r w:rsidRPr="002E1784">
        <w:rPr>
          <w:rFonts w:ascii="Times New Roman" w:eastAsia="Times New Roman" w:hAnsi="Times New Roman" w:cs="Times New Roman"/>
          <w:sz w:val="24"/>
          <w:lang w:eastAsia="ru-RU"/>
        </w:rPr>
        <w:t xml:space="preserve">Рисунок </w:t>
      </w:r>
      <w:r>
        <w:rPr>
          <w:rFonts w:ascii="Times New Roman" w:eastAsia="Times New Roman" w:hAnsi="Times New Roman" w:cs="Times New Roman"/>
          <w:sz w:val="24"/>
          <w:lang w:eastAsia="ru-RU"/>
        </w:rPr>
        <w:t>3</w:t>
      </w:r>
      <w:r w:rsidRPr="002E1784">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Коэффициент краткосрочных заимствований (заемные средства сроком, не превышающим 12 месяцев</w:t>
      </w:r>
      <w:r w:rsidR="00344B6D">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w:t>
      </w:r>
      <w:r w:rsidR="00397116">
        <w:rPr>
          <w:rFonts w:ascii="Times New Roman" w:eastAsia="Times New Roman" w:hAnsi="Times New Roman" w:cs="Times New Roman"/>
          <w:sz w:val="24"/>
          <w:lang w:eastAsia="ru-RU"/>
        </w:rPr>
        <w:t>к</w:t>
      </w:r>
      <w:r w:rsidRPr="0027265C">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выручк</w:t>
      </w:r>
      <w:r w:rsidR="00397116">
        <w:rPr>
          <w:rFonts w:ascii="Times New Roman" w:eastAsia="Times New Roman" w:hAnsi="Times New Roman" w:cs="Times New Roman"/>
          <w:sz w:val="24"/>
          <w:lang w:eastAsia="ru-RU"/>
        </w:rPr>
        <w:t>е</w:t>
      </w:r>
      <w:r w:rsidR="00216B9B">
        <w:rPr>
          <w:rFonts w:ascii="Times New Roman" w:eastAsia="Times New Roman" w:hAnsi="Times New Roman" w:cs="Times New Roman"/>
          <w:sz w:val="24"/>
          <w:lang w:eastAsia="ru-RU"/>
        </w:rPr>
        <w:t xml:space="preserve"> компании</w:t>
      </w:r>
      <w:r>
        <w:rPr>
          <w:rFonts w:ascii="Times New Roman" w:eastAsia="Times New Roman" w:hAnsi="Times New Roman" w:cs="Times New Roman"/>
          <w:sz w:val="24"/>
          <w:lang w:eastAsia="ru-RU"/>
        </w:rPr>
        <w:t>)</w:t>
      </w:r>
    </w:p>
    <w:p w14:paraId="3B8172E5" w14:textId="403EEDA1" w:rsidR="0027265C" w:rsidRPr="002E1784" w:rsidRDefault="0027265C" w:rsidP="0027265C">
      <w:pPr>
        <w:spacing w:after="0" w:line="240" w:lineRule="auto"/>
        <w:ind w:left="-540" w:firstLine="540"/>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Источник: </w:t>
      </w:r>
      <w:r w:rsidR="005370FE">
        <w:rPr>
          <w:rFonts w:ascii="Times New Roman" w:eastAsia="Times New Roman" w:hAnsi="Times New Roman" w:cs="Times New Roman"/>
          <w:sz w:val="24"/>
          <w:lang w:eastAsia="ru-RU"/>
        </w:rPr>
        <w:t>бухгалтерская отчетность исследуемых корпораций</w:t>
      </w:r>
      <w:r>
        <w:rPr>
          <w:rFonts w:ascii="Times New Roman" w:eastAsia="Times New Roman" w:hAnsi="Times New Roman" w:cs="Times New Roman"/>
          <w:sz w:val="24"/>
          <w:lang w:eastAsia="ru-RU"/>
        </w:rPr>
        <w:t>.</w:t>
      </w:r>
    </w:p>
    <w:p w14:paraId="174B36C9" w14:textId="7AC8ADBC" w:rsidR="0027265C" w:rsidRDefault="0027265C" w:rsidP="0027265C">
      <w:pPr>
        <w:spacing w:after="0" w:line="240" w:lineRule="auto"/>
        <w:ind w:left="-540" w:firstLine="540"/>
        <w:jc w:val="center"/>
        <w:rPr>
          <w:rFonts w:ascii="Times New Roman" w:eastAsia="Times New Roman" w:hAnsi="Times New Roman" w:cs="Times New Roman"/>
          <w:sz w:val="24"/>
          <w:lang w:eastAsia="ru-RU"/>
        </w:rPr>
      </w:pPr>
    </w:p>
    <w:p w14:paraId="7FBE01AD" w14:textId="783429A3" w:rsidR="00686E88" w:rsidRPr="0027265C" w:rsidRDefault="00686E88" w:rsidP="00686E88">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Д</w:t>
      </w:r>
      <w:r w:rsidRPr="00686E88">
        <w:rPr>
          <w:rFonts w:ascii="Times New Roman" w:eastAsia="Times New Roman" w:hAnsi="Times New Roman" w:cs="Times New Roman"/>
          <w:sz w:val="24"/>
          <w:lang w:eastAsia="ru-RU"/>
        </w:rPr>
        <w:t>инамик</w:t>
      </w:r>
      <w:r>
        <w:rPr>
          <w:rFonts w:ascii="Times New Roman" w:eastAsia="Times New Roman" w:hAnsi="Times New Roman" w:cs="Times New Roman"/>
          <w:sz w:val="24"/>
          <w:lang w:eastAsia="ru-RU"/>
        </w:rPr>
        <w:t>а</w:t>
      </w:r>
      <w:r w:rsidRPr="00686E88">
        <w:rPr>
          <w:rFonts w:ascii="Times New Roman" w:eastAsia="Times New Roman" w:hAnsi="Times New Roman" w:cs="Times New Roman"/>
          <w:sz w:val="24"/>
          <w:lang w:eastAsia="ru-RU"/>
        </w:rPr>
        <w:t xml:space="preserve"> коэффициента долгосрочных вложений демонстрирует общую тенденцию к снижению капитало</w:t>
      </w:r>
      <w:r>
        <w:rPr>
          <w:rFonts w:ascii="Times New Roman" w:eastAsia="Times New Roman" w:hAnsi="Times New Roman" w:cs="Times New Roman"/>
          <w:sz w:val="24"/>
          <w:lang w:eastAsia="ru-RU"/>
        </w:rPr>
        <w:t>е</w:t>
      </w:r>
      <w:r w:rsidRPr="00686E88">
        <w:rPr>
          <w:rFonts w:ascii="Times New Roman" w:eastAsia="Times New Roman" w:hAnsi="Times New Roman" w:cs="Times New Roman"/>
          <w:sz w:val="24"/>
          <w:lang w:eastAsia="ru-RU"/>
        </w:rPr>
        <w:t>мкости бизнеса у большинства рассмотренных корпораций</w:t>
      </w:r>
      <w:r w:rsidR="00B73263">
        <w:rPr>
          <w:rFonts w:ascii="Times New Roman" w:eastAsia="Times New Roman" w:hAnsi="Times New Roman" w:cs="Times New Roman"/>
          <w:sz w:val="24"/>
          <w:lang w:eastAsia="ru-RU"/>
        </w:rPr>
        <w:t xml:space="preserve"> (рис. 4)</w:t>
      </w:r>
      <w:r>
        <w:rPr>
          <w:rFonts w:ascii="Times New Roman" w:eastAsia="Times New Roman" w:hAnsi="Times New Roman" w:cs="Times New Roman"/>
          <w:sz w:val="24"/>
          <w:lang w:eastAsia="ru-RU"/>
        </w:rPr>
        <w:t>.</w:t>
      </w:r>
      <w:r w:rsidRPr="00686E88">
        <w:rPr>
          <w:rFonts w:ascii="Times New Roman" w:eastAsia="Times New Roman" w:hAnsi="Times New Roman" w:cs="Times New Roman"/>
          <w:sz w:val="24"/>
          <w:lang w:eastAsia="ru-RU"/>
        </w:rPr>
        <w:t xml:space="preserve"> Наиболее выражено это снижение проявилось у ПАО «Северсталь» и АО «РУСАЛ БРАТСК», где коэффициент упал с уровней выше 1,5–2,0 в </w:t>
      </w:r>
      <w:r>
        <w:rPr>
          <w:rFonts w:ascii="Times New Roman" w:eastAsia="Times New Roman" w:hAnsi="Times New Roman" w:cs="Times New Roman"/>
          <w:sz w:val="24"/>
          <w:lang w:eastAsia="ru-RU"/>
        </w:rPr>
        <w:t>2009 г.</w:t>
      </w:r>
      <w:r w:rsidRPr="00686E88">
        <w:rPr>
          <w:rFonts w:ascii="Times New Roman" w:eastAsia="Times New Roman" w:hAnsi="Times New Roman" w:cs="Times New Roman"/>
          <w:sz w:val="24"/>
          <w:lang w:eastAsia="ru-RU"/>
        </w:rPr>
        <w:t xml:space="preserve"> до значений ниж</w:t>
      </w:r>
      <w:r>
        <w:rPr>
          <w:rFonts w:ascii="Times New Roman" w:eastAsia="Times New Roman" w:hAnsi="Times New Roman" w:cs="Times New Roman"/>
          <w:sz w:val="24"/>
          <w:lang w:eastAsia="ru-RU"/>
        </w:rPr>
        <w:t>е</w:t>
      </w:r>
      <w:r w:rsidRPr="00686E88">
        <w:rPr>
          <w:rFonts w:ascii="Times New Roman" w:eastAsia="Times New Roman" w:hAnsi="Times New Roman" w:cs="Times New Roman"/>
          <w:sz w:val="24"/>
          <w:lang w:eastAsia="ru-RU"/>
        </w:rPr>
        <w:t xml:space="preserve"> 0,3–0,4 </w:t>
      </w:r>
      <w:r>
        <w:rPr>
          <w:rFonts w:ascii="Times New Roman" w:eastAsia="Times New Roman" w:hAnsi="Times New Roman" w:cs="Times New Roman"/>
          <w:sz w:val="24"/>
          <w:lang w:eastAsia="ru-RU"/>
        </w:rPr>
        <w:t>в</w:t>
      </w:r>
      <w:r w:rsidRPr="00686E88">
        <w:rPr>
          <w:rFonts w:ascii="Times New Roman" w:eastAsia="Times New Roman" w:hAnsi="Times New Roman" w:cs="Times New Roman"/>
          <w:sz w:val="24"/>
          <w:lang w:eastAsia="ru-RU"/>
        </w:rPr>
        <w:t xml:space="preserve"> 2024 г. ПАО «НЛМК» и ПАО «ММК» показывают относительно стабильную траекторию с умеренным снижением, что говорит о более консервативном, но последовательном подходе к управлению </w:t>
      </w:r>
      <w:r w:rsidRPr="00686E88">
        <w:rPr>
          <w:rFonts w:ascii="Times New Roman" w:eastAsia="Times New Roman" w:hAnsi="Times New Roman" w:cs="Times New Roman"/>
          <w:sz w:val="24"/>
          <w:lang w:eastAsia="ru-RU"/>
        </w:rPr>
        <w:lastRenderedPageBreak/>
        <w:t xml:space="preserve">внеоборотными активами. ПАО «ГМК </w:t>
      </w:r>
      <w:r>
        <w:rPr>
          <w:rFonts w:ascii="Times New Roman" w:eastAsia="Times New Roman" w:hAnsi="Times New Roman" w:cs="Times New Roman"/>
          <w:sz w:val="24"/>
          <w:lang w:eastAsia="ru-RU"/>
        </w:rPr>
        <w:t>«</w:t>
      </w:r>
      <w:r w:rsidRPr="00686E88">
        <w:rPr>
          <w:rFonts w:ascii="Times New Roman" w:eastAsia="Times New Roman" w:hAnsi="Times New Roman" w:cs="Times New Roman"/>
          <w:sz w:val="24"/>
          <w:lang w:eastAsia="ru-RU"/>
        </w:rPr>
        <w:t>Норильский никель»</w:t>
      </w:r>
      <w:r w:rsidR="002F1F5C">
        <w:rPr>
          <w:rFonts w:ascii="Times New Roman" w:eastAsia="Times New Roman" w:hAnsi="Times New Roman" w:cs="Times New Roman"/>
          <w:sz w:val="24"/>
          <w:lang w:eastAsia="ru-RU"/>
        </w:rPr>
        <w:t xml:space="preserve"> и АО «РУСАЛ БРАТСК»</w:t>
      </w:r>
      <w:r w:rsidRPr="00686E88">
        <w:rPr>
          <w:rFonts w:ascii="Times New Roman" w:eastAsia="Times New Roman" w:hAnsi="Times New Roman" w:cs="Times New Roman"/>
          <w:sz w:val="24"/>
          <w:lang w:eastAsia="ru-RU"/>
        </w:rPr>
        <w:t xml:space="preserve"> выделя</w:t>
      </w:r>
      <w:r w:rsidR="002F1F5C">
        <w:rPr>
          <w:rFonts w:ascii="Times New Roman" w:eastAsia="Times New Roman" w:hAnsi="Times New Roman" w:cs="Times New Roman"/>
          <w:sz w:val="24"/>
          <w:lang w:eastAsia="ru-RU"/>
        </w:rPr>
        <w:t>ю</w:t>
      </w:r>
      <w:r w:rsidRPr="00686E88">
        <w:rPr>
          <w:rFonts w:ascii="Times New Roman" w:eastAsia="Times New Roman" w:hAnsi="Times New Roman" w:cs="Times New Roman"/>
          <w:sz w:val="24"/>
          <w:lang w:eastAsia="ru-RU"/>
        </w:rPr>
        <w:t>тся устойчивым ростом показателя после 2020 г.</w:t>
      </w:r>
    </w:p>
    <w:p w14:paraId="39296E2E" w14:textId="0F0B25B7" w:rsidR="0027265C" w:rsidRPr="002E1784" w:rsidRDefault="0015476C" w:rsidP="0027265C">
      <w:pPr>
        <w:spacing w:after="0" w:line="240" w:lineRule="auto"/>
        <w:ind w:left="-540" w:firstLine="540"/>
        <w:jc w:val="center"/>
        <w:rPr>
          <w:rFonts w:ascii="Times New Roman" w:eastAsia="Times New Roman" w:hAnsi="Times New Roman" w:cs="Times New Roman"/>
          <w:sz w:val="24"/>
          <w:lang w:eastAsia="ru-RU"/>
        </w:rPr>
      </w:pPr>
      <w:r>
        <w:rPr>
          <w:noProof/>
        </w:rPr>
        <w:drawing>
          <wp:inline distT="0" distB="0" distL="0" distR="0" wp14:anchorId="39B2A5F0" wp14:editId="0FF08137">
            <wp:extent cx="5353200" cy="2505600"/>
            <wp:effectExtent l="0" t="0" r="0" b="0"/>
            <wp:docPr id="7" name="Диаграмма 7">
              <a:extLst xmlns:a="http://schemas.openxmlformats.org/drawingml/2006/main">
                <a:ext uri="{FF2B5EF4-FFF2-40B4-BE49-F238E27FC236}">
                  <a16:creationId xmlns:a16="http://schemas.microsoft.com/office/drawing/2014/main" id="{D4B9C3F9-033E-4944-8A20-C232E54BE6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5749B4E" w14:textId="5FEE2CD5" w:rsidR="0027265C" w:rsidRPr="0027265C" w:rsidRDefault="0027265C" w:rsidP="0027265C">
      <w:pPr>
        <w:spacing w:after="0" w:line="240" w:lineRule="auto"/>
        <w:ind w:left="-540" w:firstLine="540"/>
        <w:jc w:val="center"/>
        <w:rPr>
          <w:rFonts w:ascii="Times New Roman" w:eastAsia="Times New Roman" w:hAnsi="Times New Roman" w:cs="Times New Roman"/>
          <w:sz w:val="24"/>
          <w:lang w:eastAsia="ru-RU"/>
        </w:rPr>
      </w:pPr>
      <w:r w:rsidRPr="002E1784">
        <w:rPr>
          <w:rFonts w:ascii="Times New Roman" w:eastAsia="Times New Roman" w:hAnsi="Times New Roman" w:cs="Times New Roman"/>
          <w:sz w:val="24"/>
          <w:lang w:eastAsia="ru-RU"/>
        </w:rPr>
        <w:t xml:space="preserve">Рисунок </w:t>
      </w:r>
      <w:r>
        <w:rPr>
          <w:rFonts w:ascii="Times New Roman" w:eastAsia="Times New Roman" w:hAnsi="Times New Roman" w:cs="Times New Roman"/>
          <w:sz w:val="24"/>
          <w:lang w:eastAsia="ru-RU"/>
        </w:rPr>
        <w:t>4</w:t>
      </w:r>
      <w:r w:rsidRPr="002E1784">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 xml:space="preserve">Коэффициент долгосрочных вложений (внеоборотные активы </w:t>
      </w:r>
      <w:r w:rsidR="00397116">
        <w:rPr>
          <w:rFonts w:ascii="Times New Roman" w:eastAsia="Times New Roman" w:hAnsi="Times New Roman" w:cs="Times New Roman"/>
          <w:sz w:val="24"/>
          <w:lang w:eastAsia="ru-RU"/>
        </w:rPr>
        <w:t>к</w:t>
      </w:r>
      <w:r w:rsidRPr="0027265C">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выручк</w:t>
      </w:r>
      <w:r w:rsidR="00397116">
        <w:rPr>
          <w:rFonts w:ascii="Times New Roman" w:eastAsia="Times New Roman" w:hAnsi="Times New Roman" w:cs="Times New Roman"/>
          <w:sz w:val="24"/>
          <w:lang w:eastAsia="ru-RU"/>
        </w:rPr>
        <w:t>е</w:t>
      </w:r>
      <w:r w:rsidR="00216B9B">
        <w:rPr>
          <w:rFonts w:ascii="Times New Roman" w:eastAsia="Times New Roman" w:hAnsi="Times New Roman" w:cs="Times New Roman"/>
          <w:sz w:val="24"/>
          <w:lang w:eastAsia="ru-RU"/>
        </w:rPr>
        <w:t xml:space="preserve"> компании</w:t>
      </w:r>
      <w:r>
        <w:rPr>
          <w:rFonts w:ascii="Times New Roman" w:eastAsia="Times New Roman" w:hAnsi="Times New Roman" w:cs="Times New Roman"/>
          <w:sz w:val="24"/>
          <w:lang w:eastAsia="ru-RU"/>
        </w:rPr>
        <w:t>)</w:t>
      </w:r>
    </w:p>
    <w:p w14:paraId="6576A27A" w14:textId="28C35732" w:rsidR="0027265C" w:rsidRDefault="0027265C" w:rsidP="0027265C">
      <w:pPr>
        <w:spacing w:after="0" w:line="240" w:lineRule="auto"/>
        <w:ind w:left="-540" w:firstLine="540"/>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Источник: </w:t>
      </w:r>
      <w:r w:rsidR="005370FE">
        <w:rPr>
          <w:rFonts w:ascii="Times New Roman" w:eastAsia="Times New Roman" w:hAnsi="Times New Roman" w:cs="Times New Roman"/>
          <w:sz w:val="24"/>
          <w:lang w:eastAsia="ru-RU"/>
        </w:rPr>
        <w:t>бухгалтерская отчетность исследуемых корпораций</w:t>
      </w:r>
      <w:r>
        <w:rPr>
          <w:rFonts w:ascii="Times New Roman" w:eastAsia="Times New Roman" w:hAnsi="Times New Roman" w:cs="Times New Roman"/>
          <w:sz w:val="24"/>
          <w:lang w:eastAsia="ru-RU"/>
        </w:rPr>
        <w:t>.</w:t>
      </w:r>
    </w:p>
    <w:p w14:paraId="68F4DBD9" w14:textId="44352265" w:rsidR="005370FE" w:rsidRDefault="005370FE" w:rsidP="0027265C">
      <w:pPr>
        <w:spacing w:after="0" w:line="240" w:lineRule="auto"/>
        <w:ind w:left="-540" w:firstLine="540"/>
        <w:rPr>
          <w:rFonts w:ascii="Times New Roman" w:eastAsia="Times New Roman" w:hAnsi="Times New Roman" w:cs="Times New Roman"/>
          <w:sz w:val="24"/>
          <w:lang w:eastAsia="ru-RU"/>
        </w:rPr>
      </w:pPr>
    </w:p>
    <w:p w14:paraId="72246072" w14:textId="09E95528" w:rsidR="00686E88" w:rsidRDefault="00686E88" w:rsidP="00686E88">
      <w:pPr>
        <w:spacing w:after="0" w:line="240" w:lineRule="auto"/>
        <w:ind w:left="-540"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С другой стороны, </w:t>
      </w:r>
      <w:r w:rsidRPr="00686E88">
        <w:rPr>
          <w:rFonts w:ascii="Times New Roman" w:eastAsia="Times New Roman" w:hAnsi="Times New Roman" w:cs="Times New Roman"/>
          <w:sz w:val="24"/>
          <w:lang w:eastAsia="ru-RU"/>
        </w:rPr>
        <w:t>коэффициент краткосрочных вложений</w:t>
      </w:r>
      <w:r>
        <w:rPr>
          <w:rFonts w:ascii="Times New Roman" w:eastAsia="Times New Roman" w:hAnsi="Times New Roman" w:cs="Times New Roman"/>
          <w:sz w:val="24"/>
          <w:lang w:eastAsia="ru-RU"/>
        </w:rPr>
        <w:t xml:space="preserve"> показывает</w:t>
      </w:r>
      <w:r w:rsidRPr="00686E88">
        <w:rPr>
          <w:rFonts w:ascii="Times New Roman" w:eastAsia="Times New Roman" w:hAnsi="Times New Roman" w:cs="Times New Roman"/>
          <w:sz w:val="24"/>
          <w:lang w:eastAsia="ru-RU"/>
        </w:rPr>
        <w:t xml:space="preserve"> устойчив</w:t>
      </w:r>
      <w:r>
        <w:rPr>
          <w:rFonts w:ascii="Times New Roman" w:eastAsia="Times New Roman" w:hAnsi="Times New Roman" w:cs="Times New Roman"/>
          <w:sz w:val="24"/>
          <w:lang w:eastAsia="ru-RU"/>
        </w:rPr>
        <w:t xml:space="preserve">ое </w:t>
      </w:r>
      <w:r w:rsidRPr="00686E88">
        <w:rPr>
          <w:rFonts w:ascii="Times New Roman" w:eastAsia="Times New Roman" w:hAnsi="Times New Roman" w:cs="Times New Roman"/>
          <w:sz w:val="24"/>
          <w:lang w:eastAsia="ru-RU"/>
        </w:rPr>
        <w:t>повышение эффективности управления оборотным капиталом во всех рассмотренных компаниях</w:t>
      </w:r>
      <w:r w:rsidR="00B73263">
        <w:rPr>
          <w:rFonts w:ascii="Times New Roman" w:eastAsia="Times New Roman" w:hAnsi="Times New Roman" w:cs="Times New Roman"/>
          <w:sz w:val="24"/>
          <w:lang w:eastAsia="ru-RU"/>
        </w:rPr>
        <w:t xml:space="preserve"> (рис. 5)</w:t>
      </w:r>
      <w:r w:rsidRPr="00686E88">
        <w:rPr>
          <w:rFonts w:ascii="Times New Roman" w:eastAsia="Times New Roman" w:hAnsi="Times New Roman" w:cs="Times New Roman"/>
          <w:sz w:val="24"/>
          <w:lang w:eastAsia="ru-RU"/>
        </w:rPr>
        <w:t xml:space="preserve">. Наиболее показательным является значительное снижение коэффициента, особенно в период с 2015 по 2024 гг. Для АО «РУСАЛ БРАТСК» характерна высокая </w:t>
      </w:r>
      <w:r>
        <w:rPr>
          <w:rFonts w:ascii="Times New Roman" w:eastAsia="Times New Roman" w:hAnsi="Times New Roman" w:cs="Times New Roman"/>
          <w:sz w:val="24"/>
          <w:lang w:eastAsia="ru-RU"/>
        </w:rPr>
        <w:t>изменчивость</w:t>
      </w:r>
      <w:r w:rsidRPr="00686E88">
        <w:rPr>
          <w:rFonts w:ascii="Times New Roman" w:eastAsia="Times New Roman" w:hAnsi="Times New Roman" w:cs="Times New Roman"/>
          <w:sz w:val="24"/>
          <w:lang w:eastAsia="ru-RU"/>
        </w:rPr>
        <w:t xml:space="preserve"> в начале периода, сменившаяся последовательным снижением показателя к минимальным значениям. Аналогичная тенденция к сокращению доли оборотных активов наблюдается у ПАО «Северсталь», ПАО «НЛМК» и ПАО «ГМК </w:t>
      </w:r>
      <w:r>
        <w:rPr>
          <w:rFonts w:ascii="Times New Roman" w:eastAsia="Times New Roman" w:hAnsi="Times New Roman" w:cs="Times New Roman"/>
          <w:sz w:val="24"/>
          <w:lang w:eastAsia="ru-RU"/>
        </w:rPr>
        <w:t>«</w:t>
      </w:r>
      <w:r w:rsidRPr="00686E88">
        <w:rPr>
          <w:rFonts w:ascii="Times New Roman" w:eastAsia="Times New Roman" w:hAnsi="Times New Roman" w:cs="Times New Roman"/>
          <w:sz w:val="24"/>
          <w:lang w:eastAsia="ru-RU"/>
        </w:rPr>
        <w:t>Норильский никель». Таким образом, компании оптимизируют бизнес-процессы, высвобождая ликвидность для более эффективного использования в условиях дорогих кредитов.</w:t>
      </w:r>
    </w:p>
    <w:p w14:paraId="5FA4ED75" w14:textId="6A4B9F1F" w:rsidR="0027265C" w:rsidRPr="002E1784" w:rsidRDefault="0015476C" w:rsidP="0027265C">
      <w:pPr>
        <w:spacing w:after="0" w:line="240" w:lineRule="auto"/>
        <w:ind w:left="-540" w:firstLine="540"/>
        <w:jc w:val="center"/>
        <w:rPr>
          <w:rFonts w:ascii="Times New Roman" w:eastAsia="Times New Roman" w:hAnsi="Times New Roman" w:cs="Times New Roman"/>
          <w:sz w:val="24"/>
          <w:lang w:eastAsia="ru-RU"/>
        </w:rPr>
      </w:pPr>
      <w:r>
        <w:rPr>
          <w:noProof/>
        </w:rPr>
        <w:drawing>
          <wp:inline distT="0" distB="0" distL="0" distR="0" wp14:anchorId="797FA5F3" wp14:editId="1A3BB77B">
            <wp:extent cx="5353200" cy="2505600"/>
            <wp:effectExtent l="0" t="0" r="0" b="0"/>
            <wp:docPr id="9" name="Диаграмма 9">
              <a:extLst xmlns:a="http://schemas.openxmlformats.org/drawingml/2006/main">
                <a:ext uri="{FF2B5EF4-FFF2-40B4-BE49-F238E27FC236}">
                  <a16:creationId xmlns:a16="http://schemas.microsoft.com/office/drawing/2014/main" id="{D4B9C3F9-033E-4944-8A20-C232E54BE6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5369411" w14:textId="4F3AC377" w:rsidR="0027265C" w:rsidRPr="002E1784" w:rsidRDefault="0027265C" w:rsidP="0027265C">
      <w:pPr>
        <w:spacing w:after="0" w:line="240" w:lineRule="auto"/>
        <w:ind w:left="-540" w:firstLine="540"/>
        <w:jc w:val="center"/>
        <w:rPr>
          <w:rFonts w:ascii="Times New Roman" w:eastAsia="Times New Roman" w:hAnsi="Times New Roman" w:cs="Times New Roman"/>
          <w:sz w:val="24"/>
          <w:lang w:eastAsia="ru-RU"/>
        </w:rPr>
      </w:pPr>
      <w:r w:rsidRPr="002E1784">
        <w:rPr>
          <w:rFonts w:ascii="Times New Roman" w:eastAsia="Times New Roman" w:hAnsi="Times New Roman" w:cs="Times New Roman"/>
          <w:sz w:val="24"/>
          <w:lang w:eastAsia="ru-RU"/>
        </w:rPr>
        <w:t xml:space="preserve">Рисунок </w:t>
      </w:r>
      <w:r>
        <w:rPr>
          <w:rFonts w:ascii="Times New Roman" w:eastAsia="Times New Roman" w:hAnsi="Times New Roman" w:cs="Times New Roman"/>
          <w:sz w:val="24"/>
          <w:lang w:eastAsia="ru-RU"/>
        </w:rPr>
        <w:t>5</w:t>
      </w:r>
      <w:r w:rsidRPr="002E1784">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 xml:space="preserve">Коэффициент краткосрочных вложений (оборотные активы </w:t>
      </w:r>
      <w:r w:rsidR="00397116">
        <w:rPr>
          <w:rFonts w:ascii="Times New Roman" w:eastAsia="Times New Roman" w:hAnsi="Times New Roman" w:cs="Times New Roman"/>
          <w:sz w:val="24"/>
          <w:lang w:eastAsia="ru-RU"/>
        </w:rPr>
        <w:t>к</w:t>
      </w:r>
      <w:r w:rsidRPr="0027265C">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выручк</w:t>
      </w:r>
      <w:r w:rsidR="00397116">
        <w:rPr>
          <w:rFonts w:ascii="Times New Roman" w:eastAsia="Times New Roman" w:hAnsi="Times New Roman" w:cs="Times New Roman"/>
          <w:sz w:val="24"/>
          <w:lang w:eastAsia="ru-RU"/>
        </w:rPr>
        <w:t>е</w:t>
      </w:r>
      <w:r w:rsidR="00216B9B">
        <w:rPr>
          <w:rFonts w:ascii="Times New Roman" w:eastAsia="Times New Roman" w:hAnsi="Times New Roman" w:cs="Times New Roman"/>
          <w:sz w:val="24"/>
          <w:lang w:eastAsia="ru-RU"/>
        </w:rPr>
        <w:t xml:space="preserve"> компании</w:t>
      </w:r>
      <w:r>
        <w:rPr>
          <w:rFonts w:ascii="Times New Roman" w:eastAsia="Times New Roman" w:hAnsi="Times New Roman" w:cs="Times New Roman"/>
          <w:sz w:val="24"/>
          <w:lang w:eastAsia="ru-RU"/>
        </w:rPr>
        <w:t>)</w:t>
      </w:r>
      <w:r w:rsidRPr="002E1784">
        <w:rPr>
          <w:rFonts w:ascii="Times New Roman" w:eastAsia="Times New Roman" w:hAnsi="Times New Roman" w:cs="Times New Roman"/>
          <w:sz w:val="24"/>
          <w:lang w:eastAsia="ru-RU"/>
        </w:rPr>
        <w:t xml:space="preserve"> </w:t>
      </w:r>
    </w:p>
    <w:p w14:paraId="29DB45F7" w14:textId="5F144C63" w:rsidR="0027265C" w:rsidRPr="002E1784" w:rsidRDefault="0027265C" w:rsidP="0027265C">
      <w:pPr>
        <w:spacing w:after="0" w:line="240" w:lineRule="auto"/>
        <w:ind w:left="-540" w:firstLine="540"/>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Источник: </w:t>
      </w:r>
      <w:r w:rsidR="005370FE">
        <w:rPr>
          <w:rFonts w:ascii="Times New Roman" w:eastAsia="Times New Roman" w:hAnsi="Times New Roman" w:cs="Times New Roman"/>
          <w:sz w:val="24"/>
          <w:lang w:eastAsia="ru-RU"/>
        </w:rPr>
        <w:t>бухгалтерская отчетность исследуемых корпораций</w:t>
      </w:r>
      <w:r>
        <w:rPr>
          <w:rFonts w:ascii="Times New Roman" w:eastAsia="Times New Roman" w:hAnsi="Times New Roman" w:cs="Times New Roman"/>
          <w:sz w:val="24"/>
          <w:lang w:eastAsia="ru-RU"/>
        </w:rPr>
        <w:t>.</w:t>
      </w:r>
    </w:p>
    <w:p w14:paraId="692BE86A" w14:textId="796575F5" w:rsidR="002E1784" w:rsidRDefault="002E1784" w:rsidP="0027265C">
      <w:pPr>
        <w:spacing w:after="0" w:line="240" w:lineRule="auto"/>
        <w:rPr>
          <w:rFonts w:ascii="Times New Roman" w:eastAsia="Times New Roman" w:hAnsi="Times New Roman" w:cs="Times New Roman"/>
          <w:sz w:val="24"/>
          <w:lang w:eastAsia="ru-RU"/>
        </w:rPr>
      </w:pPr>
    </w:p>
    <w:p w14:paraId="60BF9658" w14:textId="4AD4538A" w:rsidR="00317264" w:rsidRDefault="00317264" w:rsidP="00317264">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Подводя итог, р</w:t>
      </w:r>
      <w:r w:rsidRPr="00B73263">
        <w:rPr>
          <w:rFonts w:ascii="Times New Roman" w:eastAsia="Times New Roman" w:hAnsi="Times New Roman" w:cs="Times New Roman"/>
          <w:sz w:val="24"/>
          <w:lang w:eastAsia="ru-RU"/>
        </w:rPr>
        <w:t>оссийский металлургический сектор демонстрирует адаптивность к жестким условиям ДКП</w:t>
      </w:r>
      <w:r>
        <w:rPr>
          <w:rFonts w:ascii="Times New Roman" w:eastAsia="Times New Roman" w:hAnsi="Times New Roman" w:cs="Times New Roman"/>
          <w:sz w:val="24"/>
          <w:lang w:eastAsia="ru-RU"/>
        </w:rPr>
        <w:t xml:space="preserve">, о чем говорит два сегментальных </w:t>
      </w:r>
      <w:r w:rsidR="00344B6D">
        <w:rPr>
          <w:rFonts w:ascii="Times New Roman" w:eastAsia="Times New Roman" w:hAnsi="Times New Roman" w:cs="Times New Roman"/>
          <w:sz w:val="24"/>
          <w:lang w:eastAsia="ru-RU"/>
        </w:rPr>
        <w:t>положения</w:t>
      </w:r>
      <w:r>
        <w:rPr>
          <w:rFonts w:ascii="Times New Roman" w:eastAsia="Times New Roman" w:hAnsi="Times New Roman" w:cs="Times New Roman"/>
          <w:sz w:val="24"/>
          <w:lang w:eastAsia="ru-RU"/>
        </w:rPr>
        <w:t xml:space="preserve">. Во-первых, у некоторых отечественных металлургическим компаний четко прослеживается замещение «длинных» денег «короткими», то есть кредитные обязательства в условиях высоких процентных ставок минимизируются и (или) берутся только по необходимости. Во-вторых, наблюдаемое во всех компаниях снижение капиталоемкости (внеоборотные активы) и </w:t>
      </w:r>
      <w:r>
        <w:rPr>
          <w:rFonts w:ascii="Times New Roman" w:eastAsia="Times New Roman" w:hAnsi="Times New Roman" w:cs="Times New Roman"/>
          <w:sz w:val="24"/>
          <w:lang w:eastAsia="ru-RU"/>
        </w:rPr>
        <w:lastRenderedPageBreak/>
        <w:t>повышение операционной эффективности (оборотные активы) иллюстрирует своеобразную инвестиционную «диету».</w:t>
      </w:r>
    </w:p>
    <w:p w14:paraId="0888590E" w14:textId="77777777" w:rsidR="003940D3" w:rsidRPr="002E1784" w:rsidRDefault="003940D3" w:rsidP="002E1784">
      <w:pPr>
        <w:spacing w:after="0" w:line="240" w:lineRule="auto"/>
        <w:ind w:left="-540" w:firstLine="540"/>
        <w:jc w:val="center"/>
        <w:rPr>
          <w:rFonts w:ascii="Times New Roman" w:eastAsia="Times New Roman" w:hAnsi="Times New Roman" w:cs="Times New Roman"/>
          <w:b/>
          <w:sz w:val="24"/>
          <w:lang w:eastAsia="ru-RU"/>
        </w:rPr>
      </w:pPr>
    </w:p>
    <w:p w14:paraId="54801F8B" w14:textId="10BC3BAD"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w:t>
      </w:r>
    </w:p>
    <w:p w14:paraId="5D8E203D" w14:textId="32580659" w:rsidR="007E57CD" w:rsidRPr="002E1784" w:rsidRDefault="007E57CD" w:rsidP="007E57CD">
      <w:pPr>
        <w:widowControl w:val="0"/>
        <w:tabs>
          <w:tab w:val="left" w:pos="993"/>
        </w:tabs>
        <w:suppressAutoHyphens/>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1. </w:t>
      </w:r>
      <w:r w:rsidRPr="003C100B">
        <w:rPr>
          <w:rFonts w:ascii="Times New Roman" w:eastAsia="Times New Roman" w:hAnsi="Times New Roman" w:cs="Times New Roman"/>
          <w:sz w:val="24"/>
          <w:lang w:eastAsia="ru-RU"/>
        </w:rPr>
        <w:t>Набиуллина раскрыла, какие варианты по ставке рассматривал ЦБ</w:t>
      </w:r>
      <w:r>
        <w:rPr>
          <w:rFonts w:ascii="Times New Roman" w:eastAsia="Times New Roman" w:hAnsi="Times New Roman" w:cs="Times New Roman"/>
          <w:sz w:val="24"/>
          <w:lang w:eastAsia="ru-RU"/>
        </w:rPr>
        <w:t>.</w:t>
      </w:r>
      <w:r w:rsidR="00EA1E79" w:rsidRPr="00EA1E79">
        <w:rPr>
          <w:rFonts w:ascii="Times New Roman" w:eastAsia="Times New Roman" w:hAnsi="Times New Roman" w:cs="Times New Roman"/>
          <w:sz w:val="24"/>
          <w:lang w:eastAsia="ru-RU"/>
        </w:rPr>
        <w:t xml:space="preserve"> </w:t>
      </w:r>
      <w:r w:rsidR="00EA1E79">
        <w:rPr>
          <w:rFonts w:ascii="Times New Roman" w:eastAsia="Times New Roman" w:hAnsi="Times New Roman" w:cs="Times New Roman"/>
          <w:sz w:val="24"/>
          <w:lang w:val="en-US" w:eastAsia="ru-RU"/>
        </w:rPr>
        <w:t>RBC</w:t>
      </w:r>
      <w:r w:rsidR="00EA1E79" w:rsidRPr="00EA1E79">
        <w:rPr>
          <w:rFonts w:ascii="Times New Roman" w:eastAsia="Times New Roman" w:hAnsi="Times New Roman" w:cs="Times New Roman"/>
          <w:sz w:val="24"/>
          <w:lang w:eastAsia="ru-RU"/>
        </w:rPr>
        <w:t xml:space="preserve">. </w:t>
      </w:r>
      <w:r w:rsidR="00EA1E79">
        <w:rPr>
          <w:rFonts w:ascii="Times New Roman" w:eastAsia="Times New Roman" w:hAnsi="Times New Roman" w:cs="Times New Roman"/>
          <w:sz w:val="24"/>
          <w:lang w:eastAsia="ru-RU"/>
        </w:rPr>
        <w:t>–</w:t>
      </w:r>
      <w:r w:rsidR="00EA1E79" w:rsidRPr="00EA1E79">
        <w:rPr>
          <w:rFonts w:ascii="Times New Roman" w:eastAsia="Times New Roman" w:hAnsi="Times New Roman" w:cs="Times New Roman"/>
          <w:sz w:val="24"/>
          <w:lang w:eastAsia="ru-RU"/>
        </w:rPr>
        <w:t xml:space="preserve"> </w:t>
      </w:r>
      <w:r w:rsidR="00EA1E79">
        <w:rPr>
          <w:rFonts w:ascii="Times New Roman" w:eastAsia="Times New Roman" w:hAnsi="Times New Roman" w:cs="Times New Roman"/>
          <w:sz w:val="24"/>
          <w:lang w:val="en-US" w:eastAsia="ru-RU"/>
        </w:rPr>
        <w:t>URL</w:t>
      </w:r>
      <w:r w:rsidR="00EA1E79" w:rsidRPr="00EA1E79">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w:t>
      </w:r>
      <w:r w:rsidRPr="003C100B">
        <w:rPr>
          <w:rFonts w:ascii="Times New Roman" w:eastAsia="Times New Roman" w:hAnsi="Times New Roman" w:cs="Times New Roman"/>
          <w:sz w:val="24"/>
          <w:lang w:eastAsia="ru-RU"/>
        </w:rPr>
        <w:t>https://www.rbc.ru/finances/24/04/2026/69eb5ffc9a794701502341ed</w:t>
      </w:r>
      <w:r>
        <w:rPr>
          <w:rFonts w:ascii="Times New Roman" w:eastAsia="Times New Roman" w:hAnsi="Times New Roman" w:cs="Times New Roman"/>
          <w:sz w:val="24"/>
          <w:lang w:eastAsia="ru-RU"/>
        </w:rPr>
        <w:t xml:space="preserve"> (дата обращения: 13.05.2026).</w:t>
      </w:r>
    </w:p>
    <w:p w14:paraId="3077ACB0" w14:textId="77777777" w:rsidR="007E57CD" w:rsidRPr="004F0698" w:rsidRDefault="007E57CD" w:rsidP="007E57CD">
      <w:pPr>
        <w:widowControl w:val="0"/>
        <w:tabs>
          <w:tab w:val="left" w:pos="993"/>
        </w:tabs>
        <w:suppressAutoHyphens/>
        <w:spacing w:after="0" w:line="240" w:lineRule="auto"/>
        <w:ind w:firstLine="709"/>
        <w:jc w:val="both"/>
        <w:rPr>
          <w:rFonts w:ascii="Times New Roman" w:eastAsia="Times New Roman" w:hAnsi="Times New Roman" w:cs="Times New Roman"/>
          <w:sz w:val="24"/>
          <w:lang w:eastAsia="ru-RU"/>
        </w:rPr>
      </w:pPr>
      <w:r w:rsidRPr="002E1784">
        <w:rPr>
          <w:rFonts w:ascii="Times New Roman" w:eastAsia="Times New Roman" w:hAnsi="Times New Roman" w:cs="Times New Roman"/>
          <w:sz w:val="24"/>
          <w:lang w:eastAsia="ru-RU"/>
        </w:rPr>
        <w:t>2.</w:t>
      </w:r>
      <w:r w:rsidRPr="002E1784">
        <w:rPr>
          <w:rFonts w:ascii="Times New Roman" w:eastAsia="Times New Roman" w:hAnsi="Times New Roman" w:cs="Times New Roman"/>
          <w:sz w:val="24"/>
          <w:lang w:eastAsia="ru-RU"/>
        </w:rPr>
        <w:tab/>
      </w:r>
      <w:r>
        <w:rPr>
          <w:rFonts w:ascii="Times New Roman" w:eastAsia="Times New Roman" w:hAnsi="Times New Roman" w:cs="Times New Roman"/>
          <w:sz w:val="24"/>
          <w:lang w:eastAsia="ru-RU"/>
        </w:rPr>
        <w:t>Кувалин Д.Б., Зинченко Ю.В., Лавриненко П.А</w:t>
      </w:r>
      <w:r w:rsidRPr="002E1784">
        <w:rPr>
          <w:rFonts w:ascii="Times New Roman" w:eastAsia="Times New Roman" w:hAnsi="Times New Roman" w:cs="Times New Roman"/>
          <w:sz w:val="24"/>
          <w:lang w:eastAsia="ru-RU"/>
        </w:rPr>
        <w:t xml:space="preserve">. </w:t>
      </w:r>
      <w:r w:rsidRPr="004F0698">
        <w:rPr>
          <w:rFonts w:ascii="Times New Roman" w:eastAsia="Times New Roman" w:hAnsi="Times New Roman" w:cs="Times New Roman"/>
          <w:sz w:val="24"/>
          <w:lang w:eastAsia="ru-RU"/>
        </w:rPr>
        <w:t>Взаимоотношения реального и финансового секторов российской экономики при оценке российских предприятий</w:t>
      </w:r>
      <w:r w:rsidRPr="002E1784">
        <w:rPr>
          <w:rFonts w:ascii="Times New Roman" w:eastAsia="Times New Roman" w:hAnsi="Times New Roman" w:cs="Times New Roman"/>
          <w:sz w:val="24"/>
          <w:lang w:eastAsia="ru-RU"/>
        </w:rPr>
        <w:t xml:space="preserve"> // </w:t>
      </w:r>
      <w:r>
        <w:rPr>
          <w:rFonts w:ascii="Times New Roman" w:eastAsia="Times New Roman" w:hAnsi="Times New Roman" w:cs="Times New Roman"/>
          <w:sz w:val="24"/>
          <w:lang w:eastAsia="ru-RU"/>
        </w:rPr>
        <w:t>Мир новой экономики</w:t>
      </w:r>
      <w:r w:rsidRPr="002E1784">
        <w:rPr>
          <w:rFonts w:ascii="Times New Roman" w:eastAsia="Times New Roman" w:hAnsi="Times New Roman" w:cs="Times New Roman"/>
          <w:sz w:val="24"/>
          <w:lang w:eastAsia="ru-RU"/>
        </w:rPr>
        <w:t xml:space="preserve">. </w:t>
      </w:r>
      <w:r w:rsidRPr="00883328">
        <w:rPr>
          <w:rFonts w:ascii="Times New Roman" w:eastAsia="Times New Roman" w:hAnsi="Times New Roman" w:cs="Times New Roman"/>
          <w:sz w:val="24"/>
          <w:lang w:eastAsia="ru-RU"/>
        </w:rPr>
        <w:t xml:space="preserve">2025. №1. </w:t>
      </w:r>
      <w:r>
        <w:rPr>
          <w:rFonts w:ascii="Times New Roman" w:eastAsia="Times New Roman" w:hAnsi="Times New Roman" w:cs="Times New Roman"/>
          <w:sz w:val="24"/>
          <w:lang w:eastAsia="ru-RU"/>
        </w:rPr>
        <w:t>С</w:t>
      </w:r>
      <w:r w:rsidRPr="00883328">
        <w:rPr>
          <w:rFonts w:ascii="Times New Roman" w:eastAsia="Times New Roman" w:hAnsi="Times New Roman" w:cs="Times New Roman"/>
          <w:sz w:val="24"/>
          <w:lang w:eastAsia="ru-RU"/>
        </w:rPr>
        <w:t xml:space="preserve">. 49-62. </w:t>
      </w:r>
      <w:r>
        <w:rPr>
          <w:rFonts w:ascii="Times New Roman" w:eastAsia="Times New Roman" w:hAnsi="Times New Roman" w:cs="Times New Roman"/>
          <w:sz w:val="24"/>
          <w:lang w:val="en-US" w:eastAsia="ru-RU"/>
        </w:rPr>
        <w:t>DOI</w:t>
      </w:r>
      <w:r w:rsidRPr="00883328">
        <w:rPr>
          <w:rFonts w:ascii="Times New Roman" w:eastAsia="Times New Roman" w:hAnsi="Times New Roman" w:cs="Times New Roman"/>
          <w:sz w:val="24"/>
          <w:lang w:eastAsia="ru-RU"/>
        </w:rPr>
        <w:t>: 10.26794/2220-6469-2025-19-1-49-62.</w:t>
      </w:r>
    </w:p>
    <w:p w14:paraId="1AE98189" w14:textId="77777777" w:rsidR="00E821AC" w:rsidRDefault="00E821AC" w:rsidP="002E1784">
      <w:pPr>
        <w:spacing w:after="0" w:line="240" w:lineRule="auto"/>
        <w:ind w:left="-540" w:firstLine="540"/>
        <w:jc w:val="center"/>
        <w:rPr>
          <w:rFonts w:ascii="Times New Roman" w:eastAsia="Times New Roman" w:hAnsi="Times New Roman" w:cs="Times New Roman"/>
          <w:sz w:val="24"/>
          <w:u w:val="single"/>
          <w:lang w:eastAsia="ru-RU"/>
        </w:rPr>
      </w:pPr>
    </w:p>
    <w:p w14:paraId="6EA392F1" w14:textId="0C5CFC80" w:rsidR="002E1784" w:rsidRPr="002E1784" w:rsidRDefault="002E1784" w:rsidP="002E1784">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w:t>
      </w:r>
    </w:p>
    <w:p w14:paraId="51903696" w14:textId="126D271B" w:rsidR="002E1784" w:rsidRPr="00BB6BC9" w:rsidRDefault="002F1F5C" w:rsidP="002F1F5C">
      <w:pPr>
        <w:spacing w:after="0" w:line="240" w:lineRule="auto"/>
        <w:ind w:left="-540" w:firstLine="540"/>
        <w:jc w:val="both"/>
        <w:rPr>
          <w:rFonts w:ascii="Times New Roman" w:eastAsia="Calibri" w:hAnsi="Times New Roman" w:cs="Times New Roman"/>
          <w:sz w:val="24"/>
        </w:rPr>
      </w:pPr>
      <w:r>
        <w:rPr>
          <w:rFonts w:ascii="Times New Roman" w:eastAsia="Calibri" w:hAnsi="Times New Roman" w:cs="Times New Roman"/>
          <w:sz w:val="24"/>
        </w:rPr>
        <w:t>Гончарук Данила Сергеевич</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Россия, Вологда</w:t>
      </w:r>
      <w:r w:rsidR="002E1784" w:rsidRPr="002E1784">
        <w:rPr>
          <w:rFonts w:ascii="Times New Roman" w:eastAsia="Calibri" w:hAnsi="Times New Roman" w:cs="Times New Roman"/>
          <w:sz w:val="24"/>
        </w:rPr>
        <w:t xml:space="preserve">) – </w:t>
      </w:r>
      <w:r>
        <w:rPr>
          <w:rFonts w:ascii="Times New Roman" w:eastAsia="Calibri" w:hAnsi="Times New Roman" w:cs="Times New Roman"/>
          <w:sz w:val="24"/>
        </w:rPr>
        <w:t>инженер-исследователь центра финансовых исследований, Вологодский научный центр РАН (Российская Федерация, г. Вологда, ул. Горького</w:t>
      </w:r>
      <w:r w:rsidRPr="00BB6BC9">
        <w:rPr>
          <w:rFonts w:ascii="Times New Roman" w:eastAsia="Calibri" w:hAnsi="Times New Roman" w:cs="Times New Roman"/>
          <w:sz w:val="24"/>
        </w:rPr>
        <w:t xml:space="preserve">, </w:t>
      </w:r>
      <w:r>
        <w:rPr>
          <w:rFonts w:ascii="Times New Roman" w:eastAsia="Calibri" w:hAnsi="Times New Roman" w:cs="Times New Roman"/>
          <w:sz w:val="24"/>
        </w:rPr>
        <w:t>д</w:t>
      </w:r>
      <w:r w:rsidRPr="00BB6BC9">
        <w:rPr>
          <w:rFonts w:ascii="Times New Roman" w:eastAsia="Calibri" w:hAnsi="Times New Roman" w:cs="Times New Roman"/>
          <w:sz w:val="24"/>
        </w:rPr>
        <w:t>. 56</w:t>
      </w:r>
      <w:r>
        <w:rPr>
          <w:rFonts w:ascii="Times New Roman" w:eastAsia="Calibri" w:hAnsi="Times New Roman" w:cs="Times New Roman"/>
          <w:sz w:val="24"/>
        </w:rPr>
        <w:t>А</w:t>
      </w:r>
      <w:r w:rsidRPr="00BB6BC9">
        <w:rPr>
          <w:rFonts w:ascii="Times New Roman" w:eastAsia="Calibri" w:hAnsi="Times New Roman" w:cs="Times New Roman"/>
          <w:sz w:val="24"/>
        </w:rPr>
        <w:t xml:space="preserve">, </w:t>
      </w:r>
      <w:r>
        <w:rPr>
          <w:rFonts w:ascii="Times New Roman" w:eastAsia="Calibri" w:hAnsi="Times New Roman" w:cs="Times New Roman"/>
          <w:sz w:val="24"/>
          <w:lang w:val="en-US"/>
        </w:rPr>
        <w:t>danila</w:t>
      </w:r>
      <w:r w:rsidRPr="00BB6BC9">
        <w:rPr>
          <w:rFonts w:ascii="Times New Roman" w:eastAsia="Calibri" w:hAnsi="Times New Roman" w:cs="Times New Roman"/>
          <w:sz w:val="24"/>
        </w:rPr>
        <w:t>_</w:t>
      </w:r>
      <w:r>
        <w:rPr>
          <w:rFonts w:ascii="Times New Roman" w:eastAsia="Calibri" w:hAnsi="Times New Roman" w:cs="Times New Roman"/>
          <w:sz w:val="24"/>
          <w:lang w:val="en-US"/>
        </w:rPr>
        <w:t>gon</w:t>
      </w:r>
      <w:r w:rsidRPr="00BB6BC9">
        <w:rPr>
          <w:rFonts w:ascii="Times New Roman" w:eastAsia="Calibri" w:hAnsi="Times New Roman" w:cs="Times New Roman"/>
          <w:sz w:val="24"/>
        </w:rPr>
        <w:t>4</w:t>
      </w:r>
      <w:r>
        <w:rPr>
          <w:rFonts w:ascii="Times New Roman" w:eastAsia="Calibri" w:hAnsi="Times New Roman" w:cs="Times New Roman"/>
          <w:sz w:val="24"/>
          <w:lang w:val="en-US"/>
        </w:rPr>
        <w:t>aruk</w:t>
      </w:r>
      <w:r w:rsidRPr="00BB6BC9">
        <w:rPr>
          <w:rFonts w:ascii="Times New Roman" w:eastAsia="Calibri" w:hAnsi="Times New Roman" w:cs="Times New Roman"/>
          <w:sz w:val="24"/>
        </w:rPr>
        <w:t>@</w:t>
      </w:r>
      <w:r>
        <w:rPr>
          <w:rFonts w:ascii="Times New Roman" w:eastAsia="Calibri" w:hAnsi="Times New Roman" w:cs="Times New Roman"/>
          <w:sz w:val="24"/>
          <w:lang w:val="en-US"/>
        </w:rPr>
        <w:t>mail</w:t>
      </w:r>
      <w:r w:rsidRPr="00BB6BC9">
        <w:rPr>
          <w:rFonts w:ascii="Times New Roman" w:eastAsia="Calibri" w:hAnsi="Times New Roman" w:cs="Times New Roman"/>
          <w:sz w:val="24"/>
        </w:rPr>
        <w:t>.</w:t>
      </w:r>
      <w:r>
        <w:rPr>
          <w:rFonts w:ascii="Times New Roman" w:eastAsia="Calibri" w:hAnsi="Times New Roman" w:cs="Times New Roman"/>
          <w:sz w:val="24"/>
          <w:lang w:val="en-US"/>
        </w:rPr>
        <w:t>ru</w:t>
      </w:r>
      <w:r w:rsidR="00EA1E79">
        <w:rPr>
          <w:rFonts w:ascii="Times New Roman" w:eastAsia="Calibri" w:hAnsi="Times New Roman" w:cs="Times New Roman"/>
          <w:sz w:val="24"/>
        </w:rPr>
        <w:t>)</w:t>
      </w:r>
      <w:r w:rsidRPr="00BB6BC9">
        <w:rPr>
          <w:rFonts w:ascii="Times New Roman" w:eastAsia="Calibri" w:hAnsi="Times New Roman" w:cs="Times New Roman"/>
          <w:sz w:val="24"/>
        </w:rPr>
        <w:t>.</w:t>
      </w:r>
      <w:r w:rsidR="002E1784" w:rsidRPr="00BB6BC9">
        <w:rPr>
          <w:rFonts w:ascii="Times New Roman" w:eastAsia="Times New Roman" w:hAnsi="Times New Roman" w:cs="Times New Roman"/>
          <w:sz w:val="24"/>
          <w:lang w:eastAsia="ru-RU"/>
        </w:rPr>
        <w:t xml:space="preserve"> </w:t>
      </w:r>
    </w:p>
    <w:p w14:paraId="727C1169" w14:textId="77777777" w:rsidR="002E1784" w:rsidRPr="00BB6BC9" w:rsidRDefault="002E1784" w:rsidP="002F1F5C">
      <w:pPr>
        <w:spacing w:after="0" w:line="240" w:lineRule="auto"/>
        <w:rPr>
          <w:rFonts w:ascii="Times New Roman" w:eastAsia="Calibri" w:hAnsi="Times New Roman" w:cs="Times New Roman"/>
          <w:b/>
          <w:sz w:val="24"/>
        </w:rPr>
      </w:pPr>
    </w:p>
    <w:p w14:paraId="1CB4EB73" w14:textId="24B1ADE1" w:rsidR="002E1784" w:rsidRPr="00BB6BC9" w:rsidRDefault="002F1F5C" w:rsidP="002E1784">
      <w:pPr>
        <w:spacing w:after="0" w:line="240" w:lineRule="auto"/>
        <w:ind w:left="-540" w:firstLine="540"/>
        <w:jc w:val="right"/>
        <w:rPr>
          <w:rFonts w:ascii="Times New Roman" w:eastAsia="Calibri" w:hAnsi="Times New Roman" w:cs="Times New Roman"/>
          <w:b/>
          <w:sz w:val="24"/>
        </w:rPr>
      </w:pPr>
      <w:r w:rsidRPr="00BB6BC9">
        <w:rPr>
          <w:rFonts w:ascii="Times New Roman" w:eastAsia="Calibri" w:hAnsi="Times New Roman" w:cs="Times New Roman"/>
          <w:b/>
          <w:sz w:val="24"/>
        </w:rPr>
        <w:t xml:space="preserve"> </w:t>
      </w:r>
      <w:r>
        <w:rPr>
          <w:rFonts w:ascii="Times New Roman" w:eastAsia="Calibri" w:hAnsi="Times New Roman" w:cs="Times New Roman"/>
          <w:b/>
          <w:sz w:val="24"/>
          <w:lang w:val="en-US"/>
        </w:rPr>
        <w:t>Goncharuk</w:t>
      </w:r>
      <w:r w:rsidRPr="00BB6BC9">
        <w:rPr>
          <w:rFonts w:ascii="Times New Roman" w:eastAsia="Calibri" w:hAnsi="Times New Roman" w:cs="Times New Roman"/>
          <w:b/>
          <w:sz w:val="24"/>
        </w:rPr>
        <w:t xml:space="preserve"> </w:t>
      </w:r>
      <w:r>
        <w:rPr>
          <w:rFonts w:ascii="Times New Roman" w:eastAsia="Calibri" w:hAnsi="Times New Roman" w:cs="Times New Roman"/>
          <w:b/>
          <w:sz w:val="24"/>
          <w:lang w:val="en-US"/>
        </w:rPr>
        <w:t>D</w:t>
      </w:r>
      <w:r w:rsidRPr="00BB6BC9">
        <w:rPr>
          <w:rFonts w:ascii="Times New Roman" w:eastAsia="Calibri" w:hAnsi="Times New Roman" w:cs="Times New Roman"/>
          <w:b/>
          <w:sz w:val="24"/>
        </w:rPr>
        <w:t>.</w:t>
      </w:r>
      <w:r>
        <w:rPr>
          <w:rFonts w:ascii="Times New Roman" w:eastAsia="Calibri" w:hAnsi="Times New Roman" w:cs="Times New Roman"/>
          <w:b/>
          <w:sz w:val="24"/>
          <w:lang w:val="en-US"/>
        </w:rPr>
        <w:t>S</w:t>
      </w:r>
      <w:r w:rsidRPr="00BB6BC9">
        <w:rPr>
          <w:rFonts w:ascii="Times New Roman" w:eastAsia="Calibri" w:hAnsi="Times New Roman" w:cs="Times New Roman"/>
          <w:b/>
          <w:sz w:val="24"/>
        </w:rPr>
        <w:t>.</w:t>
      </w:r>
    </w:p>
    <w:p w14:paraId="4428A7A2" w14:textId="1CCAA7A7" w:rsidR="002F1F5C" w:rsidRPr="00EC60BC" w:rsidRDefault="002F1F5C" w:rsidP="002F1F5C">
      <w:pPr>
        <w:spacing w:after="0" w:line="240" w:lineRule="auto"/>
        <w:ind w:left="-540" w:firstLine="540"/>
        <w:jc w:val="center"/>
        <w:rPr>
          <w:rFonts w:ascii="Times New Roman" w:eastAsia="Calibri" w:hAnsi="Times New Roman" w:cs="Times New Roman"/>
          <w:b/>
          <w:sz w:val="24"/>
          <w:lang w:val="en-US"/>
        </w:rPr>
      </w:pPr>
      <w:r w:rsidRPr="00344B6D">
        <w:rPr>
          <w:rFonts w:ascii="Times New Roman" w:eastAsia="Calibri" w:hAnsi="Times New Roman" w:cs="Times New Roman"/>
          <w:b/>
          <w:sz w:val="24"/>
          <w:lang w:val="en-US"/>
        </w:rPr>
        <w:t xml:space="preserve">ON THE INVESTMENT POLICY OF LARGE METALLURGICAL CORPORATIONS </w:t>
      </w:r>
      <w:r w:rsidR="00EC60BC" w:rsidRPr="00EC60BC">
        <w:rPr>
          <w:rFonts w:ascii="Times New Roman" w:eastAsia="Calibri" w:hAnsi="Times New Roman" w:cs="Times New Roman"/>
          <w:b/>
          <w:sz w:val="24"/>
          <w:lang w:val="en-US"/>
        </w:rPr>
        <w:t>IN THE CONTEXT OF CURRENT MONETARY REGULATION</w:t>
      </w:r>
    </w:p>
    <w:p w14:paraId="078E4BD7" w14:textId="77777777" w:rsidR="002F1F5C" w:rsidRPr="00344B6D" w:rsidRDefault="002F1F5C" w:rsidP="002F1F5C">
      <w:pPr>
        <w:spacing w:after="0" w:line="240" w:lineRule="auto"/>
        <w:ind w:left="-540" w:firstLine="540"/>
        <w:jc w:val="center"/>
        <w:rPr>
          <w:rFonts w:ascii="Times New Roman" w:eastAsia="Calibri" w:hAnsi="Times New Roman" w:cs="Times New Roman"/>
          <w:b/>
          <w:sz w:val="24"/>
          <w:lang w:val="en-US"/>
        </w:rPr>
      </w:pPr>
    </w:p>
    <w:p w14:paraId="57281473" w14:textId="1167D6D1" w:rsidR="002E1784" w:rsidRPr="00B643A5" w:rsidRDefault="00B643A5" w:rsidP="002E1784">
      <w:pPr>
        <w:spacing w:after="0" w:line="240" w:lineRule="auto"/>
        <w:ind w:left="-540" w:firstLine="540"/>
        <w:jc w:val="both"/>
        <w:rPr>
          <w:rFonts w:ascii="Times New Roman" w:eastAsia="Times New Roman" w:hAnsi="Times New Roman" w:cs="Times New Roman"/>
          <w:i/>
          <w:sz w:val="24"/>
          <w:lang w:val="en-US" w:eastAsia="ru-RU"/>
        </w:rPr>
      </w:pPr>
      <w:r>
        <w:rPr>
          <w:rFonts w:ascii="Times New Roman" w:eastAsia="Times New Roman" w:hAnsi="Times New Roman" w:cs="Times New Roman"/>
          <w:b/>
          <w:sz w:val="24"/>
          <w:lang w:val="en-US" w:eastAsia="ru-RU"/>
        </w:rPr>
        <w:t>Abstract</w:t>
      </w:r>
      <w:r w:rsidR="00EA1E79" w:rsidRPr="00877857">
        <w:rPr>
          <w:rFonts w:ascii="Times New Roman" w:eastAsia="Times New Roman" w:hAnsi="Times New Roman" w:cs="Times New Roman"/>
          <w:b/>
          <w:sz w:val="24"/>
          <w:lang w:val="en-US" w:eastAsia="ru-RU"/>
        </w:rPr>
        <w:t>.</w:t>
      </w:r>
      <w:r w:rsidR="002E1784" w:rsidRPr="00B643A5">
        <w:rPr>
          <w:rFonts w:ascii="Times New Roman" w:eastAsia="Times New Roman" w:hAnsi="Times New Roman" w:cs="Times New Roman"/>
          <w:b/>
          <w:sz w:val="24"/>
          <w:lang w:val="en-US" w:eastAsia="ru-RU"/>
        </w:rPr>
        <w:t xml:space="preserve"> </w:t>
      </w:r>
      <w:r w:rsidRPr="00B643A5">
        <w:rPr>
          <w:rFonts w:ascii="Times New Roman" w:eastAsia="Times New Roman" w:hAnsi="Times New Roman" w:cs="Times New Roman"/>
          <w:iCs/>
          <w:sz w:val="24"/>
          <w:lang w:val="en-US" w:eastAsia="ru-RU"/>
        </w:rPr>
        <w:t>The article examines the impact of the Bank of Russia's monetary policy on the investment strategies of major metallurgical holdings such as PJSC Severstal, PJSC MMK, PJSC NLMK, PJSC MMK Norilsk Nickel and JSC RUSAL BRATSK. The author analyzes the dynamics of borrowed capital and the structure of investments in conditions of a high key interest rate.</w:t>
      </w:r>
    </w:p>
    <w:p w14:paraId="79E78CF3" w14:textId="391D19D2" w:rsidR="00C100C0" w:rsidRPr="00C100C0" w:rsidRDefault="00C100C0" w:rsidP="00C100C0">
      <w:pPr>
        <w:spacing w:after="0" w:line="240" w:lineRule="auto"/>
        <w:ind w:left="-540" w:firstLine="540"/>
        <w:jc w:val="both"/>
        <w:rPr>
          <w:rFonts w:ascii="Times New Roman" w:eastAsia="Times New Roman" w:hAnsi="Times New Roman" w:cs="Times New Roman"/>
          <w:iCs/>
          <w:sz w:val="24"/>
          <w:lang w:val="en-US" w:eastAsia="ru-RU"/>
        </w:rPr>
      </w:pPr>
      <w:r>
        <w:rPr>
          <w:rFonts w:ascii="Times New Roman" w:eastAsia="Times New Roman" w:hAnsi="Times New Roman" w:cs="Times New Roman"/>
          <w:b/>
          <w:sz w:val="24"/>
          <w:lang w:val="en-US" w:eastAsia="ru-RU"/>
        </w:rPr>
        <w:t>Keywords</w:t>
      </w:r>
      <w:r w:rsidRPr="00C100C0">
        <w:rPr>
          <w:rFonts w:ascii="Times New Roman" w:eastAsia="Times New Roman" w:hAnsi="Times New Roman" w:cs="Times New Roman"/>
          <w:b/>
          <w:sz w:val="24"/>
          <w:lang w:val="en-US" w:eastAsia="ru-RU"/>
        </w:rPr>
        <w:t xml:space="preserve">: </w:t>
      </w:r>
      <w:r w:rsidRPr="00C100C0">
        <w:rPr>
          <w:rFonts w:ascii="Times New Roman" w:eastAsia="Times New Roman" w:hAnsi="Times New Roman" w:cs="Times New Roman"/>
          <w:bCs/>
          <w:sz w:val="24"/>
          <w:lang w:val="en-US" w:eastAsia="ru-RU"/>
        </w:rPr>
        <w:t xml:space="preserve">investment </w:t>
      </w:r>
      <w:r w:rsidR="00F43084">
        <w:rPr>
          <w:rFonts w:ascii="Times New Roman" w:eastAsia="Times New Roman" w:hAnsi="Times New Roman" w:cs="Times New Roman"/>
          <w:bCs/>
          <w:sz w:val="24"/>
          <w:lang w:val="en-US" w:eastAsia="ru-RU"/>
        </w:rPr>
        <w:t>policy</w:t>
      </w:r>
      <w:r w:rsidRPr="00C100C0">
        <w:rPr>
          <w:rFonts w:ascii="Times New Roman" w:eastAsia="Times New Roman" w:hAnsi="Times New Roman" w:cs="Times New Roman"/>
          <w:bCs/>
          <w:sz w:val="24"/>
          <w:lang w:val="en-US" w:eastAsia="ru-RU"/>
        </w:rPr>
        <w:t>; ferrous metallurgy; non-ferrous metallurgy; financial investments; accounts payable.</w:t>
      </w:r>
    </w:p>
    <w:p w14:paraId="14EA5943" w14:textId="77777777" w:rsidR="002F1F5C" w:rsidRPr="00C100C0" w:rsidRDefault="002F1F5C" w:rsidP="002E1784">
      <w:pPr>
        <w:spacing w:after="0" w:line="240" w:lineRule="auto"/>
        <w:ind w:left="-540" w:firstLine="540"/>
        <w:jc w:val="center"/>
        <w:rPr>
          <w:rFonts w:ascii="Times New Roman" w:eastAsia="Times New Roman" w:hAnsi="Times New Roman" w:cs="Times New Roman"/>
          <w:sz w:val="24"/>
          <w:u w:val="single"/>
          <w:lang w:val="en-US" w:eastAsia="ru-RU"/>
        </w:rPr>
      </w:pPr>
    </w:p>
    <w:p w14:paraId="2230826D" w14:textId="5CECB2C1" w:rsidR="00B57220" w:rsidRPr="00B57220" w:rsidRDefault="00883328" w:rsidP="00B57220">
      <w:pPr>
        <w:spacing w:after="0" w:line="240" w:lineRule="auto"/>
        <w:ind w:left="-540" w:firstLine="540"/>
        <w:jc w:val="center"/>
        <w:rPr>
          <w:rFonts w:ascii="Times New Roman" w:eastAsia="Times New Roman" w:hAnsi="Times New Roman" w:cs="Times New Roman"/>
          <w:b/>
          <w:sz w:val="24"/>
          <w:lang w:val="en-US" w:eastAsia="ru-RU"/>
        </w:rPr>
      </w:pPr>
      <w:r>
        <w:rPr>
          <w:rFonts w:ascii="Times New Roman" w:eastAsia="Times New Roman" w:hAnsi="Times New Roman" w:cs="Times New Roman"/>
          <w:b/>
          <w:sz w:val="24"/>
          <w:lang w:val="en-US" w:eastAsia="ru-RU"/>
        </w:rPr>
        <w:t>A</w:t>
      </w:r>
      <w:r w:rsidR="00B57220" w:rsidRPr="00B57220">
        <w:rPr>
          <w:rFonts w:ascii="Times New Roman" w:eastAsia="Times New Roman" w:hAnsi="Times New Roman" w:cs="Times New Roman"/>
          <w:b/>
          <w:sz w:val="24"/>
          <w:lang w:val="en-US" w:eastAsia="ru-RU"/>
        </w:rPr>
        <w:t>bout the author</w:t>
      </w:r>
    </w:p>
    <w:p w14:paraId="2C060D02" w14:textId="78F8DFC3" w:rsidR="002F1F5C" w:rsidRDefault="00E97C67" w:rsidP="00E97C67">
      <w:pPr>
        <w:spacing w:after="0" w:line="240" w:lineRule="auto"/>
        <w:ind w:left="-540" w:firstLine="540"/>
        <w:jc w:val="both"/>
        <w:rPr>
          <w:rFonts w:ascii="Times New Roman" w:eastAsia="Times New Roman" w:hAnsi="Times New Roman" w:cs="Times New Roman"/>
          <w:sz w:val="24"/>
          <w:lang w:val="en-US" w:eastAsia="ru-RU"/>
        </w:rPr>
      </w:pPr>
      <w:r w:rsidRPr="00E97C67">
        <w:rPr>
          <w:rFonts w:ascii="Times New Roman" w:eastAsia="Times New Roman" w:hAnsi="Times New Roman" w:cs="Times New Roman"/>
          <w:sz w:val="24"/>
          <w:lang w:val="en-US" w:eastAsia="ru-RU"/>
        </w:rPr>
        <w:t xml:space="preserve">Goncharuk Danila Sergeevich (Russia, Vologda) </w:t>
      </w:r>
      <w:r>
        <w:rPr>
          <w:rFonts w:ascii="Times New Roman" w:eastAsia="Times New Roman" w:hAnsi="Times New Roman" w:cs="Times New Roman"/>
          <w:sz w:val="24"/>
          <w:lang w:val="en-US" w:eastAsia="ru-RU"/>
        </w:rPr>
        <w:t>–</w:t>
      </w:r>
      <w:r w:rsidRPr="00E97C67">
        <w:rPr>
          <w:rFonts w:ascii="Times New Roman" w:eastAsia="Times New Roman" w:hAnsi="Times New Roman" w:cs="Times New Roman"/>
          <w:sz w:val="24"/>
          <w:lang w:val="en-US" w:eastAsia="ru-RU"/>
        </w:rPr>
        <w:t xml:space="preserve"> engineer-researcher at the Center for Financial Research, Vologda Research Center of the Russian Academy of Sciences (56A Gorky Street, Vologda, Russian Federation</w:t>
      </w:r>
      <w:r w:rsidR="004106C5">
        <w:rPr>
          <w:rFonts w:ascii="Times New Roman" w:eastAsia="Times New Roman" w:hAnsi="Times New Roman" w:cs="Times New Roman"/>
          <w:sz w:val="24"/>
          <w:lang w:val="en-US" w:eastAsia="ru-RU"/>
        </w:rPr>
        <w:t>,</w:t>
      </w:r>
      <w:r w:rsidRPr="00E97C67">
        <w:rPr>
          <w:rFonts w:ascii="Times New Roman" w:eastAsia="Times New Roman" w:hAnsi="Times New Roman" w:cs="Times New Roman"/>
          <w:sz w:val="24"/>
          <w:lang w:val="en-US" w:eastAsia="ru-RU"/>
        </w:rPr>
        <w:t xml:space="preserve"> </w:t>
      </w:r>
      <w:r w:rsidR="00883328" w:rsidRPr="004106C5">
        <w:rPr>
          <w:rFonts w:ascii="Times New Roman" w:eastAsia="Times New Roman" w:hAnsi="Times New Roman" w:cs="Times New Roman"/>
          <w:sz w:val="24"/>
          <w:lang w:val="en-US" w:eastAsia="ru-RU"/>
        </w:rPr>
        <w:t>danila_gon4aruk@mail.ru</w:t>
      </w:r>
      <w:r w:rsidR="004106C5">
        <w:rPr>
          <w:rFonts w:ascii="Times New Roman" w:eastAsia="Times New Roman" w:hAnsi="Times New Roman" w:cs="Times New Roman"/>
          <w:sz w:val="24"/>
          <w:lang w:val="en-US" w:eastAsia="ru-RU"/>
        </w:rPr>
        <w:t>)</w:t>
      </w:r>
      <w:r w:rsidRPr="00E97C67">
        <w:rPr>
          <w:rFonts w:ascii="Times New Roman" w:eastAsia="Times New Roman" w:hAnsi="Times New Roman" w:cs="Times New Roman"/>
          <w:sz w:val="24"/>
          <w:lang w:val="en-US" w:eastAsia="ru-RU"/>
        </w:rPr>
        <w:t>.</w:t>
      </w:r>
    </w:p>
    <w:p w14:paraId="33DFE725" w14:textId="77777777" w:rsidR="00883328" w:rsidRPr="00E97C67" w:rsidRDefault="00883328" w:rsidP="00E97C67">
      <w:pPr>
        <w:spacing w:after="0" w:line="240" w:lineRule="auto"/>
        <w:ind w:left="-540" w:firstLine="540"/>
        <w:jc w:val="both"/>
        <w:rPr>
          <w:rFonts w:ascii="Times New Roman" w:eastAsia="Times New Roman" w:hAnsi="Times New Roman" w:cs="Times New Roman"/>
          <w:sz w:val="24"/>
          <w:lang w:val="en-US" w:eastAsia="ru-RU"/>
        </w:rPr>
      </w:pPr>
    </w:p>
    <w:p w14:paraId="359B1F21" w14:textId="00E4AD84" w:rsidR="002E1784" w:rsidRPr="00344B6D" w:rsidRDefault="00883328" w:rsidP="002E1784">
      <w:pPr>
        <w:spacing w:after="0" w:line="240" w:lineRule="auto"/>
        <w:ind w:left="-540" w:firstLine="540"/>
        <w:jc w:val="center"/>
        <w:rPr>
          <w:rFonts w:ascii="Times New Roman" w:eastAsia="Times New Roman" w:hAnsi="Times New Roman" w:cs="Times New Roman"/>
          <w:b/>
          <w:sz w:val="24"/>
          <w:lang w:val="en-US" w:eastAsia="ru-RU"/>
        </w:rPr>
      </w:pPr>
      <w:r>
        <w:rPr>
          <w:rFonts w:ascii="Times New Roman" w:eastAsia="Times New Roman" w:hAnsi="Times New Roman" w:cs="Times New Roman"/>
          <w:b/>
          <w:sz w:val="24"/>
          <w:lang w:val="en-US" w:eastAsia="ru-RU"/>
        </w:rPr>
        <w:t>References</w:t>
      </w:r>
    </w:p>
    <w:p w14:paraId="3E4E721E" w14:textId="30C2F62E" w:rsidR="007E57CD" w:rsidRPr="007E57CD" w:rsidRDefault="007E57CD" w:rsidP="007E57CD">
      <w:pPr>
        <w:widowControl w:val="0"/>
        <w:tabs>
          <w:tab w:val="left" w:pos="993"/>
        </w:tabs>
        <w:suppressAutoHyphens/>
        <w:spacing w:after="0" w:line="240" w:lineRule="auto"/>
        <w:ind w:firstLine="709"/>
        <w:jc w:val="both"/>
        <w:rPr>
          <w:rFonts w:ascii="Times New Roman" w:eastAsia="Times New Roman" w:hAnsi="Times New Roman" w:cs="Times New Roman"/>
          <w:sz w:val="24"/>
          <w:lang w:val="en-US" w:eastAsia="ru-RU"/>
        </w:rPr>
      </w:pPr>
      <w:r w:rsidRPr="007E57CD">
        <w:rPr>
          <w:rFonts w:ascii="Times New Roman" w:eastAsia="Times New Roman" w:hAnsi="Times New Roman" w:cs="Times New Roman"/>
          <w:sz w:val="24"/>
          <w:lang w:val="en-US" w:eastAsia="ru-RU"/>
        </w:rPr>
        <w:t>1. Nabiullina revealed which rate options the Central Bank was considering. Available on: https://www.rbc.ru/finances/24/04/2026/69eb5ffc9a794701502341ed (accessed: 05/13/2026).</w:t>
      </w:r>
    </w:p>
    <w:p w14:paraId="627CC5A8" w14:textId="79B4A44D" w:rsidR="007E57CD" w:rsidRPr="004F0698" w:rsidRDefault="007E57CD" w:rsidP="007E57CD">
      <w:pPr>
        <w:widowControl w:val="0"/>
        <w:tabs>
          <w:tab w:val="left" w:pos="993"/>
        </w:tabs>
        <w:suppressAutoHyphens/>
        <w:spacing w:after="0" w:line="240" w:lineRule="auto"/>
        <w:ind w:firstLine="709"/>
        <w:jc w:val="both"/>
        <w:rPr>
          <w:rFonts w:ascii="Times New Roman" w:eastAsia="Times New Roman" w:hAnsi="Times New Roman" w:cs="Times New Roman"/>
          <w:sz w:val="24"/>
          <w:lang w:eastAsia="ru-RU"/>
        </w:rPr>
      </w:pPr>
      <w:r w:rsidRPr="007E57CD">
        <w:rPr>
          <w:rFonts w:ascii="Times New Roman" w:eastAsia="Times New Roman" w:hAnsi="Times New Roman" w:cs="Times New Roman"/>
          <w:sz w:val="24"/>
          <w:lang w:val="en-US" w:eastAsia="ru-RU"/>
        </w:rPr>
        <w:t>2.</w:t>
      </w:r>
      <w:r w:rsidRPr="007E57CD">
        <w:rPr>
          <w:rFonts w:ascii="Times New Roman" w:eastAsia="Times New Roman" w:hAnsi="Times New Roman" w:cs="Times New Roman"/>
          <w:sz w:val="24"/>
          <w:lang w:val="en-US" w:eastAsia="ru-RU"/>
        </w:rPr>
        <w:tab/>
        <w:t xml:space="preserve">Kuvalin D.B., Zinchenko Yu.V., Lavrinenko P.A. The relationship between the real and financial sectors of the Russian economy in assessing Russian enterprises // The world of the new economy. </w:t>
      </w:r>
      <w:r w:rsidRPr="007E57CD">
        <w:rPr>
          <w:rFonts w:ascii="Times New Roman" w:eastAsia="Times New Roman" w:hAnsi="Times New Roman" w:cs="Times New Roman"/>
          <w:sz w:val="24"/>
          <w:lang w:eastAsia="ru-RU"/>
        </w:rPr>
        <w:t>2025. No. 1. pp. 49-62. DOI: 10.26794/2220-6469-2025-19-1-49-62.</w:t>
      </w:r>
    </w:p>
    <w:p w14:paraId="52626D76" w14:textId="77777777" w:rsidR="002E1784" w:rsidRPr="002E1784" w:rsidRDefault="002E1784" w:rsidP="002E1784">
      <w:pPr>
        <w:widowControl w:val="0"/>
        <w:suppressAutoHyphens/>
        <w:spacing w:after="0" w:line="240" w:lineRule="auto"/>
        <w:jc w:val="both"/>
        <w:rPr>
          <w:rFonts w:ascii="Times New Roman" w:eastAsia="Times New Roman" w:hAnsi="Times New Roman" w:cs="Times New Roman"/>
          <w:sz w:val="24"/>
          <w:lang w:eastAsia="ru-RU"/>
        </w:rPr>
      </w:pPr>
    </w:p>
    <w:p w14:paraId="77F0B45A" w14:textId="77777777" w:rsidR="00854770" w:rsidRPr="002E1784" w:rsidRDefault="00854770" w:rsidP="00353244">
      <w:pPr>
        <w:spacing w:after="0" w:line="240" w:lineRule="auto"/>
        <w:ind w:firstLine="709"/>
        <w:rPr>
          <w:rFonts w:ascii="Times New Roman" w:hAnsi="Times New Roman" w:cs="Times New Roman"/>
          <w:sz w:val="24"/>
          <w:szCs w:val="24"/>
        </w:rPr>
      </w:pPr>
    </w:p>
    <w:sectPr w:rsidR="00854770" w:rsidRPr="002E1784"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9B1F2B" w14:textId="77777777" w:rsidR="00477ABC" w:rsidRDefault="00477ABC" w:rsidP="00827E82">
      <w:pPr>
        <w:spacing w:after="0" w:line="240" w:lineRule="auto"/>
      </w:pPr>
      <w:r>
        <w:separator/>
      </w:r>
    </w:p>
  </w:endnote>
  <w:endnote w:type="continuationSeparator" w:id="0">
    <w:p w14:paraId="66BD01D8" w14:textId="77777777" w:rsidR="00477ABC" w:rsidRDefault="00477ABC"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1A9B2D" w14:textId="77777777" w:rsidR="00477ABC" w:rsidRDefault="00477ABC" w:rsidP="00827E82">
      <w:pPr>
        <w:spacing w:after="0" w:line="240" w:lineRule="auto"/>
      </w:pPr>
      <w:r>
        <w:separator/>
      </w:r>
    </w:p>
  </w:footnote>
  <w:footnote w:type="continuationSeparator" w:id="0">
    <w:p w14:paraId="07D559F0" w14:textId="77777777" w:rsidR="00477ABC" w:rsidRDefault="00477ABC"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21E1D"/>
    <w:rsid w:val="00093BEC"/>
    <w:rsid w:val="0015476C"/>
    <w:rsid w:val="00166ED7"/>
    <w:rsid w:val="001B5953"/>
    <w:rsid w:val="00216B9B"/>
    <w:rsid w:val="00220FEE"/>
    <w:rsid w:val="0027265C"/>
    <w:rsid w:val="00287F75"/>
    <w:rsid w:val="002C4A54"/>
    <w:rsid w:val="002E1784"/>
    <w:rsid w:val="002F1F5C"/>
    <w:rsid w:val="00317264"/>
    <w:rsid w:val="00344B6D"/>
    <w:rsid w:val="00353244"/>
    <w:rsid w:val="003940D3"/>
    <w:rsid w:val="00397116"/>
    <w:rsid w:val="003C100B"/>
    <w:rsid w:val="0040648E"/>
    <w:rsid w:val="004106C5"/>
    <w:rsid w:val="00413151"/>
    <w:rsid w:val="0044325D"/>
    <w:rsid w:val="00477ABC"/>
    <w:rsid w:val="004B7B04"/>
    <w:rsid w:val="004F0698"/>
    <w:rsid w:val="005370FE"/>
    <w:rsid w:val="00590F6E"/>
    <w:rsid w:val="005D0A34"/>
    <w:rsid w:val="005F5AF9"/>
    <w:rsid w:val="00610F1B"/>
    <w:rsid w:val="0061789C"/>
    <w:rsid w:val="00686E88"/>
    <w:rsid w:val="00787640"/>
    <w:rsid w:val="007C5690"/>
    <w:rsid w:val="007D4A1C"/>
    <w:rsid w:val="007D79E0"/>
    <w:rsid w:val="007E57CD"/>
    <w:rsid w:val="00827E82"/>
    <w:rsid w:val="00854770"/>
    <w:rsid w:val="008752CF"/>
    <w:rsid w:val="00877857"/>
    <w:rsid w:val="00883328"/>
    <w:rsid w:val="008C75C1"/>
    <w:rsid w:val="008E51F7"/>
    <w:rsid w:val="00913F48"/>
    <w:rsid w:val="00916BF7"/>
    <w:rsid w:val="009F2149"/>
    <w:rsid w:val="00A34060"/>
    <w:rsid w:val="00B36746"/>
    <w:rsid w:val="00B57220"/>
    <w:rsid w:val="00B643A5"/>
    <w:rsid w:val="00B73263"/>
    <w:rsid w:val="00BB6BC9"/>
    <w:rsid w:val="00BC155A"/>
    <w:rsid w:val="00BE4E96"/>
    <w:rsid w:val="00C100C0"/>
    <w:rsid w:val="00D00A39"/>
    <w:rsid w:val="00DF20E2"/>
    <w:rsid w:val="00E821AC"/>
    <w:rsid w:val="00E97C67"/>
    <w:rsid w:val="00EA1E79"/>
    <w:rsid w:val="00EA326C"/>
    <w:rsid w:val="00EA4672"/>
    <w:rsid w:val="00EC60BC"/>
    <w:rsid w:val="00F430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256327">
      <w:bodyDiv w:val="1"/>
      <w:marLeft w:val="0"/>
      <w:marRight w:val="0"/>
      <w:marTop w:val="0"/>
      <w:marBottom w:val="0"/>
      <w:divBdr>
        <w:top w:val="none" w:sz="0" w:space="0" w:color="auto"/>
        <w:left w:val="none" w:sz="0" w:space="0" w:color="auto"/>
        <w:bottom w:val="none" w:sz="0" w:space="0" w:color="auto"/>
        <w:right w:val="none" w:sz="0" w:space="0" w:color="auto"/>
      </w:divBdr>
    </w:div>
    <w:div w:id="1165901171">
      <w:bodyDiv w:val="1"/>
      <w:marLeft w:val="0"/>
      <w:marRight w:val="0"/>
      <w:marTop w:val="0"/>
      <w:marBottom w:val="0"/>
      <w:divBdr>
        <w:top w:val="none" w:sz="0" w:space="0" w:color="auto"/>
        <w:left w:val="none" w:sz="0" w:space="0" w:color="auto"/>
        <w:bottom w:val="none" w:sz="0" w:space="0" w:color="auto"/>
        <w:right w:val="none" w:sz="0" w:space="0" w:color="auto"/>
      </w:divBdr>
      <w:divsChild>
        <w:div w:id="670064742">
          <w:marLeft w:val="0"/>
          <w:marRight w:val="0"/>
          <w:marTop w:val="0"/>
          <w:marBottom w:val="0"/>
          <w:divBdr>
            <w:top w:val="single" w:sz="2" w:space="30" w:color="E3E3E3"/>
            <w:left w:val="single" w:sz="2" w:space="0" w:color="E3E3E3"/>
            <w:bottom w:val="single" w:sz="2" w:space="12" w:color="E3E3E3"/>
            <w:right w:val="single" w:sz="2" w:space="0" w:color="E3E3E3"/>
          </w:divBdr>
          <w:divsChild>
            <w:div w:id="1107047552">
              <w:marLeft w:val="0"/>
              <w:marRight w:val="0"/>
              <w:marTop w:val="0"/>
              <w:marBottom w:val="0"/>
              <w:divBdr>
                <w:top w:val="single" w:sz="2" w:space="0" w:color="E3E3E3"/>
                <w:left w:val="single" w:sz="2" w:space="0" w:color="E3E3E3"/>
                <w:bottom w:val="single" w:sz="2" w:space="31" w:color="E3E3E3"/>
                <w:right w:val="single" w:sz="2" w:space="0" w:color="E3E3E3"/>
              </w:divBdr>
              <w:divsChild>
                <w:div w:id="2144228680">
                  <w:marLeft w:val="0"/>
                  <w:marRight w:val="0"/>
                  <w:marTop w:val="0"/>
                  <w:marBottom w:val="0"/>
                  <w:divBdr>
                    <w:top w:val="single" w:sz="2" w:space="0" w:color="E3E3E3"/>
                    <w:left w:val="single" w:sz="2" w:space="24" w:color="E3E3E3"/>
                    <w:bottom w:val="single" w:sz="2" w:space="0" w:color="E3E3E3"/>
                    <w:right w:val="single" w:sz="2" w:space="17" w:color="E3E3E3"/>
                  </w:divBdr>
                  <w:divsChild>
                    <w:div w:id="2049529859">
                      <w:marLeft w:val="0"/>
                      <w:marRight w:val="0"/>
                      <w:marTop w:val="0"/>
                      <w:marBottom w:val="0"/>
                      <w:divBdr>
                        <w:top w:val="single" w:sz="2" w:space="0" w:color="E3E3E3"/>
                        <w:left w:val="single" w:sz="2" w:space="0" w:color="E3E3E3"/>
                        <w:bottom w:val="single" w:sz="2" w:space="0" w:color="E3E3E3"/>
                        <w:right w:val="single" w:sz="2" w:space="0" w:color="E3E3E3"/>
                      </w:divBdr>
                      <w:divsChild>
                        <w:div w:id="1595548447">
                          <w:marLeft w:val="0"/>
                          <w:marRight w:val="0"/>
                          <w:marTop w:val="0"/>
                          <w:marBottom w:val="0"/>
                          <w:divBdr>
                            <w:top w:val="single" w:sz="2" w:space="0" w:color="E3E3E3"/>
                            <w:left w:val="single" w:sz="2" w:space="0" w:color="E3E3E3"/>
                            <w:bottom w:val="single" w:sz="2" w:space="0" w:color="E3E3E3"/>
                            <w:right w:val="single" w:sz="2" w:space="0" w:color="E3E3E3"/>
                          </w:divBdr>
                          <w:divsChild>
                            <w:div w:id="1440762320">
                              <w:marLeft w:val="0"/>
                              <w:marRight w:val="0"/>
                              <w:marTop w:val="0"/>
                              <w:marBottom w:val="0"/>
                              <w:divBdr>
                                <w:top w:val="single" w:sz="2" w:space="0" w:color="E3E3E3"/>
                                <w:left w:val="single" w:sz="2" w:space="0" w:color="E3E3E3"/>
                                <w:bottom w:val="single" w:sz="2" w:space="0" w:color="E3E3E3"/>
                                <w:right w:val="single" w:sz="2" w:space="0" w:color="E3E3E3"/>
                              </w:divBdr>
                              <w:divsChild>
                                <w:div w:id="1027488564">
                                  <w:marLeft w:val="0"/>
                                  <w:marRight w:val="0"/>
                                  <w:marTop w:val="0"/>
                                  <w:marBottom w:val="0"/>
                                  <w:divBdr>
                                    <w:top w:val="single" w:sz="2" w:space="0" w:color="E3E3E3"/>
                                    <w:left w:val="single" w:sz="2" w:space="0" w:color="E3E3E3"/>
                                    <w:bottom w:val="single" w:sz="2" w:space="0" w:color="E3E3E3"/>
                                    <w:right w:val="single" w:sz="2" w:space="0" w:color="E3E3E3"/>
                                  </w:divBdr>
                                  <w:divsChild>
                                    <w:div w:id="1600143319">
                                      <w:marLeft w:val="0"/>
                                      <w:marRight w:val="0"/>
                                      <w:marTop w:val="0"/>
                                      <w:marBottom w:val="0"/>
                                      <w:divBdr>
                                        <w:top w:val="single" w:sz="2" w:space="0" w:color="E3E3E3"/>
                                        <w:left w:val="single" w:sz="2" w:space="0" w:color="E3E3E3"/>
                                        <w:bottom w:val="single" w:sz="2" w:space="0" w:color="E3E3E3"/>
                                        <w:right w:val="single" w:sz="2" w:space="0" w:color="E3E3E3"/>
                                      </w:divBdr>
                                      <w:divsChild>
                                        <w:div w:id="439951451">
                                          <w:marLeft w:val="0"/>
                                          <w:marRight w:val="0"/>
                                          <w:marTop w:val="0"/>
                                          <w:marBottom w:val="0"/>
                                          <w:divBdr>
                                            <w:top w:val="single" w:sz="2" w:space="0" w:color="E3E3E3"/>
                                            <w:left w:val="single" w:sz="2" w:space="0" w:color="E3E3E3"/>
                                            <w:bottom w:val="single" w:sz="2" w:space="0" w:color="E3E3E3"/>
                                            <w:right w:val="single" w:sz="2" w:space="0" w:color="E3E3E3"/>
                                          </w:divBdr>
                                          <w:divsChild>
                                            <w:div w:id="123669653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dsg\Downloads\&#1048;&#1085;&#1092;&#1083;&#1103;&#1094;&#1080;&#1103;%20&#1080;%20&#1082;&#1083;&#1102;&#1095;&#1077;&#1074;&#1072;&#1103;%20&#1089;&#1090;&#1072;&#1074;&#1082;&#1072;%20&#1041;&#1072;&#1085;&#1082;&#1072;%20&#1056;&#1086;&#1089;&#1089;&#1080;&#1080;_F01_11_2013_T16_06_2025.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sg\Downloads\&#1048;&#1085;&#1092;&#1083;&#1103;&#1094;&#1080;&#1103;%20&#1080;%20&#1082;&#1083;&#1102;&#1095;&#1077;&#1074;&#1072;&#1103;%20&#1089;&#1090;&#1072;&#1074;&#1082;&#1072;%20&#1041;&#1072;&#1085;&#1082;&#1072;%20&#1056;&#1086;&#1089;&#1089;&#1080;&#1080;_F01_11_2013_T16_06_2025.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dsg\Downloads\&#1048;&#1085;&#1092;&#1083;&#1103;&#1094;&#1080;&#1103;%20&#1080;%20&#1082;&#1083;&#1102;&#1095;&#1077;&#1074;&#1072;&#1103;%20&#1089;&#1090;&#1072;&#1074;&#1082;&#1072;%20&#1041;&#1072;&#1085;&#1082;&#1072;%20&#1056;&#1086;&#1089;&#1089;&#1080;&#1080;_F01_11_2013_T16_06_2025.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dsg\Downloads\&#1048;&#1085;&#1092;&#1083;&#1103;&#1094;&#1080;&#1103;%20&#1080;%20&#1082;&#1083;&#1102;&#1095;&#1077;&#1074;&#1072;&#1103;%20&#1089;&#1090;&#1072;&#1074;&#1082;&#1072;%20&#1041;&#1072;&#1085;&#1082;&#1072;%20&#1056;&#1086;&#1089;&#1089;&#1080;&#1080;_F01_11_2013_T16_06_2025.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dsg\Downloads\&#1048;&#1085;&#1092;&#1083;&#1103;&#1094;&#1080;&#1103;%20&#1080;%20&#1082;&#1083;&#1102;&#1095;&#1077;&#1074;&#1072;&#1103;%20&#1089;&#1090;&#1072;&#1074;&#1082;&#1072;%20&#1041;&#1072;&#1085;&#1082;&#1072;%20&#1056;&#1086;&#1089;&#1089;&#1080;&#1080;_F01_11_2013_T16_06_2025.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2026414847610243E-2"/>
          <c:y val="4.9943246311010214E-2"/>
          <c:w val="0.90443560213336327"/>
          <c:h val="0.7648493558077103"/>
        </c:manualLayout>
      </c:layout>
      <c:lineChart>
        <c:grouping val="standard"/>
        <c:varyColors val="0"/>
        <c:ser>
          <c:idx val="1"/>
          <c:order val="0"/>
          <c:tx>
            <c:strRef>
              <c:f>'Инфляция и ключевая ставка Банк'!$G$4</c:f>
              <c:strCache>
                <c:ptCount val="1"/>
                <c:pt idx="0">
                  <c:v>Ключевая ставка, % годовых</c:v>
                </c:pt>
              </c:strCache>
            </c:strRef>
          </c:tx>
          <c:spPr>
            <a:ln w="28575" cap="rnd">
              <a:solidFill>
                <a:schemeClr val="accent1"/>
              </a:solidFill>
              <a:round/>
            </a:ln>
            <a:effectLst/>
          </c:spPr>
          <c:marker>
            <c:symbol val="none"/>
          </c:marker>
          <c:cat>
            <c:numRef>
              <c:f>'Инфляция и ключевая ставка Банк'!$E$5:$E$151</c:f>
              <c:numCache>
                <c:formatCode>General</c:formatCode>
                <c:ptCount val="147"/>
                <c:pt idx="0">
                  <c:v>2014</c:v>
                </c:pt>
                <c:pt idx="12">
                  <c:v>2015</c:v>
                </c:pt>
                <c:pt idx="24">
                  <c:v>2016</c:v>
                </c:pt>
                <c:pt idx="36">
                  <c:v>2017</c:v>
                </c:pt>
                <c:pt idx="48">
                  <c:v>2018</c:v>
                </c:pt>
                <c:pt idx="60">
                  <c:v>2019</c:v>
                </c:pt>
                <c:pt idx="72">
                  <c:v>2020</c:v>
                </c:pt>
                <c:pt idx="84">
                  <c:v>2021</c:v>
                </c:pt>
                <c:pt idx="96">
                  <c:v>2022</c:v>
                </c:pt>
                <c:pt idx="108">
                  <c:v>2023</c:v>
                </c:pt>
                <c:pt idx="120">
                  <c:v>2024</c:v>
                </c:pt>
                <c:pt idx="132">
                  <c:v>2025</c:v>
                </c:pt>
                <c:pt idx="144">
                  <c:v>2026</c:v>
                </c:pt>
              </c:numCache>
            </c:numRef>
          </c:cat>
          <c:val>
            <c:numRef>
              <c:f>'Инфляция и ключевая ставка Банк'!$G$5:$G$151</c:f>
              <c:numCache>
                <c:formatCode>#,##0.00</c:formatCode>
                <c:ptCount val="147"/>
                <c:pt idx="0">
                  <c:v>5.5</c:v>
                </c:pt>
                <c:pt idx="1">
                  <c:v>5.5</c:v>
                </c:pt>
                <c:pt idx="2">
                  <c:v>7</c:v>
                </c:pt>
                <c:pt idx="3">
                  <c:v>7.5</c:v>
                </c:pt>
                <c:pt idx="4">
                  <c:v>7.5</c:v>
                </c:pt>
                <c:pt idx="5">
                  <c:v>7.5</c:v>
                </c:pt>
                <c:pt idx="6">
                  <c:v>8</c:v>
                </c:pt>
                <c:pt idx="7">
                  <c:v>8</c:v>
                </c:pt>
                <c:pt idx="8">
                  <c:v>8</c:v>
                </c:pt>
                <c:pt idx="9">
                  <c:v>8</c:v>
                </c:pt>
                <c:pt idx="10">
                  <c:v>9.5</c:v>
                </c:pt>
                <c:pt idx="11">
                  <c:v>17</c:v>
                </c:pt>
                <c:pt idx="12">
                  <c:v>17</c:v>
                </c:pt>
                <c:pt idx="13">
                  <c:v>15</c:v>
                </c:pt>
                <c:pt idx="14">
                  <c:v>14</c:v>
                </c:pt>
                <c:pt idx="15">
                  <c:v>14</c:v>
                </c:pt>
                <c:pt idx="16">
                  <c:v>12.5</c:v>
                </c:pt>
                <c:pt idx="17">
                  <c:v>11.5</c:v>
                </c:pt>
                <c:pt idx="18">
                  <c:v>11.5</c:v>
                </c:pt>
                <c:pt idx="19">
                  <c:v>11</c:v>
                </c:pt>
                <c:pt idx="20">
                  <c:v>11</c:v>
                </c:pt>
                <c:pt idx="21">
                  <c:v>11</c:v>
                </c:pt>
                <c:pt idx="22">
                  <c:v>11</c:v>
                </c:pt>
                <c:pt idx="23">
                  <c:v>11</c:v>
                </c:pt>
                <c:pt idx="24">
                  <c:v>11</c:v>
                </c:pt>
                <c:pt idx="25">
                  <c:v>11</c:v>
                </c:pt>
                <c:pt idx="26">
                  <c:v>11</c:v>
                </c:pt>
                <c:pt idx="27">
                  <c:v>11</c:v>
                </c:pt>
                <c:pt idx="28">
                  <c:v>11</c:v>
                </c:pt>
                <c:pt idx="29">
                  <c:v>10.5</c:v>
                </c:pt>
                <c:pt idx="30">
                  <c:v>10.5</c:v>
                </c:pt>
                <c:pt idx="31">
                  <c:v>10.5</c:v>
                </c:pt>
                <c:pt idx="32">
                  <c:v>10</c:v>
                </c:pt>
                <c:pt idx="33">
                  <c:v>10</c:v>
                </c:pt>
                <c:pt idx="34">
                  <c:v>10</c:v>
                </c:pt>
                <c:pt idx="35">
                  <c:v>10</c:v>
                </c:pt>
                <c:pt idx="36">
                  <c:v>10</c:v>
                </c:pt>
                <c:pt idx="37">
                  <c:v>10</c:v>
                </c:pt>
                <c:pt idx="38">
                  <c:v>9.75</c:v>
                </c:pt>
                <c:pt idx="39">
                  <c:v>9.75</c:v>
                </c:pt>
                <c:pt idx="40">
                  <c:v>9.25</c:v>
                </c:pt>
                <c:pt idx="41">
                  <c:v>9</c:v>
                </c:pt>
                <c:pt idx="42">
                  <c:v>9</c:v>
                </c:pt>
                <c:pt idx="43">
                  <c:v>9</c:v>
                </c:pt>
                <c:pt idx="44">
                  <c:v>8.5</c:v>
                </c:pt>
                <c:pt idx="45">
                  <c:v>8.25</c:v>
                </c:pt>
                <c:pt idx="46">
                  <c:v>8.25</c:v>
                </c:pt>
                <c:pt idx="47">
                  <c:v>7.75</c:v>
                </c:pt>
                <c:pt idx="48">
                  <c:v>7.75</c:v>
                </c:pt>
                <c:pt idx="49">
                  <c:v>7.5</c:v>
                </c:pt>
                <c:pt idx="50">
                  <c:v>7.25</c:v>
                </c:pt>
                <c:pt idx="51">
                  <c:v>7.25</c:v>
                </c:pt>
                <c:pt idx="52">
                  <c:v>7.25</c:v>
                </c:pt>
                <c:pt idx="53">
                  <c:v>7.25</c:v>
                </c:pt>
                <c:pt idx="54">
                  <c:v>7.25</c:v>
                </c:pt>
                <c:pt idx="55">
                  <c:v>7.25</c:v>
                </c:pt>
                <c:pt idx="56">
                  <c:v>7.5</c:v>
                </c:pt>
                <c:pt idx="57">
                  <c:v>7.5</c:v>
                </c:pt>
                <c:pt idx="58">
                  <c:v>7.5</c:v>
                </c:pt>
                <c:pt idx="59">
                  <c:v>7.75</c:v>
                </c:pt>
                <c:pt idx="60">
                  <c:v>7.75</c:v>
                </c:pt>
                <c:pt idx="61">
                  <c:v>7.75</c:v>
                </c:pt>
                <c:pt idx="62">
                  <c:v>7.75</c:v>
                </c:pt>
                <c:pt idx="63">
                  <c:v>7.75</c:v>
                </c:pt>
                <c:pt idx="64">
                  <c:v>7.75</c:v>
                </c:pt>
                <c:pt idx="65">
                  <c:v>7.5</c:v>
                </c:pt>
                <c:pt idx="66">
                  <c:v>7.25</c:v>
                </c:pt>
                <c:pt idx="67">
                  <c:v>7.25</c:v>
                </c:pt>
                <c:pt idx="68">
                  <c:v>7</c:v>
                </c:pt>
                <c:pt idx="69">
                  <c:v>6.5</c:v>
                </c:pt>
                <c:pt idx="70">
                  <c:v>6.5</c:v>
                </c:pt>
                <c:pt idx="71">
                  <c:v>6.25</c:v>
                </c:pt>
                <c:pt idx="72">
                  <c:v>6.25</c:v>
                </c:pt>
                <c:pt idx="73">
                  <c:v>6</c:v>
                </c:pt>
                <c:pt idx="74">
                  <c:v>6</c:v>
                </c:pt>
                <c:pt idx="75">
                  <c:v>5.5</c:v>
                </c:pt>
                <c:pt idx="76">
                  <c:v>5.5</c:v>
                </c:pt>
                <c:pt idx="77">
                  <c:v>4.5</c:v>
                </c:pt>
                <c:pt idx="78">
                  <c:v>4.25</c:v>
                </c:pt>
                <c:pt idx="79">
                  <c:v>4.25</c:v>
                </c:pt>
                <c:pt idx="80">
                  <c:v>4.25</c:v>
                </c:pt>
                <c:pt idx="81">
                  <c:v>4.25</c:v>
                </c:pt>
                <c:pt idx="82">
                  <c:v>4.25</c:v>
                </c:pt>
                <c:pt idx="83">
                  <c:v>4.25</c:v>
                </c:pt>
                <c:pt idx="84">
                  <c:v>4.25</c:v>
                </c:pt>
                <c:pt idx="85">
                  <c:v>4.25</c:v>
                </c:pt>
                <c:pt idx="86">
                  <c:v>4.5</c:v>
                </c:pt>
                <c:pt idx="87">
                  <c:v>5</c:v>
                </c:pt>
                <c:pt idx="88">
                  <c:v>5</c:v>
                </c:pt>
                <c:pt idx="89">
                  <c:v>5.5</c:v>
                </c:pt>
                <c:pt idx="90">
                  <c:v>6.5</c:v>
                </c:pt>
                <c:pt idx="91">
                  <c:v>6.5</c:v>
                </c:pt>
                <c:pt idx="92">
                  <c:v>6.75</c:v>
                </c:pt>
                <c:pt idx="93">
                  <c:v>7.5</c:v>
                </c:pt>
                <c:pt idx="94">
                  <c:v>7.5</c:v>
                </c:pt>
                <c:pt idx="95">
                  <c:v>8.5</c:v>
                </c:pt>
                <c:pt idx="96">
                  <c:v>8.5</c:v>
                </c:pt>
                <c:pt idx="97">
                  <c:v>20</c:v>
                </c:pt>
                <c:pt idx="98">
                  <c:v>20</c:v>
                </c:pt>
                <c:pt idx="99">
                  <c:v>17</c:v>
                </c:pt>
                <c:pt idx="100">
                  <c:v>11</c:v>
                </c:pt>
                <c:pt idx="101">
                  <c:v>9.5</c:v>
                </c:pt>
                <c:pt idx="102">
                  <c:v>8</c:v>
                </c:pt>
                <c:pt idx="103">
                  <c:v>8</c:v>
                </c:pt>
                <c:pt idx="104">
                  <c:v>7.5</c:v>
                </c:pt>
                <c:pt idx="105">
                  <c:v>7.5</c:v>
                </c:pt>
                <c:pt idx="106">
                  <c:v>7.5</c:v>
                </c:pt>
                <c:pt idx="107">
                  <c:v>7.5</c:v>
                </c:pt>
                <c:pt idx="108">
                  <c:v>7.5</c:v>
                </c:pt>
                <c:pt idx="109">
                  <c:v>7.5</c:v>
                </c:pt>
                <c:pt idx="110">
                  <c:v>7.5</c:v>
                </c:pt>
                <c:pt idx="111">
                  <c:v>7.5</c:v>
                </c:pt>
                <c:pt idx="112">
                  <c:v>7.5</c:v>
                </c:pt>
                <c:pt idx="113">
                  <c:v>7.5</c:v>
                </c:pt>
                <c:pt idx="114">
                  <c:v>8.5</c:v>
                </c:pt>
                <c:pt idx="115">
                  <c:v>12</c:v>
                </c:pt>
                <c:pt idx="116">
                  <c:v>13</c:v>
                </c:pt>
                <c:pt idx="117">
                  <c:v>15</c:v>
                </c:pt>
                <c:pt idx="118">
                  <c:v>15</c:v>
                </c:pt>
                <c:pt idx="119">
                  <c:v>16</c:v>
                </c:pt>
                <c:pt idx="120">
                  <c:v>16</c:v>
                </c:pt>
                <c:pt idx="121">
                  <c:v>16</c:v>
                </c:pt>
                <c:pt idx="122">
                  <c:v>16</c:v>
                </c:pt>
                <c:pt idx="123">
                  <c:v>16</c:v>
                </c:pt>
                <c:pt idx="124">
                  <c:v>16</c:v>
                </c:pt>
                <c:pt idx="125">
                  <c:v>16</c:v>
                </c:pt>
                <c:pt idx="126">
                  <c:v>18</c:v>
                </c:pt>
                <c:pt idx="127">
                  <c:v>18</c:v>
                </c:pt>
                <c:pt idx="128">
                  <c:v>19</c:v>
                </c:pt>
                <c:pt idx="129">
                  <c:v>21</c:v>
                </c:pt>
                <c:pt idx="130">
                  <c:v>21</c:v>
                </c:pt>
                <c:pt idx="131">
                  <c:v>21</c:v>
                </c:pt>
                <c:pt idx="132">
                  <c:v>21</c:v>
                </c:pt>
                <c:pt idx="133">
                  <c:v>21</c:v>
                </c:pt>
                <c:pt idx="134">
                  <c:v>21</c:v>
                </c:pt>
                <c:pt idx="135">
                  <c:v>21</c:v>
                </c:pt>
                <c:pt idx="136">
                  <c:v>21</c:v>
                </c:pt>
                <c:pt idx="137">
                  <c:v>20</c:v>
                </c:pt>
                <c:pt idx="138">
                  <c:v>18</c:v>
                </c:pt>
                <c:pt idx="139">
                  <c:v>18</c:v>
                </c:pt>
                <c:pt idx="140">
                  <c:v>17</c:v>
                </c:pt>
                <c:pt idx="141">
                  <c:v>16.5</c:v>
                </c:pt>
                <c:pt idx="142">
                  <c:v>16.5</c:v>
                </c:pt>
                <c:pt idx="143">
                  <c:v>16</c:v>
                </c:pt>
                <c:pt idx="144">
                  <c:v>16</c:v>
                </c:pt>
                <c:pt idx="145">
                  <c:v>15.5</c:v>
                </c:pt>
                <c:pt idx="146">
                  <c:v>15</c:v>
                </c:pt>
              </c:numCache>
            </c:numRef>
          </c:val>
          <c:smooth val="0"/>
          <c:extLst>
            <c:ext xmlns:c16="http://schemas.microsoft.com/office/drawing/2014/chart" uri="{C3380CC4-5D6E-409C-BE32-E72D297353CC}">
              <c16:uniqueId val="{00000000-1DFB-45DB-905D-8552C5C1DC2A}"/>
            </c:ext>
          </c:extLst>
        </c:ser>
        <c:ser>
          <c:idx val="2"/>
          <c:order val="1"/>
          <c:tx>
            <c:strRef>
              <c:f>'Инфляция и ключевая ставка Банк'!$H$4</c:f>
              <c:strCache>
                <c:ptCount val="1"/>
                <c:pt idx="0">
                  <c:v>Инфляция, % г/г</c:v>
                </c:pt>
              </c:strCache>
            </c:strRef>
          </c:tx>
          <c:spPr>
            <a:ln w="28575" cap="rnd">
              <a:solidFill>
                <a:srgbClr val="FF0000"/>
              </a:solidFill>
              <a:round/>
            </a:ln>
            <a:effectLst/>
          </c:spPr>
          <c:marker>
            <c:symbol val="none"/>
          </c:marker>
          <c:cat>
            <c:numRef>
              <c:f>'Инфляция и ключевая ставка Банк'!$E$5:$E$151</c:f>
              <c:numCache>
                <c:formatCode>General</c:formatCode>
                <c:ptCount val="147"/>
                <c:pt idx="0">
                  <c:v>2014</c:v>
                </c:pt>
                <c:pt idx="12">
                  <c:v>2015</c:v>
                </c:pt>
                <c:pt idx="24">
                  <c:v>2016</c:v>
                </c:pt>
                <c:pt idx="36">
                  <c:v>2017</c:v>
                </c:pt>
                <c:pt idx="48">
                  <c:v>2018</c:v>
                </c:pt>
                <c:pt idx="60">
                  <c:v>2019</c:v>
                </c:pt>
                <c:pt idx="72">
                  <c:v>2020</c:v>
                </c:pt>
                <c:pt idx="84">
                  <c:v>2021</c:v>
                </c:pt>
                <c:pt idx="96">
                  <c:v>2022</c:v>
                </c:pt>
                <c:pt idx="108">
                  <c:v>2023</c:v>
                </c:pt>
                <c:pt idx="120">
                  <c:v>2024</c:v>
                </c:pt>
                <c:pt idx="132">
                  <c:v>2025</c:v>
                </c:pt>
                <c:pt idx="144">
                  <c:v>2026</c:v>
                </c:pt>
              </c:numCache>
            </c:numRef>
          </c:cat>
          <c:val>
            <c:numRef>
              <c:f>'Инфляция и ключевая ставка Банк'!$H$5:$H$151</c:f>
              <c:numCache>
                <c:formatCode>#,##0.00</c:formatCode>
                <c:ptCount val="147"/>
                <c:pt idx="0">
                  <c:v>6.07</c:v>
                </c:pt>
                <c:pt idx="1">
                  <c:v>6.21</c:v>
                </c:pt>
                <c:pt idx="2">
                  <c:v>6.92</c:v>
                </c:pt>
                <c:pt idx="3">
                  <c:v>7.33</c:v>
                </c:pt>
                <c:pt idx="4">
                  <c:v>7.59</c:v>
                </c:pt>
                <c:pt idx="5">
                  <c:v>7.81</c:v>
                </c:pt>
                <c:pt idx="6">
                  <c:v>7.45</c:v>
                </c:pt>
                <c:pt idx="7">
                  <c:v>7.55</c:v>
                </c:pt>
                <c:pt idx="8">
                  <c:v>8.0299999999999994</c:v>
                </c:pt>
                <c:pt idx="9">
                  <c:v>8.2899999999999991</c:v>
                </c:pt>
                <c:pt idx="10">
                  <c:v>9.06</c:v>
                </c:pt>
                <c:pt idx="11">
                  <c:v>11.35</c:v>
                </c:pt>
                <c:pt idx="12">
                  <c:v>14.96</c:v>
                </c:pt>
                <c:pt idx="13">
                  <c:v>16.7</c:v>
                </c:pt>
                <c:pt idx="14">
                  <c:v>16.899999999999999</c:v>
                </c:pt>
                <c:pt idx="15">
                  <c:v>16.399999999999999</c:v>
                </c:pt>
                <c:pt idx="16">
                  <c:v>15.8</c:v>
                </c:pt>
                <c:pt idx="17">
                  <c:v>15.3</c:v>
                </c:pt>
                <c:pt idx="18">
                  <c:v>15.6</c:v>
                </c:pt>
                <c:pt idx="19">
                  <c:v>15.8</c:v>
                </c:pt>
                <c:pt idx="20">
                  <c:v>15.7</c:v>
                </c:pt>
                <c:pt idx="21">
                  <c:v>15.6</c:v>
                </c:pt>
                <c:pt idx="22">
                  <c:v>15</c:v>
                </c:pt>
                <c:pt idx="23">
                  <c:v>12.9</c:v>
                </c:pt>
                <c:pt idx="24">
                  <c:v>9.8000000000000007</c:v>
                </c:pt>
                <c:pt idx="25">
                  <c:v>8.1</c:v>
                </c:pt>
                <c:pt idx="26">
                  <c:v>7.3</c:v>
                </c:pt>
                <c:pt idx="27">
                  <c:v>7.3</c:v>
                </c:pt>
                <c:pt idx="28">
                  <c:v>7.3</c:v>
                </c:pt>
                <c:pt idx="29">
                  <c:v>7.5</c:v>
                </c:pt>
                <c:pt idx="30">
                  <c:v>7.2</c:v>
                </c:pt>
                <c:pt idx="31">
                  <c:v>6.9</c:v>
                </c:pt>
                <c:pt idx="32">
                  <c:v>6.4</c:v>
                </c:pt>
                <c:pt idx="33">
                  <c:v>6.1</c:v>
                </c:pt>
                <c:pt idx="34">
                  <c:v>5.8</c:v>
                </c:pt>
                <c:pt idx="35">
                  <c:v>5.4</c:v>
                </c:pt>
                <c:pt idx="36">
                  <c:v>5</c:v>
                </c:pt>
                <c:pt idx="37">
                  <c:v>4.5999999999999996</c:v>
                </c:pt>
                <c:pt idx="38">
                  <c:v>4.3</c:v>
                </c:pt>
                <c:pt idx="39">
                  <c:v>4.0999999999999996</c:v>
                </c:pt>
                <c:pt idx="40">
                  <c:v>4.0999999999999996</c:v>
                </c:pt>
                <c:pt idx="41">
                  <c:v>4.4000000000000004</c:v>
                </c:pt>
                <c:pt idx="42">
                  <c:v>3.9</c:v>
                </c:pt>
                <c:pt idx="43">
                  <c:v>3.3</c:v>
                </c:pt>
                <c:pt idx="44">
                  <c:v>3</c:v>
                </c:pt>
                <c:pt idx="45">
                  <c:v>2.7</c:v>
                </c:pt>
                <c:pt idx="46">
                  <c:v>2.5</c:v>
                </c:pt>
                <c:pt idx="47">
                  <c:v>2.5</c:v>
                </c:pt>
                <c:pt idx="48">
                  <c:v>2.2000000000000002</c:v>
                </c:pt>
                <c:pt idx="49">
                  <c:v>2.2000000000000002</c:v>
                </c:pt>
                <c:pt idx="50">
                  <c:v>2.4</c:v>
                </c:pt>
                <c:pt idx="51">
                  <c:v>2.4</c:v>
                </c:pt>
                <c:pt idx="52">
                  <c:v>2.4</c:v>
                </c:pt>
                <c:pt idx="53">
                  <c:v>2.2999999999999998</c:v>
                </c:pt>
                <c:pt idx="54">
                  <c:v>2.5</c:v>
                </c:pt>
                <c:pt idx="55">
                  <c:v>3.1</c:v>
                </c:pt>
                <c:pt idx="56">
                  <c:v>3.4</c:v>
                </c:pt>
                <c:pt idx="57">
                  <c:v>3.5</c:v>
                </c:pt>
                <c:pt idx="58">
                  <c:v>3.8</c:v>
                </c:pt>
                <c:pt idx="59">
                  <c:v>4.3</c:v>
                </c:pt>
                <c:pt idx="60">
                  <c:v>5</c:v>
                </c:pt>
                <c:pt idx="61">
                  <c:v>5.2</c:v>
                </c:pt>
                <c:pt idx="62">
                  <c:v>5.3</c:v>
                </c:pt>
                <c:pt idx="63">
                  <c:v>5.2</c:v>
                </c:pt>
                <c:pt idx="64">
                  <c:v>5.0999999999999996</c:v>
                </c:pt>
                <c:pt idx="65">
                  <c:v>4.7</c:v>
                </c:pt>
                <c:pt idx="66">
                  <c:v>4.5999999999999996</c:v>
                </c:pt>
                <c:pt idx="67">
                  <c:v>4.3</c:v>
                </c:pt>
                <c:pt idx="68">
                  <c:v>4</c:v>
                </c:pt>
                <c:pt idx="69">
                  <c:v>3.8</c:v>
                </c:pt>
                <c:pt idx="70">
                  <c:v>3.5</c:v>
                </c:pt>
                <c:pt idx="71">
                  <c:v>3</c:v>
                </c:pt>
                <c:pt idx="72">
                  <c:v>2.4</c:v>
                </c:pt>
                <c:pt idx="73">
                  <c:v>2.2999999999999998</c:v>
                </c:pt>
                <c:pt idx="74">
                  <c:v>2.5</c:v>
                </c:pt>
                <c:pt idx="75">
                  <c:v>3.1</c:v>
                </c:pt>
                <c:pt idx="76">
                  <c:v>3</c:v>
                </c:pt>
                <c:pt idx="77">
                  <c:v>3.2</c:v>
                </c:pt>
                <c:pt idx="78">
                  <c:v>3.4</c:v>
                </c:pt>
                <c:pt idx="79">
                  <c:v>3.6</c:v>
                </c:pt>
                <c:pt idx="80">
                  <c:v>3.7</c:v>
                </c:pt>
                <c:pt idx="81">
                  <c:v>4</c:v>
                </c:pt>
                <c:pt idx="82">
                  <c:v>4.4000000000000004</c:v>
                </c:pt>
                <c:pt idx="83">
                  <c:v>4.9000000000000004</c:v>
                </c:pt>
                <c:pt idx="84">
                  <c:v>5.2</c:v>
                </c:pt>
                <c:pt idx="85">
                  <c:v>5.7</c:v>
                </c:pt>
                <c:pt idx="86">
                  <c:v>5.8</c:v>
                </c:pt>
                <c:pt idx="87">
                  <c:v>5.5</c:v>
                </c:pt>
                <c:pt idx="88">
                  <c:v>6</c:v>
                </c:pt>
                <c:pt idx="89">
                  <c:v>6.5</c:v>
                </c:pt>
                <c:pt idx="90">
                  <c:v>6.5</c:v>
                </c:pt>
                <c:pt idx="91">
                  <c:v>6.68</c:v>
                </c:pt>
                <c:pt idx="92">
                  <c:v>7.4</c:v>
                </c:pt>
                <c:pt idx="93">
                  <c:v>8.1300000000000008</c:v>
                </c:pt>
                <c:pt idx="94">
                  <c:v>8.4</c:v>
                </c:pt>
                <c:pt idx="95">
                  <c:v>8.39</c:v>
                </c:pt>
                <c:pt idx="96">
                  <c:v>8.73</c:v>
                </c:pt>
                <c:pt idx="97">
                  <c:v>9.15</c:v>
                </c:pt>
                <c:pt idx="98">
                  <c:v>16.690000000000001</c:v>
                </c:pt>
                <c:pt idx="99">
                  <c:v>17.829999999999998</c:v>
                </c:pt>
                <c:pt idx="100">
                  <c:v>17.100000000000001</c:v>
                </c:pt>
                <c:pt idx="101">
                  <c:v>15.9</c:v>
                </c:pt>
                <c:pt idx="102">
                  <c:v>15.1</c:v>
                </c:pt>
                <c:pt idx="103">
                  <c:v>14.3</c:v>
                </c:pt>
                <c:pt idx="104">
                  <c:v>13.68</c:v>
                </c:pt>
                <c:pt idx="105">
                  <c:v>12.63</c:v>
                </c:pt>
                <c:pt idx="106">
                  <c:v>11.98</c:v>
                </c:pt>
                <c:pt idx="107">
                  <c:v>11.94</c:v>
                </c:pt>
                <c:pt idx="108">
                  <c:v>11.77</c:v>
                </c:pt>
                <c:pt idx="109">
                  <c:v>10.99</c:v>
                </c:pt>
                <c:pt idx="110">
                  <c:v>3.51</c:v>
                </c:pt>
                <c:pt idx="111">
                  <c:v>2.31</c:v>
                </c:pt>
                <c:pt idx="112">
                  <c:v>2.5099999999999998</c:v>
                </c:pt>
                <c:pt idx="113">
                  <c:v>3.25</c:v>
                </c:pt>
                <c:pt idx="114">
                  <c:v>4.3</c:v>
                </c:pt>
                <c:pt idx="115">
                  <c:v>5.15</c:v>
                </c:pt>
                <c:pt idx="116">
                  <c:v>6</c:v>
                </c:pt>
                <c:pt idx="117">
                  <c:v>6.69</c:v>
                </c:pt>
                <c:pt idx="118">
                  <c:v>7.48</c:v>
                </c:pt>
                <c:pt idx="119">
                  <c:v>7.42</c:v>
                </c:pt>
                <c:pt idx="120">
                  <c:v>7.44</c:v>
                </c:pt>
                <c:pt idx="121">
                  <c:v>7.69</c:v>
                </c:pt>
                <c:pt idx="122">
                  <c:v>7.72</c:v>
                </c:pt>
                <c:pt idx="123">
                  <c:v>7.84</c:v>
                </c:pt>
                <c:pt idx="124">
                  <c:v>8.3000000000000007</c:v>
                </c:pt>
                <c:pt idx="125">
                  <c:v>8.59</c:v>
                </c:pt>
                <c:pt idx="126">
                  <c:v>9.1300000000000008</c:v>
                </c:pt>
                <c:pt idx="127">
                  <c:v>9.0500000000000007</c:v>
                </c:pt>
                <c:pt idx="128">
                  <c:v>8.6300000000000008</c:v>
                </c:pt>
                <c:pt idx="129">
                  <c:v>8.5399999999999991</c:v>
                </c:pt>
                <c:pt idx="130">
                  <c:v>8.8800000000000008</c:v>
                </c:pt>
                <c:pt idx="131">
                  <c:v>9.52</c:v>
                </c:pt>
                <c:pt idx="132">
                  <c:v>9.92</c:v>
                </c:pt>
                <c:pt idx="133">
                  <c:v>10.06</c:v>
                </c:pt>
                <c:pt idx="134">
                  <c:v>10.34</c:v>
                </c:pt>
                <c:pt idx="135">
                  <c:v>10.23</c:v>
                </c:pt>
                <c:pt idx="136">
                  <c:v>9.8800000000000008</c:v>
                </c:pt>
                <c:pt idx="137">
                  <c:v>9.4</c:v>
                </c:pt>
                <c:pt idx="138">
                  <c:v>8.7899999999999991</c:v>
                </c:pt>
                <c:pt idx="139">
                  <c:v>8.14</c:v>
                </c:pt>
                <c:pt idx="140">
                  <c:v>7.98</c:v>
                </c:pt>
                <c:pt idx="141">
                  <c:v>7.71</c:v>
                </c:pt>
                <c:pt idx="142">
                  <c:v>6.64</c:v>
                </c:pt>
                <c:pt idx="143">
                  <c:v>5.59</c:v>
                </c:pt>
                <c:pt idx="144">
                  <c:v>6</c:v>
                </c:pt>
                <c:pt idx="145">
                  <c:v>5.91</c:v>
                </c:pt>
                <c:pt idx="146">
                  <c:v>5.86</c:v>
                </c:pt>
              </c:numCache>
            </c:numRef>
          </c:val>
          <c:smooth val="0"/>
          <c:extLst>
            <c:ext xmlns:c16="http://schemas.microsoft.com/office/drawing/2014/chart" uri="{C3380CC4-5D6E-409C-BE32-E72D297353CC}">
              <c16:uniqueId val="{00000001-1DFB-45DB-905D-8552C5C1DC2A}"/>
            </c:ext>
          </c:extLst>
        </c:ser>
        <c:ser>
          <c:idx val="0"/>
          <c:order val="2"/>
          <c:tx>
            <c:strRef>
              <c:f>'Инфляция и ключевая ставка Банк'!$I$4</c:f>
              <c:strCache>
                <c:ptCount val="1"/>
                <c:pt idx="0">
                  <c:v>Цель по инфляции</c:v>
                </c:pt>
              </c:strCache>
            </c:strRef>
          </c:tx>
          <c:spPr>
            <a:ln w="28575" cap="rnd">
              <a:solidFill>
                <a:schemeClr val="tx1"/>
              </a:solidFill>
              <a:round/>
            </a:ln>
            <a:effectLst/>
          </c:spPr>
          <c:marker>
            <c:symbol val="none"/>
          </c:marker>
          <c:cat>
            <c:numRef>
              <c:f>'Инфляция и ключевая ставка Банк'!$E$5:$E$151</c:f>
              <c:numCache>
                <c:formatCode>General</c:formatCode>
                <c:ptCount val="147"/>
                <c:pt idx="0">
                  <c:v>2014</c:v>
                </c:pt>
                <c:pt idx="12">
                  <c:v>2015</c:v>
                </c:pt>
                <c:pt idx="24">
                  <c:v>2016</c:v>
                </c:pt>
                <c:pt idx="36">
                  <c:v>2017</c:v>
                </c:pt>
                <c:pt idx="48">
                  <c:v>2018</c:v>
                </c:pt>
                <c:pt idx="60">
                  <c:v>2019</c:v>
                </c:pt>
                <c:pt idx="72">
                  <c:v>2020</c:v>
                </c:pt>
                <c:pt idx="84">
                  <c:v>2021</c:v>
                </c:pt>
                <c:pt idx="96">
                  <c:v>2022</c:v>
                </c:pt>
                <c:pt idx="108">
                  <c:v>2023</c:v>
                </c:pt>
                <c:pt idx="120">
                  <c:v>2024</c:v>
                </c:pt>
                <c:pt idx="132">
                  <c:v>2025</c:v>
                </c:pt>
                <c:pt idx="144">
                  <c:v>2026</c:v>
                </c:pt>
              </c:numCache>
            </c:numRef>
          </c:cat>
          <c:val>
            <c:numRef>
              <c:f>'Инфляция и ключевая ставка Банк'!$I$5:$I$151</c:f>
              <c:numCache>
                <c:formatCode>General</c:formatCode>
                <c:ptCount val="147"/>
                <c:pt idx="24" formatCode="#,##0.00">
                  <c:v>4</c:v>
                </c:pt>
                <c:pt idx="25" formatCode="#,##0.00">
                  <c:v>4</c:v>
                </c:pt>
                <c:pt idx="26" formatCode="#,##0.00">
                  <c:v>4</c:v>
                </c:pt>
                <c:pt idx="27" formatCode="#,##0.00">
                  <c:v>4</c:v>
                </c:pt>
                <c:pt idx="28" formatCode="#,##0.00">
                  <c:v>4</c:v>
                </c:pt>
                <c:pt idx="29" formatCode="#,##0.00">
                  <c:v>4</c:v>
                </c:pt>
                <c:pt idx="30" formatCode="#,##0.00">
                  <c:v>4</c:v>
                </c:pt>
                <c:pt idx="31" formatCode="#,##0.00">
                  <c:v>4</c:v>
                </c:pt>
                <c:pt idx="32" formatCode="#,##0.00">
                  <c:v>4</c:v>
                </c:pt>
                <c:pt idx="33" formatCode="#,##0.00">
                  <c:v>4</c:v>
                </c:pt>
                <c:pt idx="34" formatCode="#,##0.00">
                  <c:v>4</c:v>
                </c:pt>
                <c:pt idx="35" formatCode="#,##0.00">
                  <c:v>4</c:v>
                </c:pt>
                <c:pt idx="36" formatCode="#,##0.00">
                  <c:v>4</c:v>
                </c:pt>
                <c:pt idx="37" formatCode="#,##0.00">
                  <c:v>4</c:v>
                </c:pt>
                <c:pt idx="38" formatCode="#,##0.00">
                  <c:v>4</c:v>
                </c:pt>
                <c:pt idx="39" formatCode="#,##0.00">
                  <c:v>4</c:v>
                </c:pt>
                <c:pt idx="40" formatCode="#,##0.00">
                  <c:v>4</c:v>
                </c:pt>
                <c:pt idx="41" formatCode="#,##0.00">
                  <c:v>4</c:v>
                </c:pt>
                <c:pt idx="42" formatCode="#,##0.00">
                  <c:v>4</c:v>
                </c:pt>
                <c:pt idx="43" formatCode="#,##0.00">
                  <c:v>4</c:v>
                </c:pt>
                <c:pt idx="44" formatCode="#,##0.00">
                  <c:v>4</c:v>
                </c:pt>
                <c:pt idx="45" formatCode="#,##0.00">
                  <c:v>4</c:v>
                </c:pt>
                <c:pt idx="46" formatCode="#,##0.00">
                  <c:v>4</c:v>
                </c:pt>
                <c:pt idx="47" formatCode="#,##0.00">
                  <c:v>4</c:v>
                </c:pt>
                <c:pt idx="48" formatCode="#,##0.00">
                  <c:v>4</c:v>
                </c:pt>
                <c:pt idx="49" formatCode="#,##0.00">
                  <c:v>4</c:v>
                </c:pt>
                <c:pt idx="50" formatCode="#,##0.00">
                  <c:v>4</c:v>
                </c:pt>
                <c:pt idx="51" formatCode="#,##0.00">
                  <c:v>4</c:v>
                </c:pt>
                <c:pt idx="52" formatCode="#,##0.00">
                  <c:v>4</c:v>
                </c:pt>
                <c:pt idx="53" formatCode="#,##0.00">
                  <c:v>4</c:v>
                </c:pt>
                <c:pt idx="54" formatCode="#,##0.00">
                  <c:v>4</c:v>
                </c:pt>
                <c:pt idx="55" formatCode="#,##0.00">
                  <c:v>4</c:v>
                </c:pt>
                <c:pt idx="56" formatCode="#,##0.00">
                  <c:v>4</c:v>
                </c:pt>
                <c:pt idx="57" formatCode="#,##0.00">
                  <c:v>4</c:v>
                </c:pt>
                <c:pt idx="58" formatCode="#,##0.00">
                  <c:v>4</c:v>
                </c:pt>
                <c:pt idx="59" formatCode="#,##0.00">
                  <c:v>4</c:v>
                </c:pt>
                <c:pt idx="60" formatCode="#,##0.00">
                  <c:v>4</c:v>
                </c:pt>
                <c:pt idx="61" formatCode="#,##0.00">
                  <c:v>4</c:v>
                </c:pt>
                <c:pt idx="62" formatCode="#,##0.00">
                  <c:v>4</c:v>
                </c:pt>
                <c:pt idx="63" formatCode="#,##0.00">
                  <c:v>4</c:v>
                </c:pt>
                <c:pt idx="64" formatCode="#,##0.00">
                  <c:v>4</c:v>
                </c:pt>
                <c:pt idx="65" formatCode="#,##0.00">
                  <c:v>4</c:v>
                </c:pt>
                <c:pt idx="66" formatCode="#,##0.00">
                  <c:v>4</c:v>
                </c:pt>
                <c:pt idx="67" formatCode="#,##0.00">
                  <c:v>4</c:v>
                </c:pt>
                <c:pt idx="68" formatCode="#,##0.00">
                  <c:v>4</c:v>
                </c:pt>
                <c:pt idx="69" formatCode="#,##0.00">
                  <c:v>4</c:v>
                </c:pt>
                <c:pt idx="70" formatCode="#,##0.00">
                  <c:v>4</c:v>
                </c:pt>
                <c:pt idx="71" formatCode="#,##0.00">
                  <c:v>4</c:v>
                </c:pt>
                <c:pt idx="72" formatCode="#,##0.00">
                  <c:v>4</c:v>
                </c:pt>
                <c:pt idx="73" formatCode="#,##0.00">
                  <c:v>4</c:v>
                </c:pt>
                <c:pt idx="74" formatCode="#,##0.00">
                  <c:v>4</c:v>
                </c:pt>
                <c:pt idx="75" formatCode="#,##0.00">
                  <c:v>4</c:v>
                </c:pt>
                <c:pt idx="76" formatCode="#,##0.00">
                  <c:v>4</c:v>
                </c:pt>
                <c:pt idx="77" formatCode="#,##0.00">
                  <c:v>4</c:v>
                </c:pt>
                <c:pt idx="78" formatCode="#,##0.00">
                  <c:v>4</c:v>
                </c:pt>
                <c:pt idx="79" formatCode="#,##0.00">
                  <c:v>4</c:v>
                </c:pt>
                <c:pt idx="80" formatCode="#,##0.00">
                  <c:v>4</c:v>
                </c:pt>
                <c:pt idx="81" formatCode="#,##0.00">
                  <c:v>4</c:v>
                </c:pt>
                <c:pt idx="82" formatCode="#,##0.00">
                  <c:v>4</c:v>
                </c:pt>
                <c:pt idx="83" formatCode="#,##0.00">
                  <c:v>4</c:v>
                </c:pt>
                <c:pt idx="84" formatCode="#,##0.00">
                  <c:v>4</c:v>
                </c:pt>
                <c:pt idx="85" formatCode="#,##0.00">
                  <c:v>4</c:v>
                </c:pt>
                <c:pt idx="86" formatCode="#,##0.00">
                  <c:v>4</c:v>
                </c:pt>
                <c:pt idx="87" formatCode="#,##0.00">
                  <c:v>4</c:v>
                </c:pt>
                <c:pt idx="88" formatCode="#,##0.00">
                  <c:v>4</c:v>
                </c:pt>
                <c:pt idx="89" formatCode="#,##0.00">
                  <c:v>4</c:v>
                </c:pt>
                <c:pt idx="90" formatCode="#,##0.00">
                  <c:v>4</c:v>
                </c:pt>
                <c:pt idx="91" formatCode="#,##0.00">
                  <c:v>4</c:v>
                </c:pt>
                <c:pt idx="92" formatCode="#,##0.00">
                  <c:v>4</c:v>
                </c:pt>
                <c:pt idx="93" formatCode="#,##0.00">
                  <c:v>4</c:v>
                </c:pt>
                <c:pt idx="94" formatCode="#,##0.00">
                  <c:v>4</c:v>
                </c:pt>
                <c:pt idx="95" formatCode="#,##0.00">
                  <c:v>4</c:v>
                </c:pt>
                <c:pt idx="96" formatCode="#,##0.00">
                  <c:v>4</c:v>
                </c:pt>
                <c:pt idx="97" formatCode="#,##0.00">
                  <c:v>4</c:v>
                </c:pt>
                <c:pt idx="98" formatCode="#,##0.00">
                  <c:v>4</c:v>
                </c:pt>
                <c:pt idx="99" formatCode="#,##0.00">
                  <c:v>4</c:v>
                </c:pt>
                <c:pt idx="100" formatCode="#,##0.00">
                  <c:v>4</c:v>
                </c:pt>
                <c:pt idx="101" formatCode="#,##0.00">
                  <c:v>4</c:v>
                </c:pt>
                <c:pt idx="102" formatCode="#,##0.00">
                  <c:v>4</c:v>
                </c:pt>
                <c:pt idx="103" formatCode="#,##0.00">
                  <c:v>4</c:v>
                </c:pt>
                <c:pt idx="104" formatCode="#,##0.00">
                  <c:v>4</c:v>
                </c:pt>
                <c:pt idx="105" formatCode="#,##0.00">
                  <c:v>4</c:v>
                </c:pt>
                <c:pt idx="106" formatCode="#,##0.00">
                  <c:v>4</c:v>
                </c:pt>
                <c:pt idx="107" formatCode="#,##0.00">
                  <c:v>4</c:v>
                </c:pt>
                <c:pt idx="108" formatCode="#,##0.00">
                  <c:v>4</c:v>
                </c:pt>
                <c:pt idx="109" formatCode="#,##0.00">
                  <c:v>4</c:v>
                </c:pt>
                <c:pt idx="110" formatCode="#,##0.00">
                  <c:v>4</c:v>
                </c:pt>
                <c:pt idx="111" formatCode="#,##0.00">
                  <c:v>4</c:v>
                </c:pt>
                <c:pt idx="112" formatCode="#,##0.00">
                  <c:v>4</c:v>
                </c:pt>
                <c:pt idx="113" formatCode="#,##0.00">
                  <c:v>4</c:v>
                </c:pt>
                <c:pt idx="114" formatCode="#,##0.00">
                  <c:v>4</c:v>
                </c:pt>
                <c:pt idx="115" formatCode="#,##0.00">
                  <c:v>4</c:v>
                </c:pt>
                <c:pt idx="116" formatCode="#,##0.00">
                  <c:v>4</c:v>
                </c:pt>
                <c:pt idx="117" formatCode="#,##0.00">
                  <c:v>4</c:v>
                </c:pt>
                <c:pt idx="118" formatCode="#,##0.00">
                  <c:v>4</c:v>
                </c:pt>
                <c:pt idx="119" formatCode="#,##0.00">
                  <c:v>4</c:v>
                </c:pt>
                <c:pt idx="120" formatCode="#,##0.00">
                  <c:v>4</c:v>
                </c:pt>
                <c:pt idx="121" formatCode="#,##0.00">
                  <c:v>4</c:v>
                </c:pt>
                <c:pt idx="122" formatCode="#,##0.00">
                  <c:v>4</c:v>
                </c:pt>
                <c:pt idx="123" formatCode="#,##0.00">
                  <c:v>4</c:v>
                </c:pt>
                <c:pt idx="124" formatCode="#,##0.00">
                  <c:v>4</c:v>
                </c:pt>
                <c:pt idx="125" formatCode="#,##0.00">
                  <c:v>4</c:v>
                </c:pt>
                <c:pt idx="126" formatCode="#,##0.00">
                  <c:v>4</c:v>
                </c:pt>
                <c:pt idx="127" formatCode="#,##0.00">
                  <c:v>4</c:v>
                </c:pt>
                <c:pt idx="128" formatCode="#,##0.00">
                  <c:v>4</c:v>
                </c:pt>
                <c:pt idx="129" formatCode="#,##0.00">
                  <c:v>4</c:v>
                </c:pt>
                <c:pt idx="130" formatCode="#,##0.00">
                  <c:v>4</c:v>
                </c:pt>
                <c:pt idx="131" formatCode="#,##0.00">
                  <c:v>4</c:v>
                </c:pt>
                <c:pt idx="132" formatCode="#,##0.00">
                  <c:v>4</c:v>
                </c:pt>
                <c:pt idx="133" formatCode="#,##0.00">
                  <c:v>4</c:v>
                </c:pt>
                <c:pt idx="134" formatCode="#,##0.00">
                  <c:v>4</c:v>
                </c:pt>
                <c:pt idx="135" formatCode="#,##0.00">
                  <c:v>4</c:v>
                </c:pt>
                <c:pt idx="136" formatCode="#,##0.00">
                  <c:v>4</c:v>
                </c:pt>
                <c:pt idx="137" formatCode="#,##0.00">
                  <c:v>4</c:v>
                </c:pt>
                <c:pt idx="138" formatCode="#,##0.00">
                  <c:v>4</c:v>
                </c:pt>
                <c:pt idx="139" formatCode="#,##0.00">
                  <c:v>4</c:v>
                </c:pt>
                <c:pt idx="140" formatCode="#,##0.00">
                  <c:v>4</c:v>
                </c:pt>
                <c:pt idx="141" formatCode="#,##0.00">
                  <c:v>4</c:v>
                </c:pt>
                <c:pt idx="142" formatCode="#,##0.00">
                  <c:v>4</c:v>
                </c:pt>
                <c:pt idx="143" formatCode="#,##0.00">
                  <c:v>4</c:v>
                </c:pt>
                <c:pt idx="144" formatCode="#,##0.00">
                  <c:v>4</c:v>
                </c:pt>
                <c:pt idx="145" formatCode="#,##0.00">
                  <c:v>4</c:v>
                </c:pt>
                <c:pt idx="146" formatCode="#,##0.00">
                  <c:v>4</c:v>
                </c:pt>
              </c:numCache>
            </c:numRef>
          </c:val>
          <c:smooth val="0"/>
          <c:extLst>
            <c:ext xmlns:c16="http://schemas.microsoft.com/office/drawing/2014/chart" uri="{C3380CC4-5D6E-409C-BE32-E72D297353CC}">
              <c16:uniqueId val="{00000002-1DFB-45DB-905D-8552C5C1DC2A}"/>
            </c:ext>
          </c:extLst>
        </c:ser>
        <c:dLbls>
          <c:showLegendKey val="0"/>
          <c:showVal val="0"/>
          <c:showCatName val="0"/>
          <c:showSerName val="0"/>
          <c:showPercent val="0"/>
          <c:showBubbleSize val="0"/>
        </c:dLbls>
        <c:smooth val="0"/>
        <c:axId val="905093167"/>
        <c:axId val="905077359"/>
      </c:lineChart>
      <c:catAx>
        <c:axId val="905093167"/>
        <c:scaling>
          <c:orientation val="minMax"/>
        </c:scaling>
        <c:delete val="0"/>
        <c:axPos val="b"/>
        <c:numFmt formatCode="General" sourceLinked="1"/>
        <c:majorTickMark val="cross"/>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ru-RU"/>
          </a:p>
        </c:txPr>
        <c:crossAx val="905077359"/>
        <c:crosses val="autoZero"/>
        <c:auto val="1"/>
        <c:lblAlgn val="ctr"/>
        <c:lblOffset val="100"/>
        <c:noMultiLvlLbl val="0"/>
      </c:catAx>
      <c:valAx>
        <c:axId val="90507735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05093167"/>
        <c:crosses val="autoZero"/>
        <c:crossBetween val="between"/>
      </c:valAx>
      <c:spPr>
        <a:noFill/>
        <a:ln>
          <a:noFill/>
        </a:ln>
        <a:effectLst/>
      </c:spPr>
    </c:plotArea>
    <c:legend>
      <c:legendPos val="b"/>
      <c:layout>
        <c:manualLayout>
          <c:xMode val="edge"/>
          <c:yMode val="edge"/>
          <c:x val="5.3921596099419968E-2"/>
          <c:y val="0.89416923645000645"/>
          <c:w val="0.89215680780116013"/>
          <c:h val="8.55519295829466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2192581799161227E-2"/>
          <c:y val="5.5766793409378963E-2"/>
          <c:w val="0.91171014655196569"/>
          <c:h val="0.6490743790106086"/>
        </c:manualLayout>
      </c:layout>
      <c:lineChart>
        <c:grouping val="standard"/>
        <c:varyColors val="0"/>
        <c:ser>
          <c:idx val="0"/>
          <c:order val="0"/>
          <c:tx>
            <c:strRef>
              <c:f>'Инфляция и ключевая ставка Банк'!$F$4</c:f>
              <c:strCache>
                <c:ptCount val="1"/>
                <c:pt idx="0">
                  <c:v>Вологодская область (ПАО «Северсталь»)</c:v>
                </c:pt>
              </c:strCache>
            </c:strRef>
          </c:tx>
          <c:spPr>
            <a:ln w="28575" cap="rnd">
              <a:solidFill>
                <a:schemeClr val="accent1"/>
              </a:solidFill>
              <a:round/>
            </a:ln>
            <a:effectLst/>
          </c:spPr>
          <c:marker>
            <c:symbol val="none"/>
          </c:marker>
          <c:cat>
            <c:numRef>
              <c:f>'Инфляция и ключевая ставка Банк'!$E$5:$E$20</c:f>
              <c:numCache>
                <c:formatCode>General</c:formatCode>
                <c:ptCount val="16"/>
                <c:pt idx="0">
                  <c:v>2009</c:v>
                </c:pt>
                <c:pt idx="1">
                  <c:v>2010</c:v>
                </c:pt>
                <c:pt idx="2">
                  <c:v>2011</c:v>
                </c:pt>
                <c:pt idx="3">
                  <c:v>2012</c:v>
                </c:pt>
                <c:pt idx="4">
                  <c:v>2013</c:v>
                </c:pt>
                <c:pt idx="5">
                  <c:v>2014</c:v>
                </c:pt>
                <c:pt idx="6">
                  <c:v>2015</c:v>
                </c:pt>
                <c:pt idx="7">
                  <c:v>2016</c:v>
                </c:pt>
                <c:pt idx="8">
                  <c:v>2017</c:v>
                </c:pt>
                <c:pt idx="9">
                  <c:v>2018</c:v>
                </c:pt>
                <c:pt idx="10">
                  <c:v>2019</c:v>
                </c:pt>
                <c:pt idx="11">
                  <c:v>2020</c:v>
                </c:pt>
                <c:pt idx="12">
                  <c:v>2021</c:v>
                </c:pt>
                <c:pt idx="13">
                  <c:v>2022</c:v>
                </c:pt>
                <c:pt idx="14">
                  <c:v>2023</c:v>
                </c:pt>
                <c:pt idx="15">
                  <c:v>2024</c:v>
                </c:pt>
              </c:numCache>
            </c:numRef>
          </c:cat>
          <c:val>
            <c:numRef>
              <c:f>'Инфляция и ключевая ставка Банк'!$F$5:$F$20</c:f>
              <c:numCache>
                <c:formatCode>General</c:formatCode>
                <c:ptCount val="16"/>
                <c:pt idx="0">
                  <c:v>0.85578959099520779</c:v>
                </c:pt>
                <c:pt idx="1">
                  <c:v>0.51049974495511685</c:v>
                </c:pt>
                <c:pt idx="2">
                  <c:v>0.46495091870123334</c:v>
                </c:pt>
                <c:pt idx="3">
                  <c:v>0.48836148490011672</c:v>
                </c:pt>
                <c:pt idx="4">
                  <c:v>0.59712162631870658</c:v>
                </c:pt>
                <c:pt idx="5">
                  <c:v>1.0296061360932056</c:v>
                </c:pt>
                <c:pt idx="6">
                  <c:v>0.57767999109870038</c:v>
                </c:pt>
                <c:pt idx="7">
                  <c:v>0.59057142669977003</c:v>
                </c:pt>
                <c:pt idx="8">
                  <c:v>0.30215837343198065</c:v>
                </c:pt>
                <c:pt idx="9">
                  <c:v>0.32232371243122837</c:v>
                </c:pt>
                <c:pt idx="10">
                  <c:v>0.42869131183510056</c:v>
                </c:pt>
                <c:pt idx="11">
                  <c:v>0.33187174386032614</c:v>
                </c:pt>
                <c:pt idx="12">
                  <c:v>0.11360969328147798</c:v>
                </c:pt>
                <c:pt idx="13">
                  <c:v>0</c:v>
                </c:pt>
                <c:pt idx="14">
                  <c:v>8.0411618083374201E-2</c:v>
                </c:pt>
                <c:pt idx="15">
                  <c:v>7.6956971557938736E-2</c:v>
                </c:pt>
              </c:numCache>
            </c:numRef>
          </c:val>
          <c:smooth val="0"/>
          <c:extLst>
            <c:ext xmlns:c16="http://schemas.microsoft.com/office/drawing/2014/chart" uri="{C3380CC4-5D6E-409C-BE32-E72D297353CC}">
              <c16:uniqueId val="{00000000-1B03-40F2-8F91-A1C618FF5FF9}"/>
            </c:ext>
          </c:extLst>
        </c:ser>
        <c:ser>
          <c:idx val="1"/>
          <c:order val="1"/>
          <c:tx>
            <c:strRef>
              <c:f>'Инфляция и ключевая ставка Банк'!$G$4</c:f>
              <c:strCache>
                <c:ptCount val="1"/>
                <c:pt idx="0">
                  <c:v>Челябинская область (ПАО «ММК»)</c:v>
                </c:pt>
              </c:strCache>
            </c:strRef>
          </c:tx>
          <c:spPr>
            <a:ln w="28575" cap="rnd">
              <a:solidFill>
                <a:schemeClr val="accent2"/>
              </a:solidFill>
              <a:round/>
            </a:ln>
            <a:effectLst/>
          </c:spPr>
          <c:marker>
            <c:symbol val="none"/>
          </c:marker>
          <c:cat>
            <c:numRef>
              <c:f>'Инфляция и ключевая ставка Банк'!$E$5:$E$20</c:f>
              <c:numCache>
                <c:formatCode>General</c:formatCode>
                <c:ptCount val="16"/>
                <c:pt idx="0">
                  <c:v>2009</c:v>
                </c:pt>
                <c:pt idx="1">
                  <c:v>2010</c:v>
                </c:pt>
                <c:pt idx="2">
                  <c:v>2011</c:v>
                </c:pt>
                <c:pt idx="3">
                  <c:v>2012</c:v>
                </c:pt>
                <c:pt idx="4">
                  <c:v>2013</c:v>
                </c:pt>
                <c:pt idx="5">
                  <c:v>2014</c:v>
                </c:pt>
                <c:pt idx="6">
                  <c:v>2015</c:v>
                </c:pt>
                <c:pt idx="7">
                  <c:v>2016</c:v>
                </c:pt>
                <c:pt idx="8">
                  <c:v>2017</c:v>
                </c:pt>
                <c:pt idx="9">
                  <c:v>2018</c:v>
                </c:pt>
                <c:pt idx="10">
                  <c:v>2019</c:v>
                </c:pt>
                <c:pt idx="11">
                  <c:v>2020</c:v>
                </c:pt>
                <c:pt idx="12">
                  <c:v>2021</c:v>
                </c:pt>
                <c:pt idx="13">
                  <c:v>2022</c:v>
                </c:pt>
                <c:pt idx="14">
                  <c:v>2023</c:v>
                </c:pt>
                <c:pt idx="15">
                  <c:v>2024</c:v>
                </c:pt>
              </c:numCache>
            </c:numRef>
          </c:cat>
          <c:val>
            <c:numRef>
              <c:f>'Инфляция и ключевая ставка Банк'!$G$5:$G$20</c:f>
              <c:numCache>
                <c:formatCode>#,##0.00</c:formatCode>
                <c:ptCount val="16"/>
                <c:pt idx="0">
                  <c:v>0.22305322720420634</c:v>
                </c:pt>
                <c:pt idx="1">
                  <c:v>0.33269581417472649</c:v>
                </c:pt>
                <c:pt idx="2">
                  <c:v>0.39988677261514821</c:v>
                </c:pt>
                <c:pt idx="3">
                  <c:v>0.23825490930185675</c:v>
                </c:pt>
                <c:pt idx="4">
                  <c:v>0.27764621041479332</c:v>
                </c:pt>
                <c:pt idx="5">
                  <c:v>0.37776101591876254</c:v>
                </c:pt>
                <c:pt idx="6">
                  <c:v>0.16161596867389333</c:v>
                </c:pt>
                <c:pt idx="7">
                  <c:v>3.2437756368858572E-5</c:v>
                </c:pt>
                <c:pt idx="8">
                  <c:v>3.5251106211588105E-2</c:v>
                </c:pt>
                <c:pt idx="9">
                  <c:v>3.7907731037538132E-2</c:v>
                </c:pt>
                <c:pt idx="10">
                  <c:v>7.8352385083808582E-2</c:v>
                </c:pt>
                <c:pt idx="11">
                  <c:v>0.10564235487587627</c:v>
                </c:pt>
                <c:pt idx="12" formatCode="General">
                  <c:v>5.1563784228057276E-2</c:v>
                </c:pt>
                <c:pt idx="13" formatCode="General">
                  <c:v>0</c:v>
                </c:pt>
                <c:pt idx="14" formatCode="General">
                  <c:v>1.7216653549646292E-2</c:v>
                </c:pt>
                <c:pt idx="15" formatCode="General">
                  <c:v>1.637017627659753E-2</c:v>
                </c:pt>
              </c:numCache>
            </c:numRef>
          </c:val>
          <c:smooth val="0"/>
          <c:extLst>
            <c:ext xmlns:c16="http://schemas.microsoft.com/office/drawing/2014/chart" uri="{C3380CC4-5D6E-409C-BE32-E72D297353CC}">
              <c16:uniqueId val="{00000001-1B03-40F2-8F91-A1C618FF5FF9}"/>
            </c:ext>
          </c:extLst>
        </c:ser>
        <c:ser>
          <c:idx val="2"/>
          <c:order val="2"/>
          <c:tx>
            <c:strRef>
              <c:f>'Инфляция и ключевая ставка Банк'!$H$4</c:f>
              <c:strCache>
                <c:ptCount val="1"/>
                <c:pt idx="0">
                  <c:v>Липецкая область (ПАО «НЛМК»)</c:v>
                </c:pt>
              </c:strCache>
            </c:strRef>
          </c:tx>
          <c:spPr>
            <a:ln w="28575" cap="rnd">
              <a:solidFill>
                <a:schemeClr val="accent3"/>
              </a:solidFill>
              <a:round/>
            </a:ln>
            <a:effectLst/>
          </c:spPr>
          <c:marker>
            <c:symbol val="none"/>
          </c:marker>
          <c:cat>
            <c:numRef>
              <c:f>'Инфляция и ключевая ставка Банк'!$E$5:$E$20</c:f>
              <c:numCache>
                <c:formatCode>General</c:formatCode>
                <c:ptCount val="16"/>
                <c:pt idx="0">
                  <c:v>2009</c:v>
                </c:pt>
                <c:pt idx="1">
                  <c:v>2010</c:v>
                </c:pt>
                <c:pt idx="2">
                  <c:v>2011</c:v>
                </c:pt>
                <c:pt idx="3">
                  <c:v>2012</c:v>
                </c:pt>
                <c:pt idx="4">
                  <c:v>2013</c:v>
                </c:pt>
                <c:pt idx="5">
                  <c:v>2014</c:v>
                </c:pt>
                <c:pt idx="6">
                  <c:v>2015</c:v>
                </c:pt>
                <c:pt idx="7">
                  <c:v>2016</c:v>
                </c:pt>
                <c:pt idx="8">
                  <c:v>2017</c:v>
                </c:pt>
                <c:pt idx="9">
                  <c:v>2018</c:v>
                </c:pt>
                <c:pt idx="10">
                  <c:v>2019</c:v>
                </c:pt>
                <c:pt idx="11">
                  <c:v>2020</c:v>
                </c:pt>
                <c:pt idx="12">
                  <c:v>2021</c:v>
                </c:pt>
                <c:pt idx="13">
                  <c:v>2022</c:v>
                </c:pt>
                <c:pt idx="14">
                  <c:v>2023</c:v>
                </c:pt>
                <c:pt idx="15">
                  <c:v>2024</c:v>
                </c:pt>
              </c:numCache>
            </c:numRef>
          </c:cat>
          <c:val>
            <c:numRef>
              <c:f>'Инфляция и ключевая ставка Банк'!$H$5:$H$20</c:f>
              <c:numCache>
                <c:formatCode>#,##0.00</c:formatCode>
                <c:ptCount val="16"/>
                <c:pt idx="0">
                  <c:v>0.37540734979583901</c:v>
                </c:pt>
                <c:pt idx="1">
                  <c:v>0.34603478077220207</c:v>
                </c:pt>
                <c:pt idx="2">
                  <c:v>0.31388745716120048</c:v>
                </c:pt>
                <c:pt idx="3">
                  <c:v>0.25593163469051006</c:v>
                </c:pt>
                <c:pt idx="4">
                  <c:v>0.40112779658152248</c:v>
                </c:pt>
                <c:pt idx="5">
                  <c:v>0.36683860183568268</c:v>
                </c:pt>
                <c:pt idx="6">
                  <c:v>0.43089280159197935</c:v>
                </c:pt>
                <c:pt idx="7">
                  <c:v>0.28522704410082483</c:v>
                </c:pt>
                <c:pt idx="8">
                  <c:v>0.19271938728430377</c:v>
                </c:pt>
                <c:pt idx="9">
                  <c:v>0.17023504983731474</c:v>
                </c:pt>
                <c:pt idx="10">
                  <c:v>0.25059248477964891</c:v>
                </c:pt>
                <c:pt idx="11">
                  <c:v>0.34957745154718056</c:v>
                </c:pt>
                <c:pt idx="12" formatCode="General">
                  <c:v>0.17663520521409257</c:v>
                </c:pt>
                <c:pt idx="13" formatCode="General">
                  <c:v>0</c:v>
                </c:pt>
                <c:pt idx="14" formatCode="General">
                  <c:v>8.3570254272088737E-2</c:v>
                </c:pt>
                <c:pt idx="15" formatCode="General">
                  <c:v>0.17166477065489016</c:v>
                </c:pt>
              </c:numCache>
            </c:numRef>
          </c:val>
          <c:smooth val="0"/>
          <c:extLst>
            <c:ext xmlns:c16="http://schemas.microsoft.com/office/drawing/2014/chart" uri="{C3380CC4-5D6E-409C-BE32-E72D297353CC}">
              <c16:uniqueId val="{00000002-1B03-40F2-8F91-A1C618FF5FF9}"/>
            </c:ext>
          </c:extLst>
        </c:ser>
        <c:ser>
          <c:idx val="3"/>
          <c:order val="3"/>
          <c:tx>
            <c:strRef>
              <c:f>'Инфляция и ключевая ставка Банк'!$I$4</c:f>
              <c:strCache>
                <c:ptCount val="1"/>
                <c:pt idx="0">
                  <c:v>Красноярский край (ПАО «ГМК «Норильский никель»)</c:v>
                </c:pt>
              </c:strCache>
            </c:strRef>
          </c:tx>
          <c:spPr>
            <a:ln w="28575" cap="rnd">
              <a:solidFill>
                <a:schemeClr val="accent4"/>
              </a:solidFill>
              <a:round/>
            </a:ln>
            <a:effectLst/>
          </c:spPr>
          <c:marker>
            <c:symbol val="none"/>
          </c:marker>
          <c:cat>
            <c:numRef>
              <c:f>'Инфляция и ключевая ставка Банк'!$E$5:$E$20</c:f>
              <c:numCache>
                <c:formatCode>General</c:formatCode>
                <c:ptCount val="16"/>
                <c:pt idx="0">
                  <c:v>2009</c:v>
                </c:pt>
                <c:pt idx="1">
                  <c:v>2010</c:v>
                </c:pt>
                <c:pt idx="2">
                  <c:v>2011</c:v>
                </c:pt>
                <c:pt idx="3">
                  <c:v>2012</c:v>
                </c:pt>
                <c:pt idx="4">
                  <c:v>2013</c:v>
                </c:pt>
                <c:pt idx="5">
                  <c:v>2014</c:v>
                </c:pt>
                <c:pt idx="6">
                  <c:v>2015</c:v>
                </c:pt>
                <c:pt idx="7">
                  <c:v>2016</c:v>
                </c:pt>
                <c:pt idx="8">
                  <c:v>2017</c:v>
                </c:pt>
                <c:pt idx="9">
                  <c:v>2018</c:v>
                </c:pt>
                <c:pt idx="10">
                  <c:v>2019</c:v>
                </c:pt>
                <c:pt idx="11">
                  <c:v>2020</c:v>
                </c:pt>
                <c:pt idx="12">
                  <c:v>2021</c:v>
                </c:pt>
                <c:pt idx="13">
                  <c:v>2022</c:v>
                </c:pt>
                <c:pt idx="14">
                  <c:v>2023</c:v>
                </c:pt>
                <c:pt idx="15">
                  <c:v>2024</c:v>
                </c:pt>
              </c:numCache>
            </c:numRef>
          </c:cat>
          <c:val>
            <c:numRef>
              <c:f>'Инфляция и ключевая ставка Банк'!$I$5:$I$20</c:f>
              <c:numCache>
                <c:formatCode>#,##0.00</c:formatCode>
                <c:ptCount val="16"/>
                <c:pt idx="0">
                  <c:v>0.50237932145109121</c:v>
                </c:pt>
                <c:pt idx="1">
                  <c:v>0.23083025120077652</c:v>
                </c:pt>
                <c:pt idx="2">
                  <c:v>0.30874728377910121</c:v>
                </c:pt>
                <c:pt idx="3">
                  <c:v>0.30287225268060747</c:v>
                </c:pt>
                <c:pt idx="4">
                  <c:v>0.64604435313755337</c:v>
                </c:pt>
                <c:pt idx="5">
                  <c:v>1.0063901089209968</c:v>
                </c:pt>
                <c:pt idx="6">
                  <c:v>1.2949200575775039</c:v>
                </c:pt>
                <c:pt idx="7">
                  <c:v>1.0156469873163856</c:v>
                </c:pt>
                <c:pt idx="8">
                  <c:v>0.96424599875855688</c:v>
                </c:pt>
                <c:pt idx="9">
                  <c:v>0.9352331946501341</c:v>
                </c:pt>
                <c:pt idx="10">
                  <c:v>0.60081148422126662</c:v>
                </c:pt>
                <c:pt idx="11">
                  <c:v>0.76906766590143816</c:v>
                </c:pt>
                <c:pt idx="12" formatCode="General">
                  <c:v>0.74784232214857627</c:v>
                </c:pt>
                <c:pt idx="13" formatCode="General">
                  <c:v>0.60363280774273043</c:v>
                </c:pt>
                <c:pt idx="14" formatCode="General">
                  <c:v>0.55000325025973562</c:v>
                </c:pt>
                <c:pt idx="15" formatCode="General">
                  <c:v>0.79864952024173452</c:v>
                </c:pt>
              </c:numCache>
            </c:numRef>
          </c:val>
          <c:smooth val="0"/>
          <c:extLst>
            <c:ext xmlns:c16="http://schemas.microsoft.com/office/drawing/2014/chart" uri="{C3380CC4-5D6E-409C-BE32-E72D297353CC}">
              <c16:uniqueId val="{00000003-1B03-40F2-8F91-A1C618FF5FF9}"/>
            </c:ext>
          </c:extLst>
        </c:ser>
        <c:ser>
          <c:idx val="4"/>
          <c:order val="4"/>
          <c:tx>
            <c:strRef>
              <c:f>'Инфляция и ключевая ставка Банк'!$J$4</c:f>
              <c:strCache>
                <c:ptCount val="1"/>
                <c:pt idx="0">
                  <c:v>Иркутская область (АО «РУСАЛ БРАТСК»)</c:v>
                </c:pt>
              </c:strCache>
            </c:strRef>
          </c:tx>
          <c:spPr>
            <a:ln w="28575" cap="rnd">
              <a:solidFill>
                <a:schemeClr val="accent5"/>
              </a:solidFill>
              <a:round/>
            </a:ln>
            <a:effectLst/>
          </c:spPr>
          <c:marker>
            <c:symbol val="none"/>
          </c:marker>
          <c:cat>
            <c:numRef>
              <c:f>'Инфляция и ключевая ставка Банк'!$E$5:$E$20</c:f>
              <c:numCache>
                <c:formatCode>General</c:formatCode>
                <c:ptCount val="16"/>
                <c:pt idx="0">
                  <c:v>2009</c:v>
                </c:pt>
                <c:pt idx="1">
                  <c:v>2010</c:v>
                </c:pt>
                <c:pt idx="2">
                  <c:v>2011</c:v>
                </c:pt>
                <c:pt idx="3">
                  <c:v>2012</c:v>
                </c:pt>
                <c:pt idx="4">
                  <c:v>2013</c:v>
                </c:pt>
                <c:pt idx="5">
                  <c:v>2014</c:v>
                </c:pt>
                <c:pt idx="6">
                  <c:v>2015</c:v>
                </c:pt>
                <c:pt idx="7">
                  <c:v>2016</c:v>
                </c:pt>
                <c:pt idx="8">
                  <c:v>2017</c:v>
                </c:pt>
                <c:pt idx="9">
                  <c:v>2018</c:v>
                </c:pt>
                <c:pt idx="10">
                  <c:v>2019</c:v>
                </c:pt>
                <c:pt idx="11">
                  <c:v>2020</c:v>
                </c:pt>
                <c:pt idx="12">
                  <c:v>2021</c:v>
                </c:pt>
                <c:pt idx="13">
                  <c:v>2022</c:v>
                </c:pt>
                <c:pt idx="14">
                  <c:v>2023</c:v>
                </c:pt>
                <c:pt idx="15">
                  <c:v>2024</c:v>
                </c:pt>
              </c:numCache>
            </c:numRef>
          </c:cat>
          <c:val>
            <c:numRef>
              <c:f>'Инфляция и ключевая ставка Банк'!$J$5:$J$20</c:f>
              <c:numCache>
                <c:formatCode>General</c:formatCode>
                <c:ptCount val="16"/>
                <c:pt idx="0">
                  <c:v>0.53214229373718247</c:v>
                </c:pt>
                <c:pt idx="1">
                  <c:v>0.34616046535641759</c:v>
                </c:pt>
                <c:pt idx="2">
                  <c:v>0.98378589568275054</c:v>
                </c:pt>
                <c:pt idx="3">
                  <c:v>0.82811132040431912</c:v>
                </c:pt>
                <c:pt idx="4">
                  <c:v>0.55686940070112956</c:v>
                </c:pt>
                <c:pt idx="5">
                  <c:v>0.330149108982907</c:v>
                </c:pt>
                <c:pt idx="6">
                  <c:v>0.22158687493660614</c:v>
                </c:pt>
                <c:pt idx="7">
                  <c:v>0.33800187880488491</c:v>
                </c:pt>
                <c:pt idx="8">
                  <c:v>0.18904106673477422</c:v>
                </c:pt>
                <c:pt idx="9">
                  <c:v>0</c:v>
                </c:pt>
                <c:pt idx="10">
                  <c:v>0.65428414128828494</c:v>
                </c:pt>
                <c:pt idx="11">
                  <c:v>0.69741259925675747</c:v>
                </c:pt>
                <c:pt idx="12">
                  <c:v>0.21932476363222136</c:v>
                </c:pt>
                <c:pt idx="13">
                  <c:v>4.5467147213751041E-3</c:v>
                </c:pt>
                <c:pt idx="14">
                  <c:v>1.2360691756544809E-2</c:v>
                </c:pt>
                <c:pt idx="15">
                  <c:v>1.5733172602986654E-2</c:v>
                </c:pt>
              </c:numCache>
            </c:numRef>
          </c:val>
          <c:smooth val="0"/>
          <c:extLst>
            <c:ext xmlns:c16="http://schemas.microsoft.com/office/drawing/2014/chart" uri="{C3380CC4-5D6E-409C-BE32-E72D297353CC}">
              <c16:uniqueId val="{00000004-1B03-40F2-8F91-A1C618FF5FF9}"/>
            </c:ext>
          </c:extLst>
        </c:ser>
        <c:dLbls>
          <c:showLegendKey val="0"/>
          <c:showVal val="0"/>
          <c:showCatName val="0"/>
          <c:showSerName val="0"/>
          <c:showPercent val="0"/>
          <c:showBubbleSize val="0"/>
        </c:dLbls>
        <c:smooth val="0"/>
        <c:axId val="905093167"/>
        <c:axId val="905077359"/>
      </c:lineChart>
      <c:catAx>
        <c:axId val="9050931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ru-RU"/>
          </a:p>
        </c:txPr>
        <c:crossAx val="905077359"/>
        <c:crosses val="autoZero"/>
        <c:auto val="1"/>
        <c:lblAlgn val="ctr"/>
        <c:lblOffset val="100"/>
        <c:noMultiLvlLbl val="0"/>
      </c:catAx>
      <c:valAx>
        <c:axId val="9050773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05093167"/>
        <c:crosses val="autoZero"/>
        <c:crossBetween val="between"/>
      </c:valAx>
      <c:spPr>
        <a:noFill/>
        <a:ln>
          <a:noFill/>
        </a:ln>
        <a:effectLst/>
      </c:spPr>
    </c:plotArea>
    <c:legend>
      <c:legendPos val="b"/>
      <c:layout>
        <c:manualLayout>
          <c:xMode val="edge"/>
          <c:yMode val="edge"/>
          <c:x val="1.3202753570394448E-2"/>
          <c:y val="0.78263325449337839"/>
          <c:w val="0.94749703440094901"/>
          <c:h val="0.18694849455605123"/>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2192581799161227E-2"/>
          <c:y val="5.5766793409378963E-2"/>
          <c:w val="0.91171014655196569"/>
          <c:h val="0.66428350448589368"/>
        </c:manualLayout>
      </c:layout>
      <c:lineChart>
        <c:grouping val="standard"/>
        <c:varyColors val="0"/>
        <c:ser>
          <c:idx val="0"/>
          <c:order val="0"/>
          <c:tx>
            <c:strRef>
              <c:f>'Инфляция и ключевая ставка Банк'!$F$4</c:f>
              <c:strCache>
                <c:ptCount val="1"/>
                <c:pt idx="0">
                  <c:v>Вологодская область (ПАО «Северсталь»)</c:v>
                </c:pt>
              </c:strCache>
            </c:strRef>
          </c:tx>
          <c:spPr>
            <a:ln w="28575" cap="rnd">
              <a:solidFill>
                <a:schemeClr val="accent1"/>
              </a:solidFill>
              <a:round/>
            </a:ln>
            <a:effectLst/>
          </c:spPr>
          <c:marker>
            <c:symbol val="none"/>
          </c:marker>
          <c:cat>
            <c:numRef>
              <c:f>'Инфляция и ключевая ставка Банк'!$E$5:$E$20</c:f>
              <c:numCache>
                <c:formatCode>General</c:formatCode>
                <c:ptCount val="16"/>
                <c:pt idx="0">
                  <c:v>2009</c:v>
                </c:pt>
                <c:pt idx="1">
                  <c:v>2010</c:v>
                </c:pt>
                <c:pt idx="2">
                  <c:v>2011</c:v>
                </c:pt>
                <c:pt idx="3">
                  <c:v>2012</c:v>
                </c:pt>
                <c:pt idx="4">
                  <c:v>2013</c:v>
                </c:pt>
                <c:pt idx="5">
                  <c:v>2014</c:v>
                </c:pt>
                <c:pt idx="6">
                  <c:v>2015</c:v>
                </c:pt>
                <c:pt idx="7">
                  <c:v>2016</c:v>
                </c:pt>
                <c:pt idx="8">
                  <c:v>2017</c:v>
                </c:pt>
                <c:pt idx="9">
                  <c:v>2018</c:v>
                </c:pt>
                <c:pt idx="10">
                  <c:v>2019</c:v>
                </c:pt>
                <c:pt idx="11">
                  <c:v>2020</c:v>
                </c:pt>
                <c:pt idx="12">
                  <c:v>2021</c:v>
                </c:pt>
                <c:pt idx="13">
                  <c:v>2022</c:v>
                </c:pt>
                <c:pt idx="14">
                  <c:v>2023</c:v>
                </c:pt>
                <c:pt idx="15">
                  <c:v>2024</c:v>
                </c:pt>
              </c:numCache>
            </c:numRef>
          </c:cat>
          <c:val>
            <c:numRef>
              <c:f>'Инфляция и ключевая ставка Банк'!$F$5:$F$20</c:f>
              <c:numCache>
                <c:formatCode>0.000</c:formatCode>
                <c:ptCount val="16"/>
                <c:pt idx="0">
                  <c:v>0.1270756714588209</c:v>
                </c:pt>
                <c:pt idx="1">
                  <c:v>0.19422502109483381</c:v>
                </c:pt>
                <c:pt idx="2">
                  <c:v>0.15854282028693684</c:v>
                </c:pt>
                <c:pt idx="3">
                  <c:v>0.37947149290508964</c:v>
                </c:pt>
                <c:pt idx="4">
                  <c:v>0.19222820317710829</c:v>
                </c:pt>
                <c:pt idx="5">
                  <c:v>0.20622426530385132</c:v>
                </c:pt>
                <c:pt idx="6">
                  <c:v>0.54701357807121753</c:v>
                </c:pt>
                <c:pt idx="7">
                  <c:v>0.23217362252952775</c:v>
                </c:pt>
                <c:pt idx="8">
                  <c:v>0.2515506355519706</c:v>
                </c:pt>
                <c:pt idx="9">
                  <c:v>4.9358439643877969E-2</c:v>
                </c:pt>
                <c:pt idx="10">
                  <c:v>0.12601510529122267</c:v>
                </c:pt>
                <c:pt idx="11">
                  <c:v>0.18902632413574375</c:v>
                </c:pt>
                <c:pt idx="12">
                  <c:v>0.18092212870027571</c:v>
                </c:pt>
                <c:pt idx="13" formatCode="0.0">
                  <c:v>0</c:v>
                </c:pt>
                <c:pt idx="14">
                  <c:v>0.24663472241825624</c:v>
                </c:pt>
                <c:pt idx="15">
                  <c:v>0.16262433301149368</c:v>
                </c:pt>
              </c:numCache>
            </c:numRef>
          </c:val>
          <c:smooth val="0"/>
          <c:extLst>
            <c:ext xmlns:c16="http://schemas.microsoft.com/office/drawing/2014/chart" uri="{C3380CC4-5D6E-409C-BE32-E72D297353CC}">
              <c16:uniqueId val="{00000000-33C4-4631-81F2-56BEA868761D}"/>
            </c:ext>
          </c:extLst>
        </c:ser>
        <c:ser>
          <c:idx val="1"/>
          <c:order val="1"/>
          <c:tx>
            <c:strRef>
              <c:f>'Инфляция и ключевая ставка Банк'!$G$4</c:f>
              <c:strCache>
                <c:ptCount val="1"/>
                <c:pt idx="0">
                  <c:v>Челябинская область (ПАО «ММК»)</c:v>
                </c:pt>
              </c:strCache>
            </c:strRef>
          </c:tx>
          <c:spPr>
            <a:ln w="28575" cap="rnd">
              <a:solidFill>
                <a:schemeClr val="accent2"/>
              </a:solidFill>
              <a:round/>
            </a:ln>
            <a:effectLst/>
          </c:spPr>
          <c:marker>
            <c:symbol val="none"/>
          </c:marker>
          <c:cat>
            <c:numRef>
              <c:f>'Инфляция и ключевая ставка Банк'!$E$5:$E$20</c:f>
              <c:numCache>
                <c:formatCode>General</c:formatCode>
                <c:ptCount val="16"/>
                <c:pt idx="0">
                  <c:v>2009</c:v>
                </c:pt>
                <c:pt idx="1">
                  <c:v>2010</c:v>
                </c:pt>
                <c:pt idx="2">
                  <c:v>2011</c:v>
                </c:pt>
                <c:pt idx="3">
                  <c:v>2012</c:v>
                </c:pt>
                <c:pt idx="4">
                  <c:v>2013</c:v>
                </c:pt>
                <c:pt idx="5">
                  <c:v>2014</c:v>
                </c:pt>
                <c:pt idx="6">
                  <c:v>2015</c:v>
                </c:pt>
                <c:pt idx="7">
                  <c:v>2016</c:v>
                </c:pt>
                <c:pt idx="8">
                  <c:v>2017</c:v>
                </c:pt>
                <c:pt idx="9">
                  <c:v>2018</c:v>
                </c:pt>
                <c:pt idx="10">
                  <c:v>2019</c:v>
                </c:pt>
                <c:pt idx="11">
                  <c:v>2020</c:v>
                </c:pt>
                <c:pt idx="12">
                  <c:v>2021</c:v>
                </c:pt>
                <c:pt idx="13">
                  <c:v>2022</c:v>
                </c:pt>
                <c:pt idx="14">
                  <c:v>2023</c:v>
                </c:pt>
                <c:pt idx="15">
                  <c:v>2024</c:v>
                </c:pt>
              </c:numCache>
            </c:numRef>
          </c:cat>
          <c:val>
            <c:numRef>
              <c:f>'Инфляция и ключевая ставка Банк'!$G$5:$G$20</c:f>
              <c:numCache>
                <c:formatCode>0.000</c:formatCode>
                <c:ptCount val="16"/>
                <c:pt idx="0">
                  <c:v>6.3065752965765345E-2</c:v>
                </c:pt>
                <c:pt idx="1">
                  <c:v>2.8618994767718408E-2</c:v>
                </c:pt>
                <c:pt idx="2">
                  <c:v>3.575559060212706E-2</c:v>
                </c:pt>
                <c:pt idx="3">
                  <c:v>0.13497957286091031</c:v>
                </c:pt>
                <c:pt idx="4">
                  <c:v>7.866739078177723E-2</c:v>
                </c:pt>
                <c:pt idx="5">
                  <c:v>5.6496221076411564E-2</c:v>
                </c:pt>
                <c:pt idx="6">
                  <c:v>0.17031978733903189</c:v>
                </c:pt>
                <c:pt idx="7">
                  <c:v>5.3079964967223123E-5</c:v>
                </c:pt>
                <c:pt idx="8">
                  <c:v>3.8005814930419421E-2</c:v>
                </c:pt>
                <c:pt idx="9">
                  <c:v>4.8636251807862685E-2</c:v>
                </c:pt>
                <c:pt idx="10">
                  <c:v>5.4476212914490223E-2</c:v>
                </c:pt>
                <c:pt idx="11">
                  <c:v>7.9422902814302893E-2</c:v>
                </c:pt>
                <c:pt idx="12">
                  <c:v>5.2883159579530215E-2</c:v>
                </c:pt>
                <c:pt idx="13" formatCode="0.0">
                  <c:v>0</c:v>
                </c:pt>
                <c:pt idx="14">
                  <c:v>0.14189706725495124</c:v>
                </c:pt>
                <c:pt idx="15">
                  <c:v>8.2168304396461347E-2</c:v>
                </c:pt>
              </c:numCache>
            </c:numRef>
          </c:val>
          <c:smooth val="0"/>
          <c:extLst>
            <c:ext xmlns:c16="http://schemas.microsoft.com/office/drawing/2014/chart" uri="{C3380CC4-5D6E-409C-BE32-E72D297353CC}">
              <c16:uniqueId val="{00000001-33C4-4631-81F2-56BEA868761D}"/>
            </c:ext>
          </c:extLst>
        </c:ser>
        <c:ser>
          <c:idx val="2"/>
          <c:order val="2"/>
          <c:tx>
            <c:strRef>
              <c:f>'Инфляция и ключевая ставка Банк'!$H$4</c:f>
              <c:strCache>
                <c:ptCount val="1"/>
                <c:pt idx="0">
                  <c:v>Липецкая область (ПАО «НЛМК»)</c:v>
                </c:pt>
              </c:strCache>
            </c:strRef>
          </c:tx>
          <c:spPr>
            <a:ln w="28575" cap="rnd">
              <a:solidFill>
                <a:schemeClr val="accent3"/>
              </a:solidFill>
              <a:round/>
            </a:ln>
            <a:effectLst/>
          </c:spPr>
          <c:marker>
            <c:symbol val="none"/>
          </c:marker>
          <c:cat>
            <c:numRef>
              <c:f>'Инфляция и ключевая ставка Банк'!$E$5:$E$20</c:f>
              <c:numCache>
                <c:formatCode>General</c:formatCode>
                <c:ptCount val="16"/>
                <c:pt idx="0">
                  <c:v>2009</c:v>
                </c:pt>
                <c:pt idx="1">
                  <c:v>2010</c:v>
                </c:pt>
                <c:pt idx="2">
                  <c:v>2011</c:v>
                </c:pt>
                <c:pt idx="3">
                  <c:v>2012</c:v>
                </c:pt>
                <c:pt idx="4">
                  <c:v>2013</c:v>
                </c:pt>
                <c:pt idx="5">
                  <c:v>2014</c:v>
                </c:pt>
                <c:pt idx="6">
                  <c:v>2015</c:v>
                </c:pt>
                <c:pt idx="7">
                  <c:v>2016</c:v>
                </c:pt>
                <c:pt idx="8">
                  <c:v>2017</c:v>
                </c:pt>
                <c:pt idx="9">
                  <c:v>2018</c:v>
                </c:pt>
                <c:pt idx="10">
                  <c:v>2019</c:v>
                </c:pt>
                <c:pt idx="11">
                  <c:v>2020</c:v>
                </c:pt>
                <c:pt idx="12">
                  <c:v>2021</c:v>
                </c:pt>
                <c:pt idx="13">
                  <c:v>2022</c:v>
                </c:pt>
                <c:pt idx="14">
                  <c:v>2023</c:v>
                </c:pt>
                <c:pt idx="15">
                  <c:v>2024</c:v>
                </c:pt>
              </c:numCache>
            </c:numRef>
          </c:cat>
          <c:val>
            <c:numRef>
              <c:f>'Инфляция и ключевая ставка Банк'!$H$5:$H$20</c:f>
              <c:numCache>
                <c:formatCode>0.000</c:formatCode>
                <c:ptCount val="16"/>
                <c:pt idx="0">
                  <c:v>0.10692591872447987</c:v>
                </c:pt>
                <c:pt idx="1">
                  <c:v>9.0864628432642133E-2</c:v>
                </c:pt>
                <c:pt idx="2">
                  <c:v>0.16506162457387263</c:v>
                </c:pt>
                <c:pt idx="3">
                  <c:v>0.18537604515464443</c:v>
                </c:pt>
                <c:pt idx="4">
                  <c:v>9.9059066148980857E-2</c:v>
                </c:pt>
                <c:pt idx="5">
                  <c:v>8.9654404308197849E-2</c:v>
                </c:pt>
                <c:pt idx="6">
                  <c:v>8.7552761697638912E-2</c:v>
                </c:pt>
                <c:pt idx="7">
                  <c:v>6.203350389693213E-2</c:v>
                </c:pt>
                <c:pt idx="8">
                  <c:v>6.1584823921943831E-2</c:v>
                </c:pt>
                <c:pt idx="9">
                  <c:v>4.4193437706229043E-2</c:v>
                </c:pt>
                <c:pt idx="10">
                  <c:v>7.208350764597371E-2</c:v>
                </c:pt>
                <c:pt idx="11">
                  <c:v>0.10047609093444058</c:v>
                </c:pt>
                <c:pt idx="12">
                  <c:v>0.12025555914282256</c:v>
                </c:pt>
                <c:pt idx="13" formatCode="0.0">
                  <c:v>0</c:v>
                </c:pt>
                <c:pt idx="14">
                  <c:v>0.17405998308763665</c:v>
                </c:pt>
                <c:pt idx="15">
                  <c:v>6.0569779786932572E-2</c:v>
                </c:pt>
              </c:numCache>
            </c:numRef>
          </c:val>
          <c:smooth val="0"/>
          <c:extLst>
            <c:ext xmlns:c16="http://schemas.microsoft.com/office/drawing/2014/chart" uri="{C3380CC4-5D6E-409C-BE32-E72D297353CC}">
              <c16:uniqueId val="{00000002-33C4-4631-81F2-56BEA868761D}"/>
            </c:ext>
          </c:extLst>
        </c:ser>
        <c:ser>
          <c:idx val="3"/>
          <c:order val="3"/>
          <c:tx>
            <c:strRef>
              <c:f>'Инфляция и ключевая ставка Банк'!$I$4</c:f>
              <c:strCache>
                <c:ptCount val="1"/>
                <c:pt idx="0">
                  <c:v>Красноярский край (ПАО «ГМК «Норильский никель»)</c:v>
                </c:pt>
              </c:strCache>
            </c:strRef>
          </c:tx>
          <c:spPr>
            <a:ln w="28575" cap="rnd">
              <a:solidFill>
                <a:schemeClr val="accent4"/>
              </a:solidFill>
              <a:round/>
            </a:ln>
            <a:effectLst/>
          </c:spPr>
          <c:marker>
            <c:symbol val="none"/>
          </c:marker>
          <c:cat>
            <c:numRef>
              <c:f>'Инфляция и ключевая ставка Банк'!$E$5:$E$20</c:f>
              <c:numCache>
                <c:formatCode>General</c:formatCode>
                <c:ptCount val="16"/>
                <c:pt idx="0">
                  <c:v>2009</c:v>
                </c:pt>
                <c:pt idx="1">
                  <c:v>2010</c:v>
                </c:pt>
                <c:pt idx="2">
                  <c:v>2011</c:v>
                </c:pt>
                <c:pt idx="3">
                  <c:v>2012</c:v>
                </c:pt>
                <c:pt idx="4">
                  <c:v>2013</c:v>
                </c:pt>
                <c:pt idx="5">
                  <c:v>2014</c:v>
                </c:pt>
                <c:pt idx="6">
                  <c:v>2015</c:v>
                </c:pt>
                <c:pt idx="7">
                  <c:v>2016</c:v>
                </c:pt>
                <c:pt idx="8">
                  <c:v>2017</c:v>
                </c:pt>
                <c:pt idx="9">
                  <c:v>2018</c:v>
                </c:pt>
                <c:pt idx="10">
                  <c:v>2019</c:v>
                </c:pt>
                <c:pt idx="11">
                  <c:v>2020</c:v>
                </c:pt>
                <c:pt idx="12">
                  <c:v>2021</c:v>
                </c:pt>
                <c:pt idx="13">
                  <c:v>2022</c:v>
                </c:pt>
                <c:pt idx="14">
                  <c:v>2023</c:v>
                </c:pt>
                <c:pt idx="15">
                  <c:v>2024</c:v>
                </c:pt>
              </c:numCache>
            </c:numRef>
          </c:cat>
          <c:val>
            <c:numRef>
              <c:f>'Инфляция и ключевая ставка Банк'!$I$5:$I$20</c:f>
              <c:numCache>
                <c:formatCode>0.000</c:formatCode>
                <c:ptCount val="16"/>
                <c:pt idx="0">
                  <c:v>0.30518369994692457</c:v>
                </c:pt>
                <c:pt idx="1">
                  <c:v>9.204224055695949E-2</c:v>
                </c:pt>
                <c:pt idx="2">
                  <c:v>0.16235795500545672</c:v>
                </c:pt>
                <c:pt idx="3">
                  <c:v>0.27409774253692548</c:v>
                </c:pt>
                <c:pt idx="4">
                  <c:v>0.24966891061503751</c:v>
                </c:pt>
                <c:pt idx="5">
                  <c:v>8.9528028289966366E-2</c:v>
                </c:pt>
                <c:pt idx="6">
                  <c:v>0.31043205580128275</c:v>
                </c:pt>
                <c:pt idx="7">
                  <c:v>0.20099614737872756</c:v>
                </c:pt>
                <c:pt idx="8">
                  <c:v>0.15648983047501649</c:v>
                </c:pt>
                <c:pt idx="9">
                  <c:v>0.19497522419720817</c:v>
                </c:pt>
                <c:pt idx="10">
                  <c:v>0.20467372093870709</c:v>
                </c:pt>
                <c:pt idx="11">
                  <c:v>0.1752903701346564</c:v>
                </c:pt>
                <c:pt idx="12">
                  <c:v>0.35794026617688812</c:v>
                </c:pt>
                <c:pt idx="13">
                  <c:v>0.65107207587990457</c:v>
                </c:pt>
                <c:pt idx="14">
                  <c:v>0.66017451043675512</c:v>
                </c:pt>
                <c:pt idx="15">
                  <c:v>0.5987071707515329</c:v>
                </c:pt>
              </c:numCache>
            </c:numRef>
          </c:val>
          <c:smooth val="0"/>
          <c:extLst>
            <c:ext xmlns:c16="http://schemas.microsoft.com/office/drawing/2014/chart" uri="{C3380CC4-5D6E-409C-BE32-E72D297353CC}">
              <c16:uniqueId val="{00000003-33C4-4631-81F2-56BEA868761D}"/>
            </c:ext>
          </c:extLst>
        </c:ser>
        <c:ser>
          <c:idx val="4"/>
          <c:order val="4"/>
          <c:tx>
            <c:strRef>
              <c:f>'Инфляция и ключевая ставка Банк'!$J$4</c:f>
              <c:strCache>
                <c:ptCount val="1"/>
                <c:pt idx="0">
                  <c:v>Иркутская область (АО «РУСАЛ БРАТСК»)</c:v>
                </c:pt>
              </c:strCache>
            </c:strRef>
          </c:tx>
          <c:spPr>
            <a:ln w="28575" cap="rnd">
              <a:solidFill>
                <a:schemeClr val="accent5"/>
              </a:solidFill>
              <a:round/>
            </a:ln>
            <a:effectLst/>
          </c:spPr>
          <c:marker>
            <c:symbol val="none"/>
          </c:marker>
          <c:cat>
            <c:numRef>
              <c:f>'Инфляция и ключевая ставка Банк'!$E$5:$E$20</c:f>
              <c:numCache>
                <c:formatCode>General</c:formatCode>
                <c:ptCount val="16"/>
                <c:pt idx="0">
                  <c:v>2009</c:v>
                </c:pt>
                <c:pt idx="1">
                  <c:v>2010</c:v>
                </c:pt>
                <c:pt idx="2">
                  <c:v>2011</c:v>
                </c:pt>
                <c:pt idx="3">
                  <c:v>2012</c:v>
                </c:pt>
                <c:pt idx="4">
                  <c:v>2013</c:v>
                </c:pt>
                <c:pt idx="5">
                  <c:v>2014</c:v>
                </c:pt>
                <c:pt idx="6">
                  <c:v>2015</c:v>
                </c:pt>
                <c:pt idx="7">
                  <c:v>2016</c:v>
                </c:pt>
                <c:pt idx="8">
                  <c:v>2017</c:v>
                </c:pt>
                <c:pt idx="9">
                  <c:v>2018</c:v>
                </c:pt>
                <c:pt idx="10">
                  <c:v>2019</c:v>
                </c:pt>
                <c:pt idx="11">
                  <c:v>2020</c:v>
                </c:pt>
                <c:pt idx="12">
                  <c:v>2021</c:v>
                </c:pt>
                <c:pt idx="13">
                  <c:v>2022</c:v>
                </c:pt>
                <c:pt idx="14">
                  <c:v>2023</c:v>
                </c:pt>
                <c:pt idx="15">
                  <c:v>2024</c:v>
                </c:pt>
              </c:numCache>
            </c:numRef>
          </c:cat>
          <c:val>
            <c:numRef>
              <c:f>'Инфляция и ключевая ставка Банк'!$J$5:$J$20</c:f>
              <c:numCache>
                <c:formatCode>0.000</c:formatCode>
                <c:ptCount val="16"/>
                <c:pt idx="0">
                  <c:v>6.3653573118788456E-2</c:v>
                </c:pt>
                <c:pt idx="1">
                  <c:v>9.2554985715760846E-2</c:v>
                </c:pt>
                <c:pt idx="2">
                  <c:v>3.6167778304914466E-2</c:v>
                </c:pt>
                <c:pt idx="3">
                  <c:v>0.12339161117448863</c:v>
                </c:pt>
                <c:pt idx="4">
                  <c:v>0.44947415280173614</c:v>
                </c:pt>
                <c:pt idx="5">
                  <c:v>0.44383561643835617</c:v>
                </c:pt>
                <c:pt idx="6">
                  <c:v>0.24464955877878081</c:v>
                </c:pt>
                <c:pt idx="7">
                  <c:v>0.20155672404748251</c:v>
                </c:pt>
                <c:pt idx="8">
                  <c:v>0.14816588449382243</c:v>
                </c:pt>
                <c:pt idx="9">
                  <c:v>0.20000202492684951</c:v>
                </c:pt>
                <c:pt idx="10">
                  <c:v>0.13760829880328013</c:v>
                </c:pt>
                <c:pt idx="11">
                  <c:v>0.16820595590359766</c:v>
                </c:pt>
                <c:pt idx="12">
                  <c:v>0.53736757708787886</c:v>
                </c:pt>
                <c:pt idx="13">
                  <c:v>0.65932908233989462</c:v>
                </c:pt>
                <c:pt idx="14">
                  <c:v>0.68926920605528796</c:v>
                </c:pt>
                <c:pt idx="15">
                  <c:v>0.58921942508858005</c:v>
                </c:pt>
              </c:numCache>
            </c:numRef>
          </c:val>
          <c:smooth val="0"/>
          <c:extLst>
            <c:ext xmlns:c16="http://schemas.microsoft.com/office/drawing/2014/chart" uri="{C3380CC4-5D6E-409C-BE32-E72D297353CC}">
              <c16:uniqueId val="{00000004-33C4-4631-81F2-56BEA868761D}"/>
            </c:ext>
          </c:extLst>
        </c:ser>
        <c:dLbls>
          <c:showLegendKey val="0"/>
          <c:showVal val="0"/>
          <c:showCatName val="0"/>
          <c:showSerName val="0"/>
          <c:showPercent val="0"/>
          <c:showBubbleSize val="0"/>
        </c:dLbls>
        <c:smooth val="0"/>
        <c:axId val="905093167"/>
        <c:axId val="905077359"/>
      </c:lineChart>
      <c:catAx>
        <c:axId val="9050931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ru-RU"/>
          </a:p>
        </c:txPr>
        <c:crossAx val="905077359"/>
        <c:crosses val="autoZero"/>
        <c:auto val="1"/>
        <c:lblAlgn val="ctr"/>
        <c:lblOffset val="100"/>
        <c:noMultiLvlLbl val="0"/>
      </c:catAx>
      <c:valAx>
        <c:axId val="905077359"/>
        <c:scaling>
          <c:orientation val="minMax"/>
        </c:scaling>
        <c:delete val="0"/>
        <c:axPos val="l"/>
        <c:majorGridlines>
          <c:spPr>
            <a:ln w="9525" cap="flat" cmpd="sng" algn="ctr">
              <a:solidFill>
                <a:schemeClr val="tx1">
                  <a:lumMod val="15000"/>
                  <a:lumOff val="85000"/>
                </a:schemeClr>
              </a:solidFill>
              <a:round/>
            </a:ln>
            <a:effectLst/>
          </c:spPr>
        </c:majorGridlines>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05093167"/>
        <c:crosses val="autoZero"/>
        <c:crossBetween val="between"/>
      </c:valAx>
      <c:spPr>
        <a:noFill/>
        <a:ln>
          <a:noFill/>
        </a:ln>
        <a:effectLst/>
      </c:spPr>
    </c:plotArea>
    <c:legend>
      <c:legendPos val="b"/>
      <c:layout>
        <c:manualLayout>
          <c:xMode val="edge"/>
          <c:yMode val="edge"/>
          <c:x val="1.3202753570394448E-2"/>
          <c:y val="0.83333033941099566"/>
          <c:w val="0.94749703440094901"/>
          <c:h val="0.13625140963843399"/>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2192581799161227E-2"/>
          <c:y val="5.5766793409378963E-2"/>
          <c:w val="0.91171014655196569"/>
          <c:h val="0.67949262996117876"/>
        </c:manualLayout>
      </c:layout>
      <c:lineChart>
        <c:grouping val="standard"/>
        <c:varyColors val="0"/>
        <c:ser>
          <c:idx val="0"/>
          <c:order val="0"/>
          <c:tx>
            <c:strRef>
              <c:f>'Инфляция и ключевая ставка Банк'!$F$4</c:f>
              <c:strCache>
                <c:ptCount val="1"/>
                <c:pt idx="0">
                  <c:v>Вологодская область (ПАО «Северсталь»)</c:v>
                </c:pt>
              </c:strCache>
            </c:strRef>
          </c:tx>
          <c:spPr>
            <a:ln w="28575" cap="rnd">
              <a:solidFill>
                <a:schemeClr val="accent1"/>
              </a:solidFill>
              <a:round/>
            </a:ln>
            <a:effectLst/>
          </c:spPr>
          <c:marker>
            <c:symbol val="none"/>
          </c:marker>
          <c:cat>
            <c:numRef>
              <c:f>'Инфляция и ключевая ставка Банк'!$E$5:$E$20</c:f>
              <c:numCache>
                <c:formatCode>General</c:formatCode>
                <c:ptCount val="16"/>
                <c:pt idx="0">
                  <c:v>2009</c:v>
                </c:pt>
                <c:pt idx="1">
                  <c:v>2010</c:v>
                </c:pt>
                <c:pt idx="2">
                  <c:v>2011</c:v>
                </c:pt>
                <c:pt idx="3">
                  <c:v>2012</c:v>
                </c:pt>
                <c:pt idx="4">
                  <c:v>2013</c:v>
                </c:pt>
                <c:pt idx="5">
                  <c:v>2014</c:v>
                </c:pt>
                <c:pt idx="6">
                  <c:v>2015</c:v>
                </c:pt>
                <c:pt idx="7">
                  <c:v>2016</c:v>
                </c:pt>
                <c:pt idx="8">
                  <c:v>2017</c:v>
                </c:pt>
                <c:pt idx="9">
                  <c:v>2018</c:v>
                </c:pt>
                <c:pt idx="10">
                  <c:v>2019</c:v>
                </c:pt>
                <c:pt idx="11">
                  <c:v>2020</c:v>
                </c:pt>
                <c:pt idx="12">
                  <c:v>2021</c:v>
                </c:pt>
                <c:pt idx="13">
                  <c:v>2022</c:v>
                </c:pt>
                <c:pt idx="14">
                  <c:v>2023</c:v>
                </c:pt>
                <c:pt idx="15">
                  <c:v>2024</c:v>
                </c:pt>
              </c:numCache>
            </c:numRef>
          </c:cat>
          <c:val>
            <c:numRef>
              <c:f>'Инфляция и ключевая ставка Банк'!$F$5:$F$20</c:f>
              <c:numCache>
                <c:formatCode>0.000</c:formatCode>
                <c:ptCount val="16"/>
                <c:pt idx="0">
                  <c:v>2.0326604814443332</c:v>
                </c:pt>
                <c:pt idx="1">
                  <c:v>1.203521049545448</c:v>
                </c:pt>
                <c:pt idx="2">
                  <c:v>0.99659419833878682</c:v>
                </c:pt>
                <c:pt idx="3">
                  <c:v>1.060520278519393</c:v>
                </c:pt>
                <c:pt idx="4">
                  <c:v>1.0921051395503951</c:v>
                </c:pt>
                <c:pt idx="5">
                  <c:v>0.69498446287783455</c:v>
                </c:pt>
                <c:pt idx="6">
                  <c:v>0.59688239157822198</c:v>
                </c:pt>
                <c:pt idx="7">
                  <c:v>0.69083149364899477</c:v>
                </c:pt>
                <c:pt idx="8">
                  <c:v>0.54423552971935585</c:v>
                </c:pt>
                <c:pt idx="9">
                  <c:v>0.41330212374616715</c:v>
                </c:pt>
                <c:pt idx="10">
                  <c:v>0.39491857303950278</c:v>
                </c:pt>
                <c:pt idx="11">
                  <c:v>0.40356503629576895</c:v>
                </c:pt>
                <c:pt idx="12">
                  <c:v>0.27057511670050421</c:v>
                </c:pt>
                <c:pt idx="13" formatCode="0.0">
                  <c:v>0</c:v>
                </c:pt>
                <c:pt idx="14">
                  <c:v>0.2423159919620394</c:v>
                </c:pt>
                <c:pt idx="15">
                  <c:v>0.24859972125647306</c:v>
                </c:pt>
              </c:numCache>
            </c:numRef>
          </c:val>
          <c:smooth val="0"/>
          <c:extLst>
            <c:ext xmlns:c16="http://schemas.microsoft.com/office/drawing/2014/chart" uri="{C3380CC4-5D6E-409C-BE32-E72D297353CC}">
              <c16:uniqueId val="{00000000-6E25-4EC7-8225-074736990460}"/>
            </c:ext>
          </c:extLst>
        </c:ser>
        <c:ser>
          <c:idx val="1"/>
          <c:order val="1"/>
          <c:tx>
            <c:strRef>
              <c:f>'Инфляция и ключевая ставка Банк'!$G$4</c:f>
              <c:strCache>
                <c:ptCount val="1"/>
                <c:pt idx="0">
                  <c:v>Челябинская область (ПАО «ММК»)</c:v>
                </c:pt>
              </c:strCache>
            </c:strRef>
          </c:tx>
          <c:spPr>
            <a:ln w="28575" cap="rnd">
              <a:solidFill>
                <a:schemeClr val="accent2"/>
              </a:solidFill>
              <a:round/>
            </a:ln>
            <a:effectLst/>
          </c:spPr>
          <c:marker>
            <c:symbol val="none"/>
          </c:marker>
          <c:cat>
            <c:numRef>
              <c:f>'Инфляция и ключевая ставка Банк'!$E$5:$E$20</c:f>
              <c:numCache>
                <c:formatCode>General</c:formatCode>
                <c:ptCount val="16"/>
                <c:pt idx="0">
                  <c:v>2009</c:v>
                </c:pt>
                <c:pt idx="1">
                  <c:v>2010</c:v>
                </c:pt>
                <c:pt idx="2">
                  <c:v>2011</c:v>
                </c:pt>
                <c:pt idx="3">
                  <c:v>2012</c:v>
                </c:pt>
                <c:pt idx="4">
                  <c:v>2013</c:v>
                </c:pt>
                <c:pt idx="5">
                  <c:v>2014</c:v>
                </c:pt>
                <c:pt idx="6">
                  <c:v>2015</c:v>
                </c:pt>
                <c:pt idx="7">
                  <c:v>2016</c:v>
                </c:pt>
                <c:pt idx="8">
                  <c:v>2017</c:v>
                </c:pt>
                <c:pt idx="9">
                  <c:v>2018</c:v>
                </c:pt>
                <c:pt idx="10">
                  <c:v>2019</c:v>
                </c:pt>
                <c:pt idx="11">
                  <c:v>2020</c:v>
                </c:pt>
                <c:pt idx="12">
                  <c:v>2021</c:v>
                </c:pt>
                <c:pt idx="13">
                  <c:v>2022</c:v>
                </c:pt>
                <c:pt idx="14">
                  <c:v>2023</c:v>
                </c:pt>
                <c:pt idx="15">
                  <c:v>2024</c:v>
                </c:pt>
              </c:numCache>
            </c:numRef>
          </c:cat>
          <c:val>
            <c:numRef>
              <c:f>'Инфляция и ключевая ставка Банк'!$G$5:$G$20</c:f>
              <c:numCache>
                <c:formatCode>0.000</c:formatCode>
                <c:ptCount val="16"/>
                <c:pt idx="0">
                  <c:v>0.33210017696279409</c:v>
                </c:pt>
                <c:pt idx="1">
                  <c:v>0.32961392104011417</c:v>
                </c:pt>
                <c:pt idx="2">
                  <c:v>0.30503457479073154</c:v>
                </c:pt>
                <c:pt idx="3">
                  <c:v>0.29869290995190467</c:v>
                </c:pt>
                <c:pt idx="4">
                  <c:v>0.27307004033083754</c:v>
                </c:pt>
                <c:pt idx="5">
                  <c:v>0.22100886377111806</c:v>
                </c:pt>
                <c:pt idx="6">
                  <c:v>0.2017286662528055</c:v>
                </c:pt>
                <c:pt idx="7">
                  <c:v>2.0052431209839847E-4</c:v>
                </c:pt>
                <c:pt idx="8">
                  <c:v>0.19077758145739876</c:v>
                </c:pt>
                <c:pt idx="9">
                  <c:v>0.13322919771903444</c:v>
                </c:pt>
                <c:pt idx="10">
                  <c:v>0.14264765368191523</c:v>
                </c:pt>
                <c:pt idx="11">
                  <c:v>0.15424103622232793</c:v>
                </c:pt>
                <c:pt idx="12">
                  <c:v>0.11604777741870638</c:v>
                </c:pt>
                <c:pt idx="13" formatCode="0.0">
                  <c:v>0</c:v>
                </c:pt>
                <c:pt idx="14">
                  <c:v>0.1689085986959224</c:v>
                </c:pt>
                <c:pt idx="15">
                  <c:v>0.14058176923652135</c:v>
                </c:pt>
              </c:numCache>
            </c:numRef>
          </c:val>
          <c:smooth val="0"/>
          <c:extLst>
            <c:ext xmlns:c16="http://schemas.microsoft.com/office/drawing/2014/chart" uri="{C3380CC4-5D6E-409C-BE32-E72D297353CC}">
              <c16:uniqueId val="{00000001-6E25-4EC7-8225-074736990460}"/>
            </c:ext>
          </c:extLst>
        </c:ser>
        <c:ser>
          <c:idx val="2"/>
          <c:order val="2"/>
          <c:tx>
            <c:strRef>
              <c:f>'Инфляция и ключевая ставка Банк'!$H$4</c:f>
              <c:strCache>
                <c:ptCount val="1"/>
                <c:pt idx="0">
                  <c:v>Липецкая область (ПАО «НЛМК»)</c:v>
                </c:pt>
              </c:strCache>
            </c:strRef>
          </c:tx>
          <c:spPr>
            <a:ln w="28575" cap="rnd">
              <a:solidFill>
                <a:schemeClr val="accent3"/>
              </a:solidFill>
              <a:round/>
            </a:ln>
            <a:effectLst/>
          </c:spPr>
          <c:marker>
            <c:symbol val="none"/>
          </c:marker>
          <c:cat>
            <c:numRef>
              <c:f>'Инфляция и ключевая ставка Банк'!$E$5:$E$20</c:f>
              <c:numCache>
                <c:formatCode>General</c:formatCode>
                <c:ptCount val="16"/>
                <c:pt idx="0">
                  <c:v>2009</c:v>
                </c:pt>
                <c:pt idx="1">
                  <c:v>2010</c:v>
                </c:pt>
                <c:pt idx="2">
                  <c:v>2011</c:v>
                </c:pt>
                <c:pt idx="3">
                  <c:v>2012</c:v>
                </c:pt>
                <c:pt idx="4">
                  <c:v>2013</c:v>
                </c:pt>
                <c:pt idx="5">
                  <c:v>2014</c:v>
                </c:pt>
                <c:pt idx="6">
                  <c:v>2015</c:v>
                </c:pt>
                <c:pt idx="7">
                  <c:v>2016</c:v>
                </c:pt>
                <c:pt idx="8">
                  <c:v>2017</c:v>
                </c:pt>
                <c:pt idx="9">
                  <c:v>2018</c:v>
                </c:pt>
                <c:pt idx="10">
                  <c:v>2019</c:v>
                </c:pt>
                <c:pt idx="11">
                  <c:v>2020</c:v>
                </c:pt>
                <c:pt idx="12">
                  <c:v>2021</c:v>
                </c:pt>
                <c:pt idx="13">
                  <c:v>2022</c:v>
                </c:pt>
                <c:pt idx="14">
                  <c:v>2023</c:v>
                </c:pt>
                <c:pt idx="15">
                  <c:v>2024</c:v>
                </c:pt>
              </c:numCache>
            </c:numRef>
          </c:cat>
          <c:val>
            <c:numRef>
              <c:f>'Инфляция и ключевая ставка Банк'!$H$5:$H$20</c:f>
              <c:numCache>
                <c:formatCode>0.000</c:formatCode>
                <c:ptCount val="16"/>
                <c:pt idx="0">
                  <c:v>0.87373906280381097</c:v>
                </c:pt>
                <c:pt idx="1">
                  <c:v>0.53684549845215002</c:v>
                </c:pt>
                <c:pt idx="2">
                  <c:v>0.41762291005434538</c:v>
                </c:pt>
                <c:pt idx="3">
                  <c:v>0.47113825993283043</c:v>
                </c:pt>
                <c:pt idx="4">
                  <c:v>0.58973338480957493</c:v>
                </c:pt>
                <c:pt idx="5">
                  <c:v>0.53524699383046692</c:v>
                </c:pt>
                <c:pt idx="6">
                  <c:v>0.47874501727621932</c:v>
                </c:pt>
                <c:pt idx="7">
                  <c:v>0.37088852378000353</c:v>
                </c:pt>
                <c:pt idx="8">
                  <c:v>0.35930996634337525</c:v>
                </c:pt>
                <c:pt idx="9">
                  <c:v>0.36006190272667155</c:v>
                </c:pt>
                <c:pt idx="10">
                  <c:v>0.37510165473184715</c:v>
                </c:pt>
                <c:pt idx="11">
                  <c:v>0.38820203864881153</c:v>
                </c:pt>
                <c:pt idx="12">
                  <c:v>0.26044861576334799</c:v>
                </c:pt>
                <c:pt idx="13" formatCode="0.0">
                  <c:v>0</c:v>
                </c:pt>
                <c:pt idx="14">
                  <c:v>0.23719947288370102</c:v>
                </c:pt>
                <c:pt idx="15">
                  <c:v>0.28768713229461718</c:v>
                </c:pt>
              </c:numCache>
            </c:numRef>
          </c:val>
          <c:smooth val="0"/>
          <c:extLst>
            <c:ext xmlns:c16="http://schemas.microsoft.com/office/drawing/2014/chart" uri="{C3380CC4-5D6E-409C-BE32-E72D297353CC}">
              <c16:uniqueId val="{00000002-6E25-4EC7-8225-074736990460}"/>
            </c:ext>
          </c:extLst>
        </c:ser>
        <c:ser>
          <c:idx val="3"/>
          <c:order val="3"/>
          <c:tx>
            <c:strRef>
              <c:f>'Инфляция и ключевая ставка Банк'!$I$4</c:f>
              <c:strCache>
                <c:ptCount val="1"/>
                <c:pt idx="0">
                  <c:v>Красноярский край (ПАО «ГМК «Норильский никель»)</c:v>
                </c:pt>
              </c:strCache>
            </c:strRef>
          </c:tx>
          <c:spPr>
            <a:ln w="28575" cap="rnd">
              <a:solidFill>
                <a:schemeClr val="accent4"/>
              </a:solidFill>
              <a:round/>
            </a:ln>
            <a:effectLst/>
          </c:spPr>
          <c:marker>
            <c:symbol val="none"/>
          </c:marker>
          <c:cat>
            <c:numRef>
              <c:f>'Инфляция и ключевая ставка Банк'!$E$5:$E$20</c:f>
              <c:numCache>
                <c:formatCode>General</c:formatCode>
                <c:ptCount val="16"/>
                <c:pt idx="0">
                  <c:v>2009</c:v>
                </c:pt>
                <c:pt idx="1">
                  <c:v>2010</c:v>
                </c:pt>
                <c:pt idx="2">
                  <c:v>2011</c:v>
                </c:pt>
                <c:pt idx="3">
                  <c:v>2012</c:v>
                </c:pt>
                <c:pt idx="4">
                  <c:v>2013</c:v>
                </c:pt>
                <c:pt idx="5">
                  <c:v>2014</c:v>
                </c:pt>
                <c:pt idx="6">
                  <c:v>2015</c:v>
                </c:pt>
                <c:pt idx="7">
                  <c:v>2016</c:v>
                </c:pt>
                <c:pt idx="8">
                  <c:v>2017</c:v>
                </c:pt>
                <c:pt idx="9">
                  <c:v>2018</c:v>
                </c:pt>
                <c:pt idx="10">
                  <c:v>2019</c:v>
                </c:pt>
                <c:pt idx="11">
                  <c:v>2020</c:v>
                </c:pt>
                <c:pt idx="12">
                  <c:v>2021</c:v>
                </c:pt>
                <c:pt idx="13">
                  <c:v>2022</c:v>
                </c:pt>
                <c:pt idx="14">
                  <c:v>2023</c:v>
                </c:pt>
                <c:pt idx="15">
                  <c:v>2024</c:v>
                </c:pt>
              </c:numCache>
            </c:numRef>
          </c:cat>
          <c:val>
            <c:numRef>
              <c:f>'Инфляция и ключевая ставка Банк'!$I$5:$I$20</c:f>
              <c:numCache>
                <c:formatCode>0.000</c:formatCode>
                <c:ptCount val="16"/>
                <c:pt idx="0">
                  <c:v>1.6117328446160197</c:v>
                </c:pt>
                <c:pt idx="1">
                  <c:v>1.0537780529847873</c:v>
                </c:pt>
                <c:pt idx="2">
                  <c:v>1.3963755655082855</c:v>
                </c:pt>
                <c:pt idx="3">
                  <c:v>0.97082348537881991</c:v>
                </c:pt>
                <c:pt idx="4">
                  <c:v>0.96052240585505444</c:v>
                </c:pt>
                <c:pt idx="5">
                  <c:v>0.55348174192634314</c:v>
                </c:pt>
                <c:pt idx="6">
                  <c:v>0.49959461246198711</c:v>
                </c:pt>
                <c:pt idx="7">
                  <c:v>0.48189220701512903</c:v>
                </c:pt>
                <c:pt idx="8">
                  <c:v>0.52186234018612876</c:v>
                </c:pt>
                <c:pt idx="9">
                  <c:v>0.53080638752704978</c:v>
                </c:pt>
                <c:pt idx="10">
                  <c:v>0.40098207127760366</c:v>
                </c:pt>
                <c:pt idx="11">
                  <c:v>0.38405488864138926</c:v>
                </c:pt>
                <c:pt idx="12">
                  <c:v>0.53485057197302943</c:v>
                </c:pt>
                <c:pt idx="13">
                  <c:v>0.56944195698323885</c:v>
                </c:pt>
                <c:pt idx="14">
                  <c:v>0.61911973842821999</c:v>
                </c:pt>
                <c:pt idx="15">
                  <c:v>0.6770566432825007</c:v>
                </c:pt>
              </c:numCache>
            </c:numRef>
          </c:val>
          <c:smooth val="0"/>
          <c:extLst>
            <c:ext xmlns:c16="http://schemas.microsoft.com/office/drawing/2014/chart" uri="{C3380CC4-5D6E-409C-BE32-E72D297353CC}">
              <c16:uniqueId val="{00000003-6E25-4EC7-8225-074736990460}"/>
            </c:ext>
          </c:extLst>
        </c:ser>
        <c:ser>
          <c:idx val="4"/>
          <c:order val="4"/>
          <c:tx>
            <c:strRef>
              <c:f>'Инфляция и ключевая ставка Банк'!$J$4</c:f>
              <c:strCache>
                <c:ptCount val="1"/>
                <c:pt idx="0">
                  <c:v>Иркутская область (АО «РУСАЛ БРАТСК»)</c:v>
                </c:pt>
              </c:strCache>
            </c:strRef>
          </c:tx>
          <c:spPr>
            <a:ln w="28575" cap="rnd">
              <a:solidFill>
                <a:schemeClr val="accent5"/>
              </a:solidFill>
              <a:round/>
            </a:ln>
            <a:effectLst/>
          </c:spPr>
          <c:marker>
            <c:symbol val="none"/>
          </c:marker>
          <c:cat>
            <c:numRef>
              <c:f>'Инфляция и ключевая ставка Банк'!$E$5:$E$20</c:f>
              <c:numCache>
                <c:formatCode>General</c:formatCode>
                <c:ptCount val="16"/>
                <c:pt idx="0">
                  <c:v>2009</c:v>
                </c:pt>
                <c:pt idx="1">
                  <c:v>2010</c:v>
                </c:pt>
                <c:pt idx="2">
                  <c:v>2011</c:v>
                </c:pt>
                <c:pt idx="3">
                  <c:v>2012</c:v>
                </c:pt>
                <c:pt idx="4">
                  <c:v>2013</c:v>
                </c:pt>
                <c:pt idx="5">
                  <c:v>2014</c:v>
                </c:pt>
                <c:pt idx="6">
                  <c:v>2015</c:v>
                </c:pt>
                <c:pt idx="7">
                  <c:v>2016</c:v>
                </c:pt>
                <c:pt idx="8">
                  <c:v>2017</c:v>
                </c:pt>
                <c:pt idx="9">
                  <c:v>2018</c:v>
                </c:pt>
                <c:pt idx="10">
                  <c:v>2019</c:v>
                </c:pt>
                <c:pt idx="11">
                  <c:v>2020</c:v>
                </c:pt>
                <c:pt idx="12">
                  <c:v>2021</c:v>
                </c:pt>
                <c:pt idx="13">
                  <c:v>2022</c:v>
                </c:pt>
                <c:pt idx="14">
                  <c:v>2023</c:v>
                </c:pt>
                <c:pt idx="15">
                  <c:v>2024</c:v>
                </c:pt>
              </c:numCache>
            </c:numRef>
          </c:cat>
          <c:val>
            <c:numRef>
              <c:f>'Инфляция и ключевая ставка Банк'!$J$5:$J$20</c:f>
              <c:numCache>
                <c:formatCode>0.000</c:formatCode>
                <c:ptCount val="16"/>
                <c:pt idx="0">
                  <c:v>8.2820634169427352E-4</c:v>
                </c:pt>
                <c:pt idx="1">
                  <c:v>0.85970467765807312</c:v>
                </c:pt>
                <c:pt idx="2">
                  <c:v>0.94692043646917645</c:v>
                </c:pt>
                <c:pt idx="3">
                  <c:v>0.80553418406600696</c:v>
                </c:pt>
                <c:pt idx="4">
                  <c:v>1.1407267263925213E-3</c:v>
                </c:pt>
                <c:pt idx="5">
                  <c:v>4.7520911625651595E-4</c:v>
                </c:pt>
                <c:pt idx="6">
                  <c:v>2.4850390506136528E-4</c:v>
                </c:pt>
                <c:pt idx="7">
                  <c:v>2.3912062171361646E-4</c:v>
                </c:pt>
                <c:pt idx="8">
                  <c:v>2.0113015994636528E-4</c:v>
                </c:pt>
                <c:pt idx="9">
                  <c:v>1.9135558727940952E-4</c:v>
                </c:pt>
                <c:pt idx="10">
                  <c:v>1.8255049114774999E-4</c:v>
                </c:pt>
                <c:pt idx="11">
                  <c:v>0.10270894979625589</c:v>
                </c:pt>
                <c:pt idx="12">
                  <c:v>9.0901921610893513E-2</c:v>
                </c:pt>
                <c:pt idx="13">
                  <c:v>1.316883836983643E-3</c:v>
                </c:pt>
                <c:pt idx="14">
                  <c:v>1.195304457172863E-3</c:v>
                </c:pt>
                <c:pt idx="15">
                  <c:v>8.5622708043464786E-4</c:v>
                </c:pt>
              </c:numCache>
            </c:numRef>
          </c:val>
          <c:smooth val="0"/>
          <c:extLst>
            <c:ext xmlns:c16="http://schemas.microsoft.com/office/drawing/2014/chart" uri="{C3380CC4-5D6E-409C-BE32-E72D297353CC}">
              <c16:uniqueId val="{00000004-6E25-4EC7-8225-074736990460}"/>
            </c:ext>
          </c:extLst>
        </c:ser>
        <c:dLbls>
          <c:showLegendKey val="0"/>
          <c:showVal val="0"/>
          <c:showCatName val="0"/>
          <c:showSerName val="0"/>
          <c:showPercent val="0"/>
          <c:showBubbleSize val="0"/>
        </c:dLbls>
        <c:smooth val="0"/>
        <c:axId val="905093167"/>
        <c:axId val="905077359"/>
      </c:lineChart>
      <c:catAx>
        <c:axId val="9050931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ru-RU"/>
          </a:p>
        </c:txPr>
        <c:crossAx val="905077359"/>
        <c:crosses val="autoZero"/>
        <c:auto val="1"/>
        <c:lblAlgn val="ctr"/>
        <c:lblOffset val="100"/>
        <c:noMultiLvlLbl val="0"/>
      </c:catAx>
      <c:valAx>
        <c:axId val="905077359"/>
        <c:scaling>
          <c:orientation val="minMax"/>
        </c:scaling>
        <c:delete val="0"/>
        <c:axPos val="l"/>
        <c:majorGridlines>
          <c:spPr>
            <a:ln w="9525" cap="flat" cmpd="sng" algn="ctr">
              <a:solidFill>
                <a:schemeClr val="tx1">
                  <a:lumMod val="15000"/>
                  <a:lumOff val="85000"/>
                </a:schemeClr>
              </a:solidFill>
              <a:round/>
            </a:ln>
            <a:effectLst/>
          </c:spPr>
        </c:majorGridlines>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05093167"/>
        <c:crosses val="autoZero"/>
        <c:crossBetween val="between"/>
      </c:valAx>
      <c:spPr>
        <a:noFill/>
        <a:ln>
          <a:noFill/>
        </a:ln>
        <a:effectLst/>
      </c:spPr>
    </c:plotArea>
    <c:legend>
      <c:legendPos val="b"/>
      <c:layout>
        <c:manualLayout>
          <c:xMode val="edge"/>
          <c:yMode val="edge"/>
          <c:x val="1.3202753570394448E-2"/>
          <c:y val="0.83333033941099566"/>
          <c:w val="0.94749703440094901"/>
          <c:h val="0.13625140963843399"/>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2192581799161227E-2"/>
          <c:y val="5.5766793409378963E-2"/>
          <c:w val="0.91171014655196569"/>
          <c:h val="0.68456233845294057"/>
        </c:manualLayout>
      </c:layout>
      <c:lineChart>
        <c:grouping val="standard"/>
        <c:varyColors val="0"/>
        <c:ser>
          <c:idx val="0"/>
          <c:order val="0"/>
          <c:tx>
            <c:strRef>
              <c:f>'Инфляция и ключевая ставка Банк'!$F$4</c:f>
              <c:strCache>
                <c:ptCount val="1"/>
                <c:pt idx="0">
                  <c:v>Вологодская область (ПАО «Северсталь»)</c:v>
                </c:pt>
              </c:strCache>
            </c:strRef>
          </c:tx>
          <c:spPr>
            <a:ln w="28575" cap="rnd">
              <a:solidFill>
                <a:schemeClr val="accent1"/>
              </a:solidFill>
              <a:round/>
            </a:ln>
            <a:effectLst/>
          </c:spPr>
          <c:marker>
            <c:symbol val="none"/>
          </c:marker>
          <c:cat>
            <c:numRef>
              <c:f>'Инфляция и ключевая ставка Банк'!$E$5:$E$20</c:f>
              <c:numCache>
                <c:formatCode>General</c:formatCode>
                <c:ptCount val="16"/>
                <c:pt idx="0">
                  <c:v>2009</c:v>
                </c:pt>
                <c:pt idx="1">
                  <c:v>2010</c:v>
                </c:pt>
                <c:pt idx="2">
                  <c:v>2011</c:v>
                </c:pt>
                <c:pt idx="3">
                  <c:v>2012</c:v>
                </c:pt>
                <c:pt idx="4">
                  <c:v>2013</c:v>
                </c:pt>
                <c:pt idx="5">
                  <c:v>2014</c:v>
                </c:pt>
                <c:pt idx="6">
                  <c:v>2015</c:v>
                </c:pt>
                <c:pt idx="7">
                  <c:v>2016</c:v>
                </c:pt>
                <c:pt idx="8">
                  <c:v>2017</c:v>
                </c:pt>
                <c:pt idx="9">
                  <c:v>2018</c:v>
                </c:pt>
                <c:pt idx="10">
                  <c:v>2019</c:v>
                </c:pt>
                <c:pt idx="11">
                  <c:v>2020</c:v>
                </c:pt>
                <c:pt idx="12">
                  <c:v>2021</c:v>
                </c:pt>
                <c:pt idx="13">
                  <c:v>2022</c:v>
                </c:pt>
                <c:pt idx="14">
                  <c:v>2023</c:v>
                </c:pt>
                <c:pt idx="15">
                  <c:v>2024</c:v>
                </c:pt>
              </c:numCache>
            </c:numRef>
          </c:cat>
          <c:val>
            <c:numRef>
              <c:f>'Инфляция и ключевая ставка Банк'!$F$5:$F$20</c:f>
              <c:numCache>
                <c:formatCode>0.000</c:formatCode>
                <c:ptCount val="16"/>
                <c:pt idx="0">
                  <c:v>0.31813496043686618</c:v>
                </c:pt>
                <c:pt idx="1">
                  <c:v>0.1966038509393756</c:v>
                </c:pt>
                <c:pt idx="2">
                  <c:v>7.4813585451799641E-2</c:v>
                </c:pt>
                <c:pt idx="3">
                  <c:v>5.0002012423360213E-2</c:v>
                </c:pt>
                <c:pt idx="4">
                  <c:v>7.7220077220077222E-3</c:v>
                </c:pt>
                <c:pt idx="5">
                  <c:v>3.7524504138952378E-2</c:v>
                </c:pt>
                <c:pt idx="6">
                  <c:v>6.559324649780518E-2</c:v>
                </c:pt>
                <c:pt idx="7">
                  <c:v>3.7077554977629E-3</c:v>
                </c:pt>
                <c:pt idx="8">
                  <c:v>5.0343504019136098E-4</c:v>
                </c:pt>
                <c:pt idx="9">
                  <c:v>2.3106801949289814E-9</c:v>
                </c:pt>
                <c:pt idx="10">
                  <c:v>8.0858763778770418E-5</c:v>
                </c:pt>
                <c:pt idx="11">
                  <c:v>4.0809174967119781E-4</c:v>
                </c:pt>
                <c:pt idx="12">
                  <c:v>5.6338174435449954E-4</c:v>
                </c:pt>
                <c:pt idx="13" formatCode="0.0">
                  <c:v>0</c:v>
                </c:pt>
                <c:pt idx="14">
                  <c:v>5.7330855786705932E-4</c:v>
                </c:pt>
                <c:pt idx="15">
                  <c:v>1.3812860601992091E-6</c:v>
                </c:pt>
              </c:numCache>
            </c:numRef>
          </c:val>
          <c:smooth val="0"/>
          <c:extLst>
            <c:ext xmlns:c16="http://schemas.microsoft.com/office/drawing/2014/chart" uri="{C3380CC4-5D6E-409C-BE32-E72D297353CC}">
              <c16:uniqueId val="{00000000-A09C-4E9A-BE43-4DB1D6E5A490}"/>
            </c:ext>
          </c:extLst>
        </c:ser>
        <c:ser>
          <c:idx val="1"/>
          <c:order val="1"/>
          <c:tx>
            <c:strRef>
              <c:f>'Инфляция и ключевая ставка Банк'!$G$4</c:f>
              <c:strCache>
                <c:ptCount val="1"/>
                <c:pt idx="0">
                  <c:v>Челябинская область (ПАО «ММК»)</c:v>
                </c:pt>
              </c:strCache>
            </c:strRef>
          </c:tx>
          <c:spPr>
            <a:ln w="28575" cap="rnd">
              <a:solidFill>
                <a:schemeClr val="accent2"/>
              </a:solidFill>
              <a:round/>
            </a:ln>
            <a:effectLst/>
          </c:spPr>
          <c:marker>
            <c:symbol val="none"/>
          </c:marker>
          <c:cat>
            <c:numRef>
              <c:f>'Инфляция и ключевая ставка Банк'!$E$5:$E$20</c:f>
              <c:numCache>
                <c:formatCode>General</c:formatCode>
                <c:ptCount val="16"/>
                <c:pt idx="0">
                  <c:v>2009</c:v>
                </c:pt>
                <c:pt idx="1">
                  <c:v>2010</c:v>
                </c:pt>
                <c:pt idx="2">
                  <c:v>2011</c:v>
                </c:pt>
                <c:pt idx="3">
                  <c:v>2012</c:v>
                </c:pt>
                <c:pt idx="4">
                  <c:v>2013</c:v>
                </c:pt>
                <c:pt idx="5">
                  <c:v>2014</c:v>
                </c:pt>
                <c:pt idx="6">
                  <c:v>2015</c:v>
                </c:pt>
                <c:pt idx="7">
                  <c:v>2016</c:v>
                </c:pt>
                <c:pt idx="8">
                  <c:v>2017</c:v>
                </c:pt>
                <c:pt idx="9">
                  <c:v>2018</c:v>
                </c:pt>
                <c:pt idx="10">
                  <c:v>2019</c:v>
                </c:pt>
                <c:pt idx="11">
                  <c:v>2020</c:v>
                </c:pt>
                <c:pt idx="12">
                  <c:v>2021</c:v>
                </c:pt>
                <c:pt idx="13">
                  <c:v>2022</c:v>
                </c:pt>
                <c:pt idx="14">
                  <c:v>2023</c:v>
                </c:pt>
                <c:pt idx="15">
                  <c:v>2024</c:v>
                </c:pt>
              </c:numCache>
            </c:numRef>
          </c:cat>
          <c:val>
            <c:numRef>
              <c:f>'Инфляция и ключевая ставка Банк'!$G$5:$G$20</c:f>
              <c:numCache>
                <c:formatCode>0.000</c:formatCode>
                <c:ptCount val="16"/>
                <c:pt idx="0">
                  <c:v>0.12667768739486007</c:v>
                </c:pt>
                <c:pt idx="1">
                  <c:v>5.09850166481687E-2</c:v>
                </c:pt>
                <c:pt idx="2">
                  <c:v>8.653807270815642E-3</c:v>
                </c:pt>
                <c:pt idx="3">
                  <c:v>2.520787133988044E-2</c:v>
                </c:pt>
                <c:pt idx="4">
                  <c:v>7.7456575351002928E-4</c:v>
                </c:pt>
                <c:pt idx="5">
                  <c:v>4.6908187542686448E-2</c:v>
                </c:pt>
                <c:pt idx="6">
                  <c:v>8.1393757063495858E-2</c:v>
                </c:pt>
                <c:pt idx="7">
                  <c:v>5.8977738852470131E-6</c:v>
                </c:pt>
                <c:pt idx="8">
                  <c:v>1.4257272481936546E-4</c:v>
                </c:pt>
                <c:pt idx="9">
                  <c:v>0</c:v>
                </c:pt>
                <c:pt idx="10">
                  <c:v>5.5189071758031466E-5</c:v>
                </c:pt>
                <c:pt idx="11">
                  <c:v>3.7185449307451553E-2</c:v>
                </c:pt>
                <c:pt idx="12">
                  <c:v>4.9412324517989055E-2</c:v>
                </c:pt>
                <c:pt idx="13" formatCode="0.0">
                  <c:v>0</c:v>
                </c:pt>
                <c:pt idx="14">
                  <c:v>3.7620517327257871E-5</c:v>
                </c:pt>
                <c:pt idx="15">
                  <c:v>1.1585939991789732E-2</c:v>
                </c:pt>
              </c:numCache>
            </c:numRef>
          </c:val>
          <c:smooth val="0"/>
          <c:extLst>
            <c:ext xmlns:c16="http://schemas.microsoft.com/office/drawing/2014/chart" uri="{C3380CC4-5D6E-409C-BE32-E72D297353CC}">
              <c16:uniqueId val="{00000001-A09C-4E9A-BE43-4DB1D6E5A490}"/>
            </c:ext>
          </c:extLst>
        </c:ser>
        <c:ser>
          <c:idx val="2"/>
          <c:order val="2"/>
          <c:tx>
            <c:strRef>
              <c:f>'Инфляция и ключевая ставка Банк'!$H$4</c:f>
              <c:strCache>
                <c:ptCount val="1"/>
                <c:pt idx="0">
                  <c:v>Липецкая область (ПАО «НЛМК»)</c:v>
                </c:pt>
              </c:strCache>
            </c:strRef>
          </c:tx>
          <c:spPr>
            <a:ln w="28575" cap="rnd">
              <a:solidFill>
                <a:schemeClr val="accent3"/>
              </a:solidFill>
              <a:round/>
            </a:ln>
            <a:effectLst/>
          </c:spPr>
          <c:marker>
            <c:symbol val="none"/>
          </c:marker>
          <c:cat>
            <c:numRef>
              <c:f>'Инфляция и ключевая ставка Банк'!$E$5:$E$20</c:f>
              <c:numCache>
                <c:formatCode>General</c:formatCode>
                <c:ptCount val="16"/>
                <c:pt idx="0">
                  <c:v>2009</c:v>
                </c:pt>
                <c:pt idx="1">
                  <c:v>2010</c:v>
                </c:pt>
                <c:pt idx="2">
                  <c:v>2011</c:v>
                </c:pt>
                <c:pt idx="3">
                  <c:v>2012</c:v>
                </c:pt>
                <c:pt idx="4">
                  <c:v>2013</c:v>
                </c:pt>
                <c:pt idx="5">
                  <c:v>2014</c:v>
                </c:pt>
                <c:pt idx="6">
                  <c:v>2015</c:v>
                </c:pt>
                <c:pt idx="7">
                  <c:v>2016</c:v>
                </c:pt>
                <c:pt idx="8">
                  <c:v>2017</c:v>
                </c:pt>
                <c:pt idx="9">
                  <c:v>2018</c:v>
                </c:pt>
                <c:pt idx="10">
                  <c:v>2019</c:v>
                </c:pt>
                <c:pt idx="11">
                  <c:v>2020</c:v>
                </c:pt>
                <c:pt idx="12">
                  <c:v>2021</c:v>
                </c:pt>
                <c:pt idx="13">
                  <c:v>2022</c:v>
                </c:pt>
                <c:pt idx="14">
                  <c:v>2023</c:v>
                </c:pt>
                <c:pt idx="15">
                  <c:v>2024</c:v>
                </c:pt>
              </c:numCache>
            </c:numRef>
          </c:cat>
          <c:val>
            <c:numRef>
              <c:f>'Инфляция и ключевая ставка Банк'!$H$5:$H$20</c:f>
              <c:numCache>
                <c:formatCode>0.000</c:formatCode>
                <c:ptCount val="16"/>
                <c:pt idx="0">
                  <c:v>0.29699397238965586</c:v>
                </c:pt>
                <c:pt idx="1">
                  <c:v>0.46487186470068415</c:v>
                </c:pt>
                <c:pt idx="2">
                  <c:v>0.33159717512591669</c:v>
                </c:pt>
                <c:pt idx="3">
                  <c:v>0.31415186498866854</c:v>
                </c:pt>
                <c:pt idx="4">
                  <c:v>0.21954242152953832</c:v>
                </c:pt>
                <c:pt idx="5">
                  <c:v>0.1915527472587574</c:v>
                </c:pt>
                <c:pt idx="6">
                  <c:v>0.28499768942382758</c:v>
                </c:pt>
                <c:pt idx="7">
                  <c:v>0.17397778809793563</c:v>
                </c:pt>
                <c:pt idx="8">
                  <c:v>0.15190890856374117</c:v>
                </c:pt>
                <c:pt idx="9">
                  <c:v>5.0584314236693613E-3</c:v>
                </c:pt>
                <c:pt idx="10">
                  <c:v>2.2476607774500976E-2</c:v>
                </c:pt>
                <c:pt idx="11">
                  <c:v>2.426334238910061E-2</c:v>
                </c:pt>
                <c:pt idx="12">
                  <c:v>2.2322329391823723E-4</c:v>
                </c:pt>
                <c:pt idx="13" formatCode="0.0">
                  <c:v>0</c:v>
                </c:pt>
                <c:pt idx="14">
                  <c:v>0.12187060468137652</c:v>
                </c:pt>
                <c:pt idx="15">
                  <c:v>3.0779118469776126E-3</c:v>
                </c:pt>
              </c:numCache>
            </c:numRef>
          </c:val>
          <c:smooth val="0"/>
          <c:extLst>
            <c:ext xmlns:c16="http://schemas.microsoft.com/office/drawing/2014/chart" uri="{C3380CC4-5D6E-409C-BE32-E72D297353CC}">
              <c16:uniqueId val="{00000002-A09C-4E9A-BE43-4DB1D6E5A490}"/>
            </c:ext>
          </c:extLst>
        </c:ser>
        <c:ser>
          <c:idx val="3"/>
          <c:order val="3"/>
          <c:tx>
            <c:strRef>
              <c:f>'Инфляция и ключевая ставка Банк'!$I$4</c:f>
              <c:strCache>
                <c:ptCount val="1"/>
                <c:pt idx="0">
                  <c:v>Красноярский край (ПАО «ГМК «Норильский никель»)</c:v>
                </c:pt>
              </c:strCache>
            </c:strRef>
          </c:tx>
          <c:spPr>
            <a:ln w="28575" cap="rnd">
              <a:solidFill>
                <a:schemeClr val="accent4"/>
              </a:solidFill>
              <a:round/>
            </a:ln>
            <a:effectLst/>
          </c:spPr>
          <c:marker>
            <c:symbol val="none"/>
          </c:marker>
          <c:cat>
            <c:numRef>
              <c:f>'Инфляция и ключевая ставка Банк'!$E$5:$E$20</c:f>
              <c:numCache>
                <c:formatCode>General</c:formatCode>
                <c:ptCount val="16"/>
                <c:pt idx="0">
                  <c:v>2009</c:v>
                </c:pt>
                <c:pt idx="1">
                  <c:v>2010</c:v>
                </c:pt>
                <c:pt idx="2">
                  <c:v>2011</c:v>
                </c:pt>
                <c:pt idx="3">
                  <c:v>2012</c:v>
                </c:pt>
                <c:pt idx="4">
                  <c:v>2013</c:v>
                </c:pt>
                <c:pt idx="5">
                  <c:v>2014</c:v>
                </c:pt>
                <c:pt idx="6">
                  <c:v>2015</c:v>
                </c:pt>
                <c:pt idx="7">
                  <c:v>2016</c:v>
                </c:pt>
                <c:pt idx="8">
                  <c:v>2017</c:v>
                </c:pt>
                <c:pt idx="9">
                  <c:v>2018</c:v>
                </c:pt>
                <c:pt idx="10">
                  <c:v>2019</c:v>
                </c:pt>
                <c:pt idx="11">
                  <c:v>2020</c:v>
                </c:pt>
                <c:pt idx="12">
                  <c:v>2021</c:v>
                </c:pt>
                <c:pt idx="13">
                  <c:v>2022</c:v>
                </c:pt>
                <c:pt idx="14">
                  <c:v>2023</c:v>
                </c:pt>
                <c:pt idx="15">
                  <c:v>2024</c:v>
                </c:pt>
              </c:numCache>
            </c:numRef>
          </c:cat>
          <c:val>
            <c:numRef>
              <c:f>'Инфляция и ключевая ставка Банк'!$I$5:$I$20</c:f>
              <c:numCache>
                <c:formatCode>0.000</c:formatCode>
                <c:ptCount val="16"/>
                <c:pt idx="0">
                  <c:v>0.15752060642076565</c:v>
                </c:pt>
                <c:pt idx="1">
                  <c:v>7.4597091359429657E-2</c:v>
                </c:pt>
                <c:pt idx="2">
                  <c:v>0.10571483161859239</c:v>
                </c:pt>
                <c:pt idx="3">
                  <c:v>0.18259667168017077</c:v>
                </c:pt>
                <c:pt idx="4">
                  <c:v>0.11390208558798173</c:v>
                </c:pt>
                <c:pt idx="5">
                  <c:v>0.23936885385734155</c:v>
                </c:pt>
                <c:pt idx="6">
                  <c:v>0.32654776962013315</c:v>
                </c:pt>
                <c:pt idx="7">
                  <c:v>0.22254859529502471</c:v>
                </c:pt>
                <c:pt idx="8">
                  <c:v>0.12142673840424109</c:v>
                </c:pt>
                <c:pt idx="9">
                  <c:v>6.3264495240221846E-2</c:v>
                </c:pt>
                <c:pt idx="10">
                  <c:v>0.12456271408789447</c:v>
                </c:pt>
                <c:pt idx="11">
                  <c:v>1.3193968657018509E-3</c:v>
                </c:pt>
                <c:pt idx="12">
                  <c:v>1.7443687733453908E-3</c:v>
                </c:pt>
                <c:pt idx="13">
                  <c:v>8.0951937473583164E-3</c:v>
                </c:pt>
                <c:pt idx="14">
                  <c:v>8.4597988488378326E-3</c:v>
                </c:pt>
                <c:pt idx="15">
                  <c:v>4.6385467653867221E-5</c:v>
                </c:pt>
              </c:numCache>
            </c:numRef>
          </c:val>
          <c:smooth val="0"/>
          <c:extLst>
            <c:ext xmlns:c16="http://schemas.microsoft.com/office/drawing/2014/chart" uri="{C3380CC4-5D6E-409C-BE32-E72D297353CC}">
              <c16:uniqueId val="{00000003-A09C-4E9A-BE43-4DB1D6E5A490}"/>
            </c:ext>
          </c:extLst>
        </c:ser>
        <c:ser>
          <c:idx val="4"/>
          <c:order val="4"/>
          <c:tx>
            <c:strRef>
              <c:f>'Инфляция и ключевая ставка Банк'!$J$4</c:f>
              <c:strCache>
                <c:ptCount val="1"/>
                <c:pt idx="0">
                  <c:v>Иркутская область (АО «РУСАЛ БРАТСК»)</c:v>
                </c:pt>
              </c:strCache>
            </c:strRef>
          </c:tx>
          <c:spPr>
            <a:ln w="28575" cap="rnd">
              <a:solidFill>
                <a:schemeClr val="accent5"/>
              </a:solidFill>
              <a:round/>
            </a:ln>
            <a:effectLst/>
          </c:spPr>
          <c:marker>
            <c:symbol val="none"/>
          </c:marker>
          <c:cat>
            <c:numRef>
              <c:f>'Инфляция и ключевая ставка Банк'!$E$5:$E$20</c:f>
              <c:numCache>
                <c:formatCode>General</c:formatCode>
                <c:ptCount val="16"/>
                <c:pt idx="0">
                  <c:v>2009</c:v>
                </c:pt>
                <c:pt idx="1">
                  <c:v>2010</c:v>
                </c:pt>
                <c:pt idx="2">
                  <c:v>2011</c:v>
                </c:pt>
                <c:pt idx="3">
                  <c:v>2012</c:v>
                </c:pt>
                <c:pt idx="4">
                  <c:v>2013</c:v>
                </c:pt>
                <c:pt idx="5">
                  <c:v>2014</c:v>
                </c:pt>
                <c:pt idx="6">
                  <c:v>2015</c:v>
                </c:pt>
                <c:pt idx="7">
                  <c:v>2016</c:v>
                </c:pt>
                <c:pt idx="8">
                  <c:v>2017</c:v>
                </c:pt>
                <c:pt idx="9">
                  <c:v>2018</c:v>
                </c:pt>
                <c:pt idx="10">
                  <c:v>2019</c:v>
                </c:pt>
                <c:pt idx="11">
                  <c:v>2020</c:v>
                </c:pt>
                <c:pt idx="12">
                  <c:v>2021</c:v>
                </c:pt>
                <c:pt idx="13">
                  <c:v>2022</c:v>
                </c:pt>
                <c:pt idx="14">
                  <c:v>2023</c:v>
                </c:pt>
                <c:pt idx="15">
                  <c:v>2024</c:v>
                </c:pt>
              </c:numCache>
            </c:numRef>
          </c:cat>
          <c:val>
            <c:numRef>
              <c:f>'Инфляция и ключевая ставка Банк'!$J$5:$J$20</c:f>
              <c:numCache>
                <c:formatCode>0.000</c:formatCode>
                <c:ptCount val="16"/>
                <c:pt idx="0">
                  <c:v>0.9566177630541095</c:v>
                </c:pt>
                <c:pt idx="1">
                  <c:v>0</c:v>
                </c:pt>
                <c:pt idx="2">
                  <c:v>0</c:v>
                </c:pt>
                <c:pt idx="3">
                  <c:v>0</c:v>
                </c:pt>
                <c:pt idx="4">
                  <c:v>0.79939903177341276</c:v>
                </c:pt>
                <c:pt idx="5">
                  <c:v>0.35810401260758878</c:v>
                </c:pt>
                <c:pt idx="6">
                  <c:v>0.12645805862663556</c:v>
                </c:pt>
                <c:pt idx="7">
                  <c:v>0.32104383471397024</c:v>
                </c:pt>
                <c:pt idx="8">
                  <c:v>0.22426544924389957</c:v>
                </c:pt>
                <c:pt idx="9">
                  <c:v>9.4958944608126025E-2</c:v>
                </c:pt>
                <c:pt idx="10">
                  <c:v>0.54191417229289207</c:v>
                </c:pt>
                <c:pt idx="11">
                  <c:v>0.41541879626585371</c:v>
                </c:pt>
                <c:pt idx="12">
                  <c:v>0.30686189462246877</c:v>
                </c:pt>
                <c:pt idx="13">
                  <c:v>0.27648322705849737</c:v>
                </c:pt>
                <c:pt idx="14">
                  <c:v>0.20552327389054328</c:v>
                </c:pt>
                <c:pt idx="15">
                  <c:v>0.123133340468559</c:v>
                </c:pt>
              </c:numCache>
            </c:numRef>
          </c:val>
          <c:smooth val="0"/>
          <c:extLst>
            <c:ext xmlns:c16="http://schemas.microsoft.com/office/drawing/2014/chart" uri="{C3380CC4-5D6E-409C-BE32-E72D297353CC}">
              <c16:uniqueId val="{00000004-A09C-4E9A-BE43-4DB1D6E5A490}"/>
            </c:ext>
          </c:extLst>
        </c:ser>
        <c:dLbls>
          <c:showLegendKey val="0"/>
          <c:showVal val="0"/>
          <c:showCatName val="0"/>
          <c:showSerName val="0"/>
          <c:showPercent val="0"/>
          <c:showBubbleSize val="0"/>
        </c:dLbls>
        <c:smooth val="0"/>
        <c:axId val="905093167"/>
        <c:axId val="905077359"/>
      </c:lineChart>
      <c:catAx>
        <c:axId val="9050931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ru-RU"/>
          </a:p>
        </c:txPr>
        <c:crossAx val="905077359"/>
        <c:crosses val="autoZero"/>
        <c:auto val="1"/>
        <c:lblAlgn val="ctr"/>
        <c:lblOffset val="100"/>
        <c:noMultiLvlLbl val="0"/>
      </c:catAx>
      <c:valAx>
        <c:axId val="905077359"/>
        <c:scaling>
          <c:orientation val="minMax"/>
        </c:scaling>
        <c:delete val="0"/>
        <c:axPos val="l"/>
        <c:majorGridlines>
          <c:spPr>
            <a:ln w="9525" cap="flat" cmpd="sng" algn="ctr">
              <a:solidFill>
                <a:schemeClr val="tx1">
                  <a:lumMod val="15000"/>
                  <a:lumOff val="85000"/>
                </a:schemeClr>
              </a:solidFill>
              <a:round/>
            </a:ln>
            <a:effectLst/>
          </c:spPr>
        </c:majorGridlines>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05093167"/>
        <c:crosses val="autoZero"/>
        <c:crossBetween val="between"/>
      </c:valAx>
      <c:spPr>
        <a:noFill/>
        <a:ln>
          <a:noFill/>
        </a:ln>
        <a:effectLst/>
      </c:spPr>
    </c:plotArea>
    <c:legend>
      <c:legendPos val="b"/>
      <c:layout>
        <c:manualLayout>
          <c:xMode val="edge"/>
          <c:yMode val="edge"/>
          <c:x val="1.3202753570394448E-2"/>
          <c:y val="0.82826063091923396"/>
          <c:w val="0.94749703440094901"/>
          <c:h val="0.14132111813019574"/>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4</Pages>
  <Words>1164</Words>
  <Characters>6638</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Гончарук Данила Сергеевич</cp:lastModifiedBy>
  <cp:revision>15</cp:revision>
  <dcterms:created xsi:type="dcterms:W3CDTF">2026-05-13T12:26:00Z</dcterms:created>
  <dcterms:modified xsi:type="dcterms:W3CDTF">2026-05-15T09:53:00Z</dcterms:modified>
</cp:coreProperties>
</file>