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5CA67" w14:textId="17E568BA" w:rsidR="00B5264F" w:rsidRDefault="00857344" w:rsidP="00B5264F">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УДК </w:t>
      </w:r>
      <w:r w:rsidRPr="00857344">
        <w:rPr>
          <w:rFonts w:ascii="Times New Roman" w:hAnsi="Times New Roman" w:cs="Times New Roman"/>
          <w:b/>
          <w:bCs/>
          <w:sz w:val="24"/>
          <w:szCs w:val="24"/>
        </w:rPr>
        <w:t>336.71.078.3</w:t>
      </w:r>
      <w:r w:rsidR="00BB5643">
        <w:rPr>
          <w:rFonts w:ascii="Times New Roman" w:hAnsi="Times New Roman" w:cs="Times New Roman"/>
          <w:b/>
          <w:bCs/>
          <w:sz w:val="24"/>
          <w:szCs w:val="24"/>
        </w:rPr>
        <w:t xml:space="preserve"> / ББК 65.050</w:t>
      </w:r>
      <w:r w:rsidRPr="00857344">
        <w:rPr>
          <w:rFonts w:ascii="Times New Roman" w:hAnsi="Times New Roman" w:cs="Times New Roman"/>
          <w:b/>
          <w:bCs/>
          <w:sz w:val="24"/>
          <w:szCs w:val="24"/>
        </w:rPr>
        <w:tab/>
      </w:r>
    </w:p>
    <w:p w14:paraId="60A6E50F" w14:textId="490B0586" w:rsidR="00197873" w:rsidRDefault="00B5264F" w:rsidP="00CA63FC">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Сибирякова Н.В.</w:t>
      </w:r>
    </w:p>
    <w:p w14:paraId="05BF6E2B" w14:textId="77777777" w:rsidR="00F37C43" w:rsidRPr="00F37C43" w:rsidRDefault="00F37C43" w:rsidP="00F37C43">
      <w:pPr>
        <w:spacing w:after="0" w:line="240" w:lineRule="auto"/>
        <w:jc w:val="center"/>
        <w:rPr>
          <w:rFonts w:ascii="Times New Roman" w:hAnsi="Times New Roman" w:cs="Times New Roman"/>
          <w:b/>
          <w:bCs/>
          <w:sz w:val="24"/>
          <w:szCs w:val="24"/>
        </w:rPr>
      </w:pPr>
      <w:r w:rsidRPr="00F37C43">
        <w:rPr>
          <w:rFonts w:ascii="Times New Roman" w:hAnsi="Times New Roman" w:cs="Times New Roman"/>
          <w:b/>
          <w:bCs/>
          <w:sz w:val="24"/>
          <w:szCs w:val="24"/>
        </w:rPr>
        <w:t>ПРОБЛЕМЫ ФОРМИРОВАНИЯ И РАЗВИТИЯ РЫНКА ФИНАНСОВЫХ УСЛУГ</w:t>
      </w:r>
    </w:p>
    <w:p w14:paraId="1BF22C1C" w14:textId="77777777" w:rsidR="00834476" w:rsidRDefault="00834476" w:rsidP="00F37C43">
      <w:pPr>
        <w:spacing w:after="0" w:line="240" w:lineRule="auto"/>
        <w:jc w:val="both"/>
        <w:rPr>
          <w:rFonts w:ascii="Times New Roman" w:hAnsi="Times New Roman" w:cs="Times New Roman"/>
          <w:sz w:val="24"/>
          <w:szCs w:val="24"/>
        </w:rPr>
      </w:pPr>
    </w:p>
    <w:p w14:paraId="3492E266" w14:textId="732A74A2" w:rsidR="00A542D8" w:rsidRDefault="00A542D8" w:rsidP="00A542D8">
      <w:pPr>
        <w:spacing w:after="0" w:line="240" w:lineRule="auto"/>
        <w:ind w:firstLine="709"/>
        <w:jc w:val="both"/>
        <w:rPr>
          <w:rFonts w:ascii="Times New Roman" w:hAnsi="Times New Roman" w:cs="Times New Roman"/>
          <w:sz w:val="24"/>
          <w:szCs w:val="24"/>
        </w:rPr>
      </w:pPr>
      <w:r w:rsidRPr="003D3EBD">
        <w:rPr>
          <w:rFonts w:ascii="Times New Roman" w:hAnsi="Times New Roman" w:cs="Times New Roman"/>
          <w:b/>
          <w:sz w:val="24"/>
          <w:szCs w:val="24"/>
        </w:rPr>
        <w:t>Аннотация</w:t>
      </w:r>
      <w:r w:rsidR="00007EA2">
        <w:rPr>
          <w:rFonts w:ascii="Times New Roman" w:hAnsi="Times New Roman" w:cs="Times New Roman"/>
          <w:b/>
          <w:sz w:val="24"/>
          <w:szCs w:val="24"/>
        </w:rPr>
        <w:t>.</w:t>
      </w:r>
      <w:r w:rsidR="00990E1D">
        <w:rPr>
          <w:rFonts w:ascii="Times New Roman" w:hAnsi="Times New Roman" w:cs="Times New Roman"/>
          <w:sz w:val="24"/>
          <w:szCs w:val="24"/>
        </w:rPr>
        <w:t xml:space="preserve"> </w:t>
      </w:r>
      <w:r w:rsidRPr="00F37C43">
        <w:rPr>
          <w:rFonts w:ascii="Times New Roman" w:hAnsi="Times New Roman" w:cs="Times New Roman"/>
          <w:sz w:val="24"/>
          <w:szCs w:val="24"/>
        </w:rPr>
        <w:t>Цель исследования</w:t>
      </w:r>
      <w:r w:rsidR="00D14B64">
        <w:rPr>
          <w:rFonts w:ascii="Times New Roman" w:hAnsi="Times New Roman" w:cs="Times New Roman"/>
          <w:sz w:val="24"/>
          <w:szCs w:val="24"/>
        </w:rPr>
        <w:t xml:space="preserve"> </w:t>
      </w:r>
      <w:r w:rsidRPr="00F37C43">
        <w:rPr>
          <w:rFonts w:ascii="Times New Roman" w:hAnsi="Times New Roman" w:cs="Times New Roman"/>
          <w:sz w:val="24"/>
          <w:szCs w:val="24"/>
        </w:rPr>
        <w:t>состоит в комплексном анализе проблем формирования и развития рынка финансовых услуг в Российской Федерации, выявлении системных ограничений его функционирования, определении ключевых противоречий современного этапа и обосновании</w:t>
      </w:r>
      <w:r w:rsidR="00BB5643">
        <w:rPr>
          <w:rFonts w:ascii="Times New Roman" w:hAnsi="Times New Roman" w:cs="Times New Roman"/>
          <w:sz w:val="24"/>
          <w:szCs w:val="24"/>
        </w:rPr>
        <w:t xml:space="preserve"> </w:t>
      </w:r>
      <w:r w:rsidRPr="00F37C43">
        <w:rPr>
          <w:rFonts w:ascii="Times New Roman" w:hAnsi="Times New Roman" w:cs="Times New Roman"/>
          <w:sz w:val="24"/>
          <w:szCs w:val="24"/>
        </w:rPr>
        <w:t>направлений совершенствования данной сферы.</w:t>
      </w:r>
    </w:p>
    <w:p w14:paraId="02042DB0" w14:textId="13A2B7D7" w:rsidR="00A542D8" w:rsidRPr="00A542D8" w:rsidRDefault="00A542D8" w:rsidP="00F37C43">
      <w:pPr>
        <w:spacing w:after="0" w:line="240" w:lineRule="auto"/>
        <w:ind w:firstLine="709"/>
        <w:jc w:val="both"/>
        <w:rPr>
          <w:rFonts w:ascii="Times New Roman" w:hAnsi="Times New Roman" w:cs="Times New Roman"/>
          <w:sz w:val="24"/>
          <w:szCs w:val="24"/>
        </w:rPr>
      </w:pPr>
      <w:r w:rsidRPr="003D3EBD">
        <w:rPr>
          <w:rFonts w:ascii="Times New Roman" w:hAnsi="Times New Roman" w:cs="Times New Roman"/>
          <w:b/>
          <w:sz w:val="24"/>
          <w:szCs w:val="24"/>
        </w:rPr>
        <w:t>Ключевые слова:</w:t>
      </w:r>
      <w:r>
        <w:rPr>
          <w:rFonts w:ascii="Times New Roman" w:hAnsi="Times New Roman" w:cs="Times New Roman"/>
          <w:sz w:val="24"/>
          <w:szCs w:val="24"/>
        </w:rPr>
        <w:t xml:space="preserve"> рынок финансовых услуг, инвестиции, </w:t>
      </w:r>
      <w:r w:rsidRPr="00F37C43">
        <w:rPr>
          <w:rFonts w:ascii="Times New Roman" w:hAnsi="Times New Roman" w:cs="Times New Roman"/>
          <w:sz w:val="24"/>
          <w:szCs w:val="24"/>
        </w:rPr>
        <w:t>банковоцентричность</w:t>
      </w:r>
      <w:r w:rsidR="00F74E6A">
        <w:rPr>
          <w:rFonts w:ascii="Times New Roman" w:hAnsi="Times New Roman" w:cs="Times New Roman"/>
          <w:sz w:val="24"/>
          <w:szCs w:val="24"/>
        </w:rPr>
        <w:t>, финансовый рынок, банковский сектор, система быстрых платежей.</w:t>
      </w:r>
    </w:p>
    <w:p w14:paraId="7559691D" w14:textId="77777777" w:rsidR="00A542D8" w:rsidRDefault="00A542D8" w:rsidP="00F37C43">
      <w:pPr>
        <w:spacing w:after="0" w:line="240" w:lineRule="auto"/>
        <w:ind w:firstLine="709"/>
        <w:jc w:val="both"/>
        <w:rPr>
          <w:rFonts w:ascii="Times New Roman" w:hAnsi="Times New Roman" w:cs="Times New Roman"/>
          <w:sz w:val="24"/>
          <w:szCs w:val="24"/>
        </w:rPr>
      </w:pPr>
    </w:p>
    <w:p w14:paraId="022275E0" w14:textId="77777777" w:rsidR="00F37C43" w:rsidRP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Актуальность исследования проблем формирования и развития рынка финансовых услуг в Российской Федерации обусловлена тем, что данный рынок в современных условиях выступает не только сферой обращения банковских, страховых, инвестиционных, расчетных и иных специализированных продуктов, но и одним из ключевых механизмов перераспределения денежных ресурсов в национальной экономике. Через институты финансового рынка обеспечиваются аккумуляция временно свободных денежных средств, трансформация сбережений в инвестиции, обслуживание расчетного оборота, поддержание предпринимательской активности, стимулирование потребительского спроса и повышение общей устойчивости хозяйственной системы. Вследствие этого состояние рынка финансовых услуг непосредственно отражается на качестве экономического роста, уровне деловой активности, инвестиционном климате, доступности финансовых ресурсов для населения и организаций, а также на способности государства реализовывать стратегические задачи социально-экономического развития.</w:t>
      </w:r>
    </w:p>
    <w:p w14:paraId="7F10D1FC" w14:textId="2CD176F8" w:rsidR="00F37C43" w:rsidRP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Особую значимость исследуемая проблематика приобретает в условиях структурной трансформации российской экономики, ускоренного внедрения цифровых технологий, изменения модели государственного регулирования, усиления внешних ограничений и повышения требований к устойчивости финансовых институтов. Формирование современного рынка финансовых услуг в Российской Федерации происходит под воздействием противоречивых тенденций. С одной стороны, наблюдаются расширение спектра финансовых продуктов, развитие дистанционных сервисов, рост значения экосистем, совершенствование платежной инфраструктуры, распространение цифровых платформ и повышение роли небанковских участников. С другой стороны, сохраняются институциональные диспропорции, территориальная неравномерность доступа к качественным финансовым услугам, недостаточный уровень доверия части населения к финансовым посредникам, высокая зависимость ряда сегментов от регуляторных решений, ограниченность</w:t>
      </w:r>
      <w:r w:rsidR="0063692D">
        <w:rPr>
          <w:rFonts w:ascii="Times New Roman" w:hAnsi="Times New Roman" w:cs="Times New Roman"/>
          <w:sz w:val="24"/>
          <w:szCs w:val="24"/>
        </w:rPr>
        <w:t xml:space="preserve"> </w:t>
      </w:r>
      <w:r w:rsidRPr="00F37C43">
        <w:rPr>
          <w:rFonts w:ascii="Times New Roman" w:hAnsi="Times New Roman" w:cs="Times New Roman"/>
          <w:sz w:val="24"/>
          <w:szCs w:val="24"/>
        </w:rPr>
        <w:t>финансовых ресурсов и недостаточная вовлеченность</w:t>
      </w:r>
      <w:r w:rsidR="0063692D">
        <w:rPr>
          <w:rFonts w:ascii="Times New Roman" w:hAnsi="Times New Roman" w:cs="Times New Roman"/>
          <w:sz w:val="24"/>
          <w:szCs w:val="24"/>
        </w:rPr>
        <w:t xml:space="preserve"> </w:t>
      </w:r>
      <w:r w:rsidRPr="00F37C43">
        <w:rPr>
          <w:rFonts w:ascii="Times New Roman" w:hAnsi="Times New Roman" w:cs="Times New Roman"/>
          <w:sz w:val="24"/>
          <w:szCs w:val="24"/>
        </w:rPr>
        <w:t>в легальные инвестиционные инструменты. Указанные обстоятельства предопределяют необходимость углубленного научного осмысления факторов, препятствующих полноценному развитию рынка финансовых услуг, а также поиска направлений его качественного обновления.</w:t>
      </w:r>
    </w:p>
    <w:p w14:paraId="4354B8EB" w14:textId="0AF41DB9" w:rsid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Существенный вклад в изучение общих закономерностей развития финансовых отношений, финансовых институтов и рыночных механизмов внесли Л. И. Абалкин, А. Г. Аганбегян, О. И. Лаврушин, Г. Б. Поляк, В. В. Ковалев, И. Т. Балабанов, М. В. Романовский, С. А. Белозеров, Я. М. Миркин, С. Ю. Глазьев, М. А. Эскиндаров, А. Д. Шеремет, Е. Ф. Жуков, В. М. Родионова, В. В. Бочаров, Н. Г. Сычев, И. А. Бланк. Вопросы институциональной организации финансового рынка, его сегментации, регулирования и обеспечения устойчивости финансовых посредников рассматривались также в трудах Г. Н. Белоглазовой, А. М. Тавасиева, А. В. Молчанова, Т. Э. Рождественской, Н. И. Берзона, В. Д. Миловидова, Д. А. Панова и других исследователей. Среди зарубежных ученых, оказавших влияние на теоретическое осмысление финансовых рынков и финансового посредничества, следует назвать Юджина Фаму, Роберта Мертона, Джозефа Стиглица, Дугласа Норта, Рональда Маккиннона, Эдварда Шоу, Фредерика Мишкина и Хаймана Мински.</w:t>
      </w:r>
    </w:p>
    <w:p w14:paraId="2446F068" w14:textId="77777777" w:rsidR="00F37C43" w:rsidRP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lastRenderedPageBreak/>
        <w:t xml:space="preserve">Рынок финансовых услуг в Российской Федерации представляет собой одну из базовых институциональных подсистем национальной экономики, поскольку именно через него осуществляется перераспределение денежных ресурсов между секторами хозяйства, трансформация сбережений в инвестиции, обслуживание платежного оборота, страховая защита имущественных интересов и формирование каналов долгосрочного финансирования. Современное состояние данного рынка определяется сочетанием нескольких разнонаправленных тенденций. С одной стороны, наблюдаются технологическое усложнение финансовых сервисов, рост безналичных расчетов, расширение дистанционного доступа к банковским, страховым и инвестиционным продуктам, развитие инфраструктуры быстрых платежей и усиление роли розничного инвестора. С другой стороны, рынок сохраняет структурные ограничения: высокую концентрацию ресурсов у крупнейших участников, зависимость многих сегментов от регуляторной поддержки, неодинаковую доступность услуг по территориям, дефицит длинных денег, сохраняющиеся проблемы мисселинга, асимметрии информации и недостаточного доверия потребителей к сложным финансовым продуктам. Банк России в среднесрочных направлениях развития финансового рынка прямо связывает его дальнейшую эволюцию с повышением доступности услуг, доверием потребителей, трансформацией сбережений в инвестиции и устойчивостью инфраструктуры, что показывает системный, а не отраслевой характер рассматриваемой проблемы. </w:t>
      </w:r>
    </w:p>
    <w:p w14:paraId="13603BC7" w14:textId="77777777" w:rsidR="00F37C43" w:rsidRP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С экономической точки зрения первая крупная проблема формирования рынка финансовых услуг в Российской Федерации связана с его исторически сложившейся банковоцентричностью. Банковский сектор по-прежнему играет доминирующую роль в перераспределении ликвидности, в обслуживании платежей и в кредитном обеспечении хозяйственного оборота, тогда как небанковские каналы финансирования и страховой защиты развиваются неравномерно. Такая модель имеет очевидные преимущества на этапе институционального становления, поскольку именно банки способны быстро масштабировать инфраструктуру и обеспечивать унифицированный доступ к базовым услугам. Однако на более зрелой стадии банковоцентричность начинает выступать фактором ограничения, так как зависимость экономики от банковского кредита увеличивает чувствительность рынка к процентной политике, удорожанию фондирования и регуляторным ограничениям. По официальным материалам Банка России, в 2024 году финансовый сектор функционировал в условиях высокой инфляции и ужесточения денежно-кредитной политики; ключевая ставка была повышена до 21 процента для сдерживания инфляционного давления. В такой среде кредит становится дороже, а спрос на отдельные финансовые продукты смещается в сторону краткосрочных и менее рискованных форм размещения средств. Это означает, что развитие рынка финансовых услуг не может опираться только на кредитную экспансию банков и требует более глубокой диверсификации источников фондирования через страховые, инвестиционные, пенсионные и иные долгосрочные механизмы.</w:t>
      </w:r>
    </w:p>
    <w:p w14:paraId="6DE20D1E" w14:textId="4F4429E3" w:rsidR="00F37C43" w:rsidRPr="00AF74F7"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 xml:space="preserve">Вторая системная проблема заключается в противоречии между количественным ростом отдельных сегментов и качеством их институционального наполнения. Так, банковский сектор по итогам 2024 года показал высокую прибыльность, а средства населения в банках без учета счетов эскроу достигли 57,5 триллиона рублей, увеличившись на 26,1 процента к предыдущему году. На первый взгляд это можно интерпретировать как свидетельство высокой устойчивости и доверия населения к финансовой системе. Однако более глубокий анализ показывает двойственность такой динамики. Рост депозитной базы в условиях повышенных ставок нередко означает не столько расширение инвестиционного потенциала рынка, сколько реакцию домохозяйств на неопределенность и поиск инструментов сохранения ликвидности. Иными словами, накопление средств в банках еще не тождественно эффективному развитию рынка финансовых услуг, если за ним не следует их трансформация в долгосрочные инвестиции, модернизацию производства, страховую защиту и развитие реального сектора. В этом проявляется одно из ключевых противоречий российского финансового рынка: значительный объем аккумулируемых ресурсов </w:t>
      </w:r>
      <w:r w:rsidRPr="00F37C43">
        <w:rPr>
          <w:rFonts w:ascii="Times New Roman" w:hAnsi="Times New Roman" w:cs="Times New Roman"/>
          <w:sz w:val="24"/>
          <w:szCs w:val="24"/>
        </w:rPr>
        <w:lastRenderedPageBreak/>
        <w:t>сосуществует с дефицитом механизмов их длительного и предсказуемого размещения в экономике</w:t>
      </w:r>
      <w:r w:rsidR="00AF74F7" w:rsidRPr="00AF74F7">
        <w:rPr>
          <w:rFonts w:ascii="Times New Roman" w:hAnsi="Times New Roman" w:cs="Times New Roman"/>
          <w:sz w:val="24"/>
          <w:szCs w:val="24"/>
        </w:rPr>
        <w:t xml:space="preserve"> [</w:t>
      </w:r>
      <w:r w:rsidR="001568C0">
        <w:rPr>
          <w:rFonts w:ascii="Times New Roman" w:hAnsi="Times New Roman" w:cs="Times New Roman"/>
          <w:sz w:val="24"/>
          <w:szCs w:val="24"/>
        </w:rPr>
        <w:t>1</w:t>
      </w:r>
      <w:r w:rsidR="00AF74F7" w:rsidRPr="00AF74F7">
        <w:rPr>
          <w:rFonts w:ascii="Times New Roman" w:hAnsi="Times New Roman" w:cs="Times New Roman"/>
          <w:sz w:val="24"/>
          <w:szCs w:val="24"/>
        </w:rPr>
        <w:t xml:space="preserve">, </w:t>
      </w:r>
      <w:r w:rsidR="00AF74F7">
        <w:rPr>
          <w:rFonts w:ascii="Times New Roman" w:hAnsi="Times New Roman" w:cs="Times New Roman"/>
          <w:sz w:val="24"/>
          <w:szCs w:val="24"/>
          <w:lang w:val="en-US"/>
        </w:rPr>
        <w:t>c</w:t>
      </w:r>
      <w:r w:rsidR="00AF74F7" w:rsidRPr="00AF74F7">
        <w:rPr>
          <w:rFonts w:ascii="Times New Roman" w:hAnsi="Times New Roman" w:cs="Times New Roman"/>
          <w:sz w:val="24"/>
          <w:szCs w:val="24"/>
        </w:rPr>
        <w:t>. 276].</w:t>
      </w:r>
    </w:p>
    <w:p w14:paraId="141E3136" w14:textId="7D1C6A3B" w:rsidR="00F37C43" w:rsidRP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Особого внимания заслуживает проблема слабой глубины долгосрочного финансового посредничества. Банк России в Основных направлениях развития финансового рынка на 2024–2026 годы и в проекте на 2025–2027 годы прямо подчеркивает необходимость трансформации сбережений в инвестиции и формирования источников долгосрочного капитала для значимых проектов. Это означает, что регулятор сам фиксирует структурный дефицит инвестиционной емкости рынка. В научной литературе данная проблема традиционно рассматривается через призму неразвитости институциональных инвесторов, ограниченного предложения надежных длинных инструментов, преобладания краткосрочных горизонтов у населения и бизнеса</w:t>
      </w:r>
      <w:r w:rsidR="00E4097D">
        <w:rPr>
          <w:rFonts w:ascii="Times New Roman" w:hAnsi="Times New Roman" w:cs="Times New Roman"/>
          <w:sz w:val="24"/>
          <w:szCs w:val="24"/>
        </w:rPr>
        <w:t xml:space="preserve">. </w:t>
      </w:r>
      <w:r w:rsidRPr="00F37C43">
        <w:rPr>
          <w:rFonts w:ascii="Times New Roman" w:hAnsi="Times New Roman" w:cs="Times New Roman"/>
          <w:sz w:val="24"/>
          <w:szCs w:val="24"/>
        </w:rPr>
        <w:t>Практика подтверждает этот вывод. В результате рынок растет по числу участников быстрее, чем по зрелости финансового поведения.</w:t>
      </w:r>
    </w:p>
    <w:p w14:paraId="65529B17" w14:textId="194631B2" w:rsidR="00F37C43" w:rsidRPr="00AF74F7"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 xml:space="preserve">Показателен в этом отношении сегмент розничных инвестиций. По данным Московской биржи, к ноябрю 2025 года число физических лиц с брокерскими счетами достигло 39,7 миллиона, а число счетов </w:t>
      </w:r>
      <w:r w:rsidR="00AF74F7">
        <w:rPr>
          <w:rFonts w:ascii="Times New Roman" w:hAnsi="Times New Roman" w:cs="Times New Roman"/>
          <w:sz w:val="24"/>
          <w:szCs w:val="24"/>
        </w:rPr>
        <w:t>–</w:t>
      </w:r>
      <w:r w:rsidRPr="00F37C43">
        <w:rPr>
          <w:rFonts w:ascii="Times New Roman" w:hAnsi="Times New Roman" w:cs="Times New Roman"/>
          <w:sz w:val="24"/>
          <w:szCs w:val="24"/>
        </w:rPr>
        <w:t xml:space="preserve"> 75 миллионов; при этом сделки в ноябре совершали 2,8 миллиона человек. Уже эти цифры демонстрируют существенный разрыв между формальным присутствием на рынке и активным, осмысленным участием в нем. Банк России дополнительно указывает, что в 2025 году нетто-взносы физических лиц на брокерские счета достигли 2,5 триллиона рублей, став максимальными с начала наблюдений, однако средний размер счета без учета небольших счетов существенно не менялся и составлял 2,2 миллиона рублей. Из этого следует важный научный вывод: расширение клиентской базы фондового рынка еще не означает автоматического решения задачи инвестиционной мобилизации внутренних сбережений. Без развития культуры долгосрочного инвестирования, понятных продуктов, адекватного раскрытия риска и надежных защитных механизмов быстрый рост числа счетов может сопровождаться поверхностным включением граждан в рынок и повышенной чувствительностью к волатильности</w:t>
      </w:r>
      <w:r w:rsidR="00AF74F7" w:rsidRPr="00AF74F7">
        <w:rPr>
          <w:rFonts w:ascii="Times New Roman" w:hAnsi="Times New Roman" w:cs="Times New Roman"/>
          <w:sz w:val="24"/>
          <w:szCs w:val="24"/>
        </w:rPr>
        <w:t xml:space="preserve"> [</w:t>
      </w:r>
      <w:r w:rsidR="001568C0">
        <w:rPr>
          <w:rFonts w:ascii="Times New Roman" w:hAnsi="Times New Roman" w:cs="Times New Roman"/>
          <w:sz w:val="24"/>
          <w:szCs w:val="24"/>
        </w:rPr>
        <w:t>2</w:t>
      </w:r>
      <w:r w:rsidR="00AF74F7" w:rsidRPr="00AF74F7">
        <w:rPr>
          <w:rFonts w:ascii="Times New Roman" w:hAnsi="Times New Roman" w:cs="Times New Roman"/>
          <w:sz w:val="24"/>
          <w:szCs w:val="24"/>
        </w:rPr>
        <w:t xml:space="preserve">, </w:t>
      </w:r>
      <w:r w:rsidR="00AF74F7">
        <w:rPr>
          <w:rFonts w:ascii="Times New Roman" w:hAnsi="Times New Roman" w:cs="Times New Roman"/>
          <w:sz w:val="24"/>
          <w:szCs w:val="24"/>
          <w:lang w:val="en-US"/>
        </w:rPr>
        <w:t>c</w:t>
      </w:r>
      <w:r w:rsidR="00AF74F7" w:rsidRPr="00AF74F7">
        <w:rPr>
          <w:rFonts w:ascii="Times New Roman" w:hAnsi="Times New Roman" w:cs="Times New Roman"/>
          <w:sz w:val="24"/>
          <w:szCs w:val="24"/>
        </w:rPr>
        <w:t>. 118].</w:t>
      </w:r>
    </w:p>
    <w:p w14:paraId="2D149D38" w14:textId="77777777" w:rsidR="00F37C43"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Третья крупная проблема относится к неравномерности развития сегментов финансового рынка. Банковские услуги и платежные сервисы в Российской Федерации развиваются заметно быстрее многих других направлений, тогда как страхование, коллективные инвестиции, часть долгосрочных сберегательных инструментов и отдельные небанковские сервисы демонстрируют иную траекторию зрелости. Так, страховой рынок в 2024 году вырос весьма существенно: объем страховых взносов достиг 3,7 триллиона рублей, увеличившись на 62,8 процента, причем главным драйвером стало страхование жизни. Одновременно Банк России отмечал рост добровольного медицинского страхования, автострахования и корпоративных видов страхования. Но сама по себе высокая динамика страховых премий не снимает вопроса о качестве страховой защиты и сбалансированности структуры рынка. Когда прирост обеспечивается преимущественно отдельными сегментами, связанными с инвестиционно-накопительными мотивами или с кредитными продажами, возникает риск статистического благополучия при сохраняющейся ограниченности глубокой страховой культуры и неравномерном развитии классического риск-ориентированного страхования. Иначе говоря, важен не только объем рынка, но и то, какие именно потребности он покрывает и насколько прозрачен для страхователя.</w:t>
      </w:r>
    </w:p>
    <w:p w14:paraId="0AE03B59" w14:textId="2556987A" w:rsidR="00F37C43" w:rsidRPr="00AF74F7" w:rsidRDefault="00F37C43" w:rsidP="00F37C43">
      <w:pPr>
        <w:spacing w:after="0" w:line="240" w:lineRule="auto"/>
        <w:ind w:firstLine="709"/>
        <w:jc w:val="both"/>
        <w:rPr>
          <w:rFonts w:ascii="Times New Roman" w:hAnsi="Times New Roman" w:cs="Times New Roman"/>
          <w:sz w:val="24"/>
          <w:szCs w:val="24"/>
        </w:rPr>
      </w:pPr>
      <w:r w:rsidRPr="00F37C43">
        <w:rPr>
          <w:rFonts w:ascii="Times New Roman" w:hAnsi="Times New Roman" w:cs="Times New Roman"/>
          <w:sz w:val="24"/>
          <w:szCs w:val="24"/>
        </w:rPr>
        <w:t xml:space="preserve">Четвертая проблема связана с асимметрией информации и защитой прав потребителей финансовых услуг. Наиболее развитая инфраструктура не устраняет автоматически риск недобросовестных продаж, навязывания дополнительных услуг, непрозрачности условий и сложностей при разрешении споров. По данным Банка России, в 2024 году общее количество жалоб потребителей финансовых услуг составило 338 тысяч против 325 тысяч в 2023 году. При этом число жалоб на банки по вопросам потребительского кредитования составило 35,4 тысячи, а по ипотечному кредитованию </w:t>
      </w:r>
      <w:r w:rsidR="00AF74F7">
        <w:rPr>
          <w:rFonts w:ascii="Times New Roman" w:hAnsi="Times New Roman" w:cs="Times New Roman"/>
          <w:sz w:val="24"/>
          <w:szCs w:val="24"/>
        </w:rPr>
        <w:t>–</w:t>
      </w:r>
      <w:r w:rsidRPr="00F37C43">
        <w:rPr>
          <w:rFonts w:ascii="Times New Roman" w:hAnsi="Times New Roman" w:cs="Times New Roman"/>
          <w:sz w:val="24"/>
          <w:szCs w:val="24"/>
        </w:rPr>
        <w:t xml:space="preserve"> 14,3 тысячи. Эти данные показывают, что даже при институциональной зрелости крупнейших участников рынка конфликтность</w:t>
      </w:r>
      <w:r w:rsidR="001766CA" w:rsidRPr="001766CA">
        <w:rPr>
          <w:rFonts w:ascii="Times New Roman" w:hAnsi="Times New Roman" w:cs="Times New Roman"/>
          <w:sz w:val="24"/>
          <w:szCs w:val="24"/>
        </w:rPr>
        <w:t xml:space="preserve"> </w:t>
      </w:r>
      <w:r w:rsidRPr="00F37C43">
        <w:rPr>
          <w:rFonts w:ascii="Times New Roman" w:hAnsi="Times New Roman" w:cs="Times New Roman"/>
          <w:sz w:val="24"/>
          <w:szCs w:val="24"/>
        </w:rPr>
        <w:t xml:space="preserve">взаимоотношений между поставщиком услуги и клиентом остается высокой. Одновременно Банк России сообщает о снижении числа случаев мисселинга и жалоб на навязывание </w:t>
      </w:r>
      <w:r w:rsidRPr="00F37C43">
        <w:rPr>
          <w:rFonts w:ascii="Times New Roman" w:hAnsi="Times New Roman" w:cs="Times New Roman"/>
          <w:sz w:val="24"/>
          <w:szCs w:val="24"/>
        </w:rPr>
        <w:lastRenderedPageBreak/>
        <w:t>дополнительных услуг, что свидетельствует о наличии положительных сдвигов, но не об окончательном решении проблемы. Научно это позволяет сделать вывод о переходе российского рынка финансовых услуг в стадию, где центральным становится не только вопрос доступности продукта, но и вопрос его справедливой архитектуры, понятности условий и реальной соразмерности риска ожиданиям потребителя</w:t>
      </w:r>
      <w:r w:rsidR="00AF74F7" w:rsidRPr="00AF74F7">
        <w:rPr>
          <w:rFonts w:ascii="Times New Roman" w:hAnsi="Times New Roman" w:cs="Times New Roman"/>
          <w:sz w:val="24"/>
          <w:szCs w:val="24"/>
        </w:rPr>
        <w:t xml:space="preserve"> [</w:t>
      </w:r>
      <w:r w:rsidR="001568C0">
        <w:rPr>
          <w:rFonts w:ascii="Times New Roman" w:hAnsi="Times New Roman" w:cs="Times New Roman"/>
          <w:sz w:val="24"/>
          <w:szCs w:val="24"/>
        </w:rPr>
        <w:t>3</w:t>
      </w:r>
      <w:r w:rsidR="00AF74F7" w:rsidRPr="00AF74F7">
        <w:rPr>
          <w:rFonts w:ascii="Times New Roman" w:hAnsi="Times New Roman" w:cs="Times New Roman"/>
          <w:sz w:val="24"/>
          <w:szCs w:val="24"/>
        </w:rPr>
        <w:t xml:space="preserve">, </w:t>
      </w:r>
      <w:r w:rsidR="00AF74F7">
        <w:rPr>
          <w:rFonts w:ascii="Times New Roman" w:hAnsi="Times New Roman" w:cs="Times New Roman"/>
          <w:sz w:val="24"/>
          <w:szCs w:val="24"/>
          <w:lang w:val="en-US"/>
        </w:rPr>
        <w:t>c</w:t>
      </w:r>
      <w:r w:rsidR="00AF74F7" w:rsidRPr="00AF74F7">
        <w:rPr>
          <w:rFonts w:ascii="Times New Roman" w:hAnsi="Times New Roman" w:cs="Times New Roman"/>
          <w:sz w:val="24"/>
          <w:szCs w:val="24"/>
        </w:rPr>
        <w:t>. 26].</w:t>
      </w:r>
    </w:p>
    <w:p w14:paraId="57517C2E" w14:textId="77777777" w:rsidR="00F37C43" w:rsidRDefault="00AF74F7" w:rsidP="00F37C43">
      <w:pPr>
        <w:spacing w:after="0" w:line="240" w:lineRule="auto"/>
        <w:ind w:firstLine="709"/>
        <w:jc w:val="both"/>
        <w:rPr>
          <w:rFonts w:ascii="Times New Roman" w:hAnsi="Times New Roman" w:cs="Times New Roman"/>
          <w:sz w:val="24"/>
          <w:szCs w:val="24"/>
        </w:rPr>
      </w:pPr>
      <w:r w:rsidRPr="00AF74F7">
        <w:rPr>
          <w:rFonts w:ascii="Times New Roman" w:hAnsi="Times New Roman" w:cs="Times New Roman"/>
          <w:sz w:val="24"/>
          <w:szCs w:val="24"/>
        </w:rPr>
        <w:t xml:space="preserve">Если перейти к практике, то можно выделить несколько показательных примеров. Первый пример </w:t>
      </w:r>
      <w:r>
        <w:rPr>
          <w:rFonts w:ascii="Times New Roman" w:hAnsi="Times New Roman" w:cs="Times New Roman"/>
          <w:sz w:val="24"/>
          <w:szCs w:val="24"/>
        </w:rPr>
        <w:t>–</w:t>
      </w:r>
      <w:r w:rsidRPr="00AF74F7">
        <w:rPr>
          <w:rFonts w:ascii="Times New Roman" w:hAnsi="Times New Roman" w:cs="Times New Roman"/>
          <w:sz w:val="24"/>
          <w:szCs w:val="24"/>
        </w:rPr>
        <w:t xml:space="preserve"> развитие Системы быстрых платежей. Она демонстрирует, что государственно регулируемая инфраструктурная инновация способна резко повысить удобство и снизить стоимость массовой финансовой услуги. Это пример успешного формирования нового сегмента через сочетание технологической платформы, тарифной политики и регуляторного сопровождения. Второй пример </w:t>
      </w:r>
      <w:r>
        <w:rPr>
          <w:rFonts w:ascii="Times New Roman" w:hAnsi="Times New Roman" w:cs="Times New Roman"/>
          <w:sz w:val="24"/>
          <w:szCs w:val="24"/>
        </w:rPr>
        <w:t>–</w:t>
      </w:r>
      <w:r w:rsidRPr="00AF74F7">
        <w:rPr>
          <w:rFonts w:ascii="Times New Roman" w:hAnsi="Times New Roman" w:cs="Times New Roman"/>
          <w:sz w:val="24"/>
          <w:szCs w:val="24"/>
        </w:rPr>
        <w:t xml:space="preserve"> рост страховых взносов в 2024 году. Он показывает, что рынок может быстро наращивать объем, но этот рост нуждается в содержательной интерпретации: важно понимать, является ли он следствием расширения подлинной страховой защиты или результатом конъюнктурных факторов и продукта-заменителя. Третий пример </w:t>
      </w:r>
      <w:r>
        <w:rPr>
          <w:rFonts w:ascii="Times New Roman" w:hAnsi="Times New Roman" w:cs="Times New Roman"/>
          <w:sz w:val="24"/>
          <w:szCs w:val="24"/>
        </w:rPr>
        <w:t>–</w:t>
      </w:r>
      <w:r w:rsidRPr="00AF74F7">
        <w:rPr>
          <w:rFonts w:ascii="Times New Roman" w:hAnsi="Times New Roman" w:cs="Times New Roman"/>
          <w:sz w:val="24"/>
          <w:szCs w:val="24"/>
        </w:rPr>
        <w:t xml:space="preserve"> рост числа розничных инвесторов. Он свидетельствует об институциональном расширении фондового рынка, но также показывает, что количественное вовлечение граждан не равнозначно формированию зрелого инвестиционного сообщества. Все три примера подтверждают общий вывод: развитие рынка финансовых услуг не сводится к росту статистических показателей; решающее значение имеет качество институциональных связей между продуктом, потребителем, инфраструктурой и надзором.</w:t>
      </w:r>
    </w:p>
    <w:p w14:paraId="6C15C90D" w14:textId="3F6C7FC6" w:rsidR="00AF74F7" w:rsidRPr="00AF74F7" w:rsidRDefault="00AF74F7" w:rsidP="00AF74F7">
      <w:pPr>
        <w:spacing w:after="0" w:line="240" w:lineRule="auto"/>
        <w:ind w:firstLine="709"/>
        <w:jc w:val="both"/>
        <w:rPr>
          <w:rFonts w:ascii="Times New Roman" w:hAnsi="Times New Roman" w:cs="Times New Roman"/>
          <w:sz w:val="24"/>
          <w:szCs w:val="24"/>
        </w:rPr>
      </w:pPr>
      <w:r w:rsidRPr="00AF74F7">
        <w:rPr>
          <w:rFonts w:ascii="Times New Roman" w:hAnsi="Times New Roman" w:cs="Times New Roman"/>
          <w:sz w:val="24"/>
          <w:szCs w:val="24"/>
        </w:rPr>
        <w:t>Пути решения обозначенных проблем должны носить системный характер. Прежде всего требуется углубление межсегментной координации регулирования. Банковские, страховые, инвестиционные, платежные и цифровые сервисы уже не могут развиваться как обособленные миры; следовательно, надзорные подходы должны учитывать совмещенный характер продуктов и платформ. Далее необходимо последовательно расширять инструменты долгосрочных сбережений и инвестирования, делая их не только доходными, но и понятными для массового потребителя. Ключевое значение имеет повышение качества раскрытия информации: не формальное увеличение объема документов, а переход к ясной, стандартизированной и сопоставимой презентации риска, стоимости и ограничений продукта. В сфере защиты потребителя следует усиливать превентивный контроль за навязыванием услуг, мисселингом и непрозрачными комиссиями, одновременно развивая быстрые досудебные механизмы восстановления нарушенного права. В технологической сфере целесообразно продолжать развитие национальной платежной инфраструктуры, но с одновременным усилением стандартов киберустойчивости, защиты данных. Наконец, для уменьшения концентрации необходимо создавать условия, при которых инновация будет доступна не только крупнейшим экосистемам, но и иным участникам рынка через открытые интерфейсы, совместимую инфраструктуру и пропорциональное регулирование. Эти направления в целом согласуются с курсом Банка России на повышение доступности, доверия, конкуренции и инвестиционной функции финансового рынка [</w:t>
      </w:r>
      <w:r w:rsidR="001568C0">
        <w:rPr>
          <w:rFonts w:ascii="Times New Roman" w:hAnsi="Times New Roman" w:cs="Times New Roman"/>
          <w:sz w:val="24"/>
          <w:szCs w:val="24"/>
        </w:rPr>
        <w:t>4</w:t>
      </w:r>
      <w:r w:rsidRPr="00AF74F7">
        <w:rPr>
          <w:rFonts w:ascii="Times New Roman" w:hAnsi="Times New Roman" w:cs="Times New Roman"/>
          <w:sz w:val="24"/>
          <w:szCs w:val="24"/>
        </w:rPr>
        <w:t xml:space="preserve">, </w:t>
      </w:r>
      <w:r>
        <w:rPr>
          <w:rFonts w:ascii="Times New Roman" w:hAnsi="Times New Roman" w:cs="Times New Roman"/>
          <w:sz w:val="24"/>
          <w:szCs w:val="24"/>
          <w:lang w:val="en-US"/>
        </w:rPr>
        <w:t>c</w:t>
      </w:r>
      <w:r w:rsidRPr="00AF74F7">
        <w:rPr>
          <w:rFonts w:ascii="Times New Roman" w:hAnsi="Times New Roman" w:cs="Times New Roman"/>
          <w:sz w:val="24"/>
          <w:szCs w:val="24"/>
        </w:rPr>
        <w:t>. 53].</w:t>
      </w:r>
    </w:p>
    <w:p w14:paraId="1ACED77C" w14:textId="77777777" w:rsidR="00AF74F7" w:rsidRDefault="00AF74F7" w:rsidP="00AF74F7">
      <w:pPr>
        <w:spacing w:after="0" w:line="240" w:lineRule="auto"/>
        <w:ind w:firstLine="709"/>
        <w:jc w:val="both"/>
        <w:rPr>
          <w:rFonts w:ascii="Times New Roman" w:hAnsi="Times New Roman" w:cs="Times New Roman"/>
          <w:sz w:val="24"/>
          <w:szCs w:val="24"/>
        </w:rPr>
      </w:pPr>
      <w:r w:rsidRPr="00AF74F7">
        <w:rPr>
          <w:rFonts w:ascii="Times New Roman" w:hAnsi="Times New Roman" w:cs="Times New Roman"/>
          <w:sz w:val="24"/>
          <w:szCs w:val="24"/>
        </w:rPr>
        <w:t>Таким образом, проблемы формирования и развития рынка финансовых услуг в Российской Федерации носят не частный, а системный характер. Они выражаются в банковоцентричности структуры, дефиците долгосрочного финансового посредничества, неравномерности развития сегментов, высокой значимости поведенческих и информационных рисков, неоднородности финансовой доступности, платформенной концентрации и сложном балансе между устойчивостью и конкуренцией. Российский рынок финансовых услуг уже нельзя характеризовать как институционально незрелый: он обладает развитой нормативной базой, масштабной платежной инфраструктурой, высокой технологической динамикой и заметной вовлеченностью населения в отдельные сегменты.</w:t>
      </w:r>
      <w:r>
        <w:rPr>
          <w:rFonts w:ascii="Times New Roman" w:hAnsi="Times New Roman" w:cs="Times New Roman"/>
          <w:sz w:val="24"/>
          <w:szCs w:val="24"/>
        </w:rPr>
        <w:t xml:space="preserve"> </w:t>
      </w:r>
      <w:r w:rsidRPr="00AF74F7">
        <w:rPr>
          <w:rFonts w:ascii="Times New Roman" w:hAnsi="Times New Roman" w:cs="Times New Roman"/>
          <w:sz w:val="24"/>
          <w:szCs w:val="24"/>
        </w:rPr>
        <w:t xml:space="preserve">Однако его дальнейшее развитие требует перехода от модели количественного роста к модели качественной сбалансированности, при которой расширение услуг сочетается с реальной защитой потребителя, трансформацией сбережений в инвестиции, конкурентной </w:t>
      </w:r>
      <w:r w:rsidRPr="00AF74F7">
        <w:rPr>
          <w:rFonts w:ascii="Times New Roman" w:hAnsi="Times New Roman" w:cs="Times New Roman"/>
          <w:sz w:val="24"/>
          <w:szCs w:val="24"/>
        </w:rPr>
        <w:lastRenderedPageBreak/>
        <w:t>средой и устойчивым распределением рисков. Именно в этом направлении лежит стратегическая задача современного этапа развития финансового рынка России.</w:t>
      </w:r>
    </w:p>
    <w:p w14:paraId="0C2D68EC" w14:textId="77777777" w:rsidR="00AF74F7" w:rsidRDefault="00AF74F7" w:rsidP="00AF74F7">
      <w:pPr>
        <w:spacing w:after="0" w:line="240" w:lineRule="auto"/>
        <w:jc w:val="both"/>
        <w:rPr>
          <w:rFonts w:ascii="Times New Roman" w:hAnsi="Times New Roman" w:cs="Times New Roman"/>
          <w:sz w:val="24"/>
          <w:szCs w:val="24"/>
        </w:rPr>
      </w:pPr>
    </w:p>
    <w:p w14:paraId="451ED40A" w14:textId="27C4C492" w:rsidR="00AF74F7" w:rsidRPr="00C37A6D" w:rsidRDefault="00C37A6D" w:rsidP="00C37A6D">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45B96BD1" w14:textId="4597E354" w:rsidR="00AF74F7" w:rsidRPr="00AF74F7" w:rsidRDefault="001568C0" w:rsidP="00AF74F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AF74F7">
        <w:rPr>
          <w:rFonts w:ascii="Times New Roman" w:hAnsi="Times New Roman" w:cs="Times New Roman"/>
          <w:sz w:val="24"/>
          <w:szCs w:val="24"/>
        </w:rPr>
        <w:t xml:space="preserve">. </w:t>
      </w:r>
      <w:r w:rsidR="00AF74F7" w:rsidRPr="00AF74F7">
        <w:rPr>
          <w:rFonts w:ascii="Times New Roman" w:hAnsi="Times New Roman" w:cs="Times New Roman"/>
          <w:sz w:val="24"/>
          <w:szCs w:val="24"/>
        </w:rPr>
        <w:t>Дмитренко Е. А. Финансовые услуги: тенденции и особенности развития в условиях цифровой трансформации / Е. А. Дмитренко, А. А. Ремизова // Вестник Мичуринского государственного аграрного университета.</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2022.</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 4(71).</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С. 274–279.</w:t>
      </w:r>
    </w:p>
    <w:p w14:paraId="756A0BA9" w14:textId="02753EB0" w:rsidR="00AF74F7" w:rsidRPr="00AF74F7" w:rsidRDefault="001568C0" w:rsidP="00AF74F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AF74F7">
        <w:rPr>
          <w:rFonts w:ascii="Times New Roman" w:hAnsi="Times New Roman" w:cs="Times New Roman"/>
          <w:sz w:val="24"/>
          <w:szCs w:val="24"/>
        </w:rPr>
        <w:t xml:space="preserve">. </w:t>
      </w:r>
      <w:r w:rsidR="00AF74F7" w:rsidRPr="00AF74F7">
        <w:rPr>
          <w:rFonts w:ascii="Times New Roman" w:hAnsi="Times New Roman" w:cs="Times New Roman"/>
          <w:sz w:val="24"/>
          <w:szCs w:val="24"/>
        </w:rPr>
        <w:t>Крутова Н. А. Анализ современных тенденций развития финансового рынка в России / Н. А. Крутова, Е. В. Коробейникова, А. А. Высоцкая // Вестник евразийской науки.</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2023.</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Т. 15</w:t>
      </w:r>
      <w:r w:rsidR="00C975D2">
        <w:rPr>
          <w:rFonts w:ascii="Times New Roman" w:hAnsi="Times New Roman" w:cs="Times New Roman"/>
          <w:sz w:val="24"/>
          <w:szCs w:val="24"/>
        </w:rPr>
        <w:t>.</w:t>
      </w:r>
      <w:r w:rsidR="00AF74F7" w:rsidRPr="00AF74F7">
        <w:rPr>
          <w:rFonts w:ascii="Times New Roman" w:hAnsi="Times New Roman" w:cs="Times New Roman"/>
          <w:sz w:val="24"/>
          <w:szCs w:val="24"/>
        </w:rPr>
        <w:t xml:space="preserve"> № 3.</w:t>
      </w:r>
      <w:r w:rsidR="00990E1D">
        <w:rPr>
          <w:rFonts w:ascii="Times New Roman" w:hAnsi="Times New Roman" w:cs="Times New Roman"/>
          <w:sz w:val="24"/>
          <w:szCs w:val="24"/>
        </w:rPr>
        <w:t xml:space="preserve"> </w:t>
      </w:r>
      <w:r w:rsidR="00AF74F7">
        <w:rPr>
          <w:rFonts w:ascii="Times New Roman" w:hAnsi="Times New Roman" w:cs="Times New Roman"/>
          <w:sz w:val="24"/>
          <w:szCs w:val="24"/>
        </w:rPr>
        <w:t>С. 116-125.</w:t>
      </w:r>
    </w:p>
    <w:p w14:paraId="004E5154" w14:textId="443589E4" w:rsidR="00AF74F7" w:rsidRPr="00AF74F7" w:rsidRDefault="001568C0" w:rsidP="00AF74F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AF74F7">
        <w:rPr>
          <w:rFonts w:ascii="Times New Roman" w:hAnsi="Times New Roman" w:cs="Times New Roman"/>
          <w:sz w:val="24"/>
          <w:szCs w:val="24"/>
        </w:rPr>
        <w:t xml:space="preserve">. </w:t>
      </w:r>
      <w:r w:rsidR="00AF74F7" w:rsidRPr="00AF74F7">
        <w:rPr>
          <w:rFonts w:ascii="Times New Roman" w:hAnsi="Times New Roman" w:cs="Times New Roman"/>
          <w:sz w:val="24"/>
          <w:szCs w:val="24"/>
        </w:rPr>
        <w:t>Мешкова Е. И. О рисках экосистемной модели рынка финансовых услуг и направлениях их регулирования / Е. И. Мешкова // Финансы, деньги, инвестиции.</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2024.</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 3. С. 23–28.</w:t>
      </w:r>
    </w:p>
    <w:p w14:paraId="5792AB9A" w14:textId="00E0AC9F" w:rsidR="00AF74F7" w:rsidRDefault="001568C0" w:rsidP="00AF74F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AF74F7">
        <w:rPr>
          <w:rFonts w:ascii="Times New Roman" w:hAnsi="Times New Roman" w:cs="Times New Roman"/>
          <w:sz w:val="24"/>
          <w:szCs w:val="24"/>
        </w:rPr>
        <w:t xml:space="preserve">. </w:t>
      </w:r>
      <w:r w:rsidR="00AF74F7" w:rsidRPr="00AF74F7">
        <w:rPr>
          <w:rFonts w:ascii="Times New Roman" w:hAnsi="Times New Roman" w:cs="Times New Roman"/>
          <w:sz w:val="24"/>
          <w:szCs w:val="24"/>
        </w:rPr>
        <w:t>Сахаров Д. М. Развитие российского финансового рынка в условиях структурной трансформации мировой финансовой системы / Д. М. Сахаров // Финансы: теория и практика.</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2025.</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Т. 29</w:t>
      </w:r>
      <w:r w:rsidR="00C975D2">
        <w:rPr>
          <w:rFonts w:ascii="Times New Roman" w:hAnsi="Times New Roman" w:cs="Times New Roman"/>
          <w:sz w:val="24"/>
          <w:szCs w:val="24"/>
        </w:rPr>
        <w:t>.</w:t>
      </w:r>
      <w:r w:rsidR="00AF74F7" w:rsidRPr="00AF74F7">
        <w:rPr>
          <w:rFonts w:ascii="Times New Roman" w:hAnsi="Times New Roman" w:cs="Times New Roman"/>
          <w:sz w:val="24"/>
          <w:szCs w:val="24"/>
        </w:rPr>
        <w:t xml:space="preserve"> № 4.</w:t>
      </w:r>
      <w:r w:rsidR="00990E1D">
        <w:rPr>
          <w:rFonts w:ascii="Times New Roman" w:hAnsi="Times New Roman" w:cs="Times New Roman"/>
          <w:sz w:val="24"/>
          <w:szCs w:val="24"/>
        </w:rPr>
        <w:t xml:space="preserve"> </w:t>
      </w:r>
      <w:r w:rsidR="00AF74F7" w:rsidRPr="00AF74F7">
        <w:rPr>
          <w:rFonts w:ascii="Times New Roman" w:hAnsi="Times New Roman" w:cs="Times New Roman"/>
          <w:sz w:val="24"/>
          <w:szCs w:val="24"/>
        </w:rPr>
        <w:t>С. 49–70.</w:t>
      </w:r>
    </w:p>
    <w:p w14:paraId="30CE139B" w14:textId="77777777" w:rsidR="00C37A6D" w:rsidRDefault="00C37A6D" w:rsidP="00AF74F7">
      <w:pPr>
        <w:spacing w:after="0" w:line="240" w:lineRule="auto"/>
        <w:ind w:firstLine="709"/>
        <w:jc w:val="both"/>
        <w:rPr>
          <w:rFonts w:ascii="Times New Roman" w:hAnsi="Times New Roman" w:cs="Times New Roman"/>
          <w:sz w:val="24"/>
          <w:szCs w:val="24"/>
        </w:rPr>
      </w:pPr>
    </w:p>
    <w:p w14:paraId="6CD2EF4E" w14:textId="5B52BDC4" w:rsidR="00C37A6D" w:rsidRDefault="00C37A6D" w:rsidP="00C37A6D">
      <w:pPr>
        <w:spacing w:after="0" w:line="240" w:lineRule="auto"/>
        <w:jc w:val="center"/>
        <w:rPr>
          <w:rFonts w:ascii="Times New Roman" w:hAnsi="Times New Roman" w:cs="Times New Roman"/>
          <w:b/>
          <w:sz w:val="24"/>
          <w:szCs w:val="24"/>
        </w:rPr>
      </w:pPr>
      <w:r w:rsidRPr="00C37A6D">
        <w:rPr>
          <w:rFonts w:ascii="Times New Roman" w:hAnsi="Times New Roman" w:cs="Times New Roman"/>
          <w:b/>
          <w:sz w:val="24"/>
          <w:szCs w:val="24"/>
        </w:rPr>
        <w:t>Информация об авторе</w:t>
      </w:r>
    </w:p>
    <w:p w14:paraId="1ACB70FD" w14:textId="453A8F6A" w:rsidR="003D3EBD" w:rsidRDefault="00C37A6D" w:rsidP="00136EE2">
      <w:pPr>
        <w:spacing w:after="0" w:line="240" w:lineRule="auto"/>
        <w:ind w:firstLine="709"/>
        <w:jc w:val="both"/>
        <w:rPr>
          <w:rFonts w:ascii="Times New Roman" w:hAnsi="Times New Roman" w:cs="Times New Roman"/>
          <w:sz w:val="24"/>
          <w:szCs w:val="24"/>
        </w:rPr>
      </w:pPr>
      <w:r w:rsidRPr="00C37A6D">
        <w:rPr>
          <w:rFonts w:ascii="Times New Roman" w:hAnsi="Times New Roman" w:cs="Times New Roman"/>
          <w:sz w:val="24"/>
          <w:szCs w:val="24"/>
        </w:rPr>
        <w:t>Сибирякова Наталья Валерьевна (Вологда</w:t>
      </w:r>
      <w:r w:rsidR="00C975D2">
        <w:rPr>
          <w:rFonts w:ascii="Times New Roman" w:hAnsi="Times New Roman" w:cs="Times New Roman"/>
          <w:sz w:val="24"/>
          <w:szCs w:val="24"/>
        </w:rPr>
        <w:t>, Российская Федерация</w:t>
      </w:r>
      <w:r w:rsidRPr="00C37A6D">
        <w:rPr>
          <w:rFonts w:ascii="Times New Roman" w:hAnsi="Times New Roman" w:cs="Times New Roman"/>
          <w:sz w:val="24"/>
          <w:szCs w:val="24"/>
        </w:rPr>
        <w:t>) – старший научный сотрудник научно-исследовательской лабор</w:t>
      </w:r>
      <w:r>
        <w:rPr>
          <w:rFonts w:ascii="Times New Roman" w:hAnsi="Times New Roman" w:cs="Times New Roman"/>
          <w:sz w:val="24"/>
          <w:szCs w:val="24"/>
        </w:rPr>
        <w:t>ат</w:t>
      </w:r>
      <w:r w:rsidRPr="00C37A6D">
        <w:rPr>
          <w:rFonts w:ascii="Times New Roman" w:hAnsi="Times New Roman" w:cs="Times New Roman"/>
          <w:sz w:val="24"/>
          <w:szCs w:val="24"/>
        </w:rPr>
        <w:t>ории организационно-научн</w:t>
      </w:r>
      <w:r>
        <w:rPr>
          <w:rFonts w:ascii="Times New Roman" w:hAnsi="Times New Roman" w:cs="Times New Roman"/>
          <w:sz w:val="24"/>
          <w:szCs w:val="24"/>
        </w:rPr>
        <w:t xml:space="preserve">ого </w:t>
      </w:r>
      <w:r w:rsidRPr="00C37A6D">
        <w:rPr>
          <w:rFonts w:ascii="Times New Roman" w:hAnsi="Times New Roman" w:cs="Times New Roman"/>
          <w:sz w:val="24"/>
          <w:szCs w:val="24"/>
        </w:rPr>
        <w:t xml:space="preserve">отдела </w:t>
      </w:r>
      <w:r w:rsidR="00827187">
        <w:rPr>
          <w:rFonts w:ascii="Times New Roman" w:hAnsi="Times New Roman" w:cs="Times New Roman"/>
          <w:sz w:val="24"/>
          <w:szCs w:val="24"/>
        </w:rPr>
        <w:t xml:space="preserve">Вологодского института права и экономики ФСИН </w:t>
      </w:r>
      <w:r w:rsidRPr="00C37A6D">
        <w:rPr>
          <w:rFonts w:ascii="Times New Roman" w:hAnsi="Times New Roman" w:cs="Times New Roman"/>
          <w:sz w:val="24"/>
          <w:szCs w:val="24"/>
        </w:rPr>
        <w:t>России (Росси</w:t>
      </w:r>
      <w:r w:rsidR="00C975D2">
        <w:rPr>
          <w:rFonts w:ascii="Times New Roman" w:hAnsi="Times New Roman" w:cs="Times New Roman"/>
          <w:sz w:val="24"/>
          <w:szCs w:val="24"/>
        </w:rPr>
        <w:t>йская Федерация</w:t>
      </w:r>
      <w:r w:rsidRPr="00C37A6D">
        <w:rPr>
          <w:rFonts w:ascii="Times New Roman" w:hAnsi="Times New Roman" w:cs="Times New Roman"/>
          <w:sz w:val="24"/>
          <w:szCs w:val="24"/>
        </w:rPr>
        <w:t xml:space="preserve">, </w:t>
      </w:r>
      <w:r w:rsidR="00C975D2" w:rsidRPr="00C37A6D">
        <w:rPr>
          <w:rFonts w:ascii="Times New Roman" w:hAnsi="Times New Roman" w:cs="Times New Roman"/>
          <w:sz w:val="24"/>
          <w:szCs w:val="24"/>
        </w:rPr>
        <w:t>160002</w:t>
      </w:r>
      <w:r w:rsidR="00C975D2">
        <w:rPr>
          <w:rFonts w:ascii="Times New Roman" w:hAnsi="Times New Roman" w:cs="Times New Roman"/>
          <w:sz w:val="24"/>
          <w:szCs w:val="24"/>
        </w:rPr>
        <w:t xml:space="preserve">, </w:t>
      </w:r>
      <w:r w:rsidRPr="00C37A6D">
        <w:rPr>
          <w:rFonts w:ascii="Times New Roman" w:hAnsi="Times New Roman" w:cs="Times New Roman"/>
          <w:sz w:val="24"/>
          <w:szCs w:val="24"/>
        </w:rPr>
        <w:t>Вологда,</w:t>
      </w:r>
      <w:r w:rsidR="00C975D2">
        <w:rPr>
          <w:rFonts w:ascii="Times New Roman" w:hAnsi="Times New Roman" w:cs="Times New Roman"/>
          <w:sz w:val="24"/>
          <w:szCs w:val="24"/>
        </w:rPr>
        <w:t xml:space="preserve"> </w:t>
      </w:r>
      <w:r w:rsidRPr="00C37A6D">
        <w:rPr>
          <w:rFonts w:ascii="Times New Roman" w:hAnsi="Times New Roman" w:cs="Times New Roman"/>
          <w:sz w:val="24"/>
          <w:szCs w:val="24"/>
        </w:rPr>
        <w:t>Щетинина 2</w:t>
      </w:r>
      <w:r w:rsidR="00C975D2" w:rsidRPr="00C975D2">
        <w:rPr>
          <w:rFonts w:ascii="Times New Roman" w:hAnsi="Times New Roman" w:cs="Times New Roman"/>
          <w:sz w:val="24"/>
          <w:szCs w:val="24"/>
        </w:rPr>
        <w:t xml:space="preserve">; </w:t>
      </w:r>
      <w:r w:rsidR="00C975D2">
        <w:rPr>
          <w:rFonts w:ascii="Times New Roman" w:hAnsi="Times New Roman" w:cs="Times New Roman"/>
          <w:sz w:val="24"/>
          <w:szCs w:val="24"/>
          <w:lang w:val="en-US"/>
        </w:rPr>
        <w:t>e</w:t>
      </w:r>
      <w:r w:rsidR="00C975D2" w:rsidRPr="00C975D2">
        <w:rPr>
          <w:rFonts w:ascii="Times New Roman" w:hAnsi="Times New Roman" w:cs="Times New Roman"/>
          <w:sz w:val="24"/>
          <w:szCs w:val="24"/>
        </w:rPr>
        <w:t>-</w:t>
      </w:r>
      <w:r w:rsidR="00C975D2">
        <w:rPr>
          <w:rFonts w:ascii="Times New Roman" w:hAnsi="Times New Roman" w:cs="Times New Roman"/>
          <w:sz w:val="24"/>
          <w:szCs w:val="24"/>
          <w:lang w:val="en-US"/>
        </w:rPr>
        <w:t>mail</w:t>
      </w:r>
      <w:r w:rsidR="00C975D2" w:rsidRPr="00C975D2">
        <w:rPr>
          <w:rFonts w:ascii="Times New Roman" w:hAnsi="Times New Roman" w:cs="Times New Roman"/>
          <w:sz w:val="24"/>
          <w:szCs w:val="24"/>
        </w:rPr>
        <w:t>:</w:t>
      </w:r>
      <w:r w:rsidRPr="00C37A6D">
        <w:rPr>
          <w:rFonts w:ascii="Times New Roman" w:hAnsi="Times New Roman" w:cs="Times New Roman"/>
          <w:sz w:val="24"/>
          <w:szCs w:val="24"/>
        </w:rPr>
        <w:t xml:space="preserve"> </w:t>
      </w:r>
      <w:r w:rsidR="00136EE2" w:rsidRPr="00136EE2">
        <w:rPr>
          <w:rFonts w:ascii="Times New Roman" w:hAnsi="Times New Roman" w:cs="Times New Roman"/>
          <w:sz w:val="24"/>
          <w:szCs w:val="24"/>
          <w:lang w:val="en-US"/>
        </w:rPr>
        <w:t>ori</w:t>
      </w:r>
      <w:r w:rsidR="00136EE2" w:rsidRPr="00136EE2">
        <w:rPr>
          <w:rFonts w:ascii="Times New Roman" w:hAnsi="Times New Roman" w:cs="Times New Roman"/>
          <w:sz w:val="24"/>
          <w:szCs w:val="24"/>
        </w:rPr>
        <w:t>67_@</w:t>
      </w:r>
      <w:r w:rsidR="00136EE2" w:rsidRPr="00136EE2">
        <w:rPr>
          <w:rFonts w:ascii="Times New Roman" w:hAnsi="Times New Roman" w:cs="Times New Roman"/>
          <w:sz w:val="24"/>
          <w:szCs w:val="24"/>
          <w:lang w:val="en-US"/>
        </w:rPr>
        <w:t>mail</w:t>
      </w:r>
      <w:r w:rsidR="00136EE2" w:rsidRPr="00136EE2">
        <w:rPr>
          <w:rFonts w:ascii="Times New Roman" w:hAnsi="Times New Roman" w:cs="Times New Roman"/>
          <w:sz w:val="24"/>
          <w:szCs w:val="24"/>
        </w:rPr>
        <w:t>.</w:t>
      </w:r>
      <w:r w:rsidR="00136EE2" w:rsidRPr="00136EE2">
        <w:rPr>
          <w:rFonts w:ascii="Times New Roman" w:hAnsi="Times New Roman" w:cs="Times New Roman"/>
          <w:sz w:val="24"/>
          <w:szCs w:val="24"/>
          <w:lang w:val="en-US"/>
        </w:rPr>
        <w:t>ru</w:t>
      </w:r>
      <w:r w:rsidRPr="00C37A6D">
        <w:rPr>
          <w:rFonts w:ascii="Times New Roman" w:hAnsi="Times New Roman" w:cs="Times New Roman"/>
          <w:sz w:val="24"/>
          <w:szCs w:val="24"/>
        </w:rPr>
        <w:t>)</w:t>
      </w:r>
      <w:r>
        <w:rPr>
          <w:rFonts w:ascii="Times New Roman" w:hAnsi="Times New Roman" w:cs="Times New Roman"/>
          <w:sz w:val="24"/>
          <w:szCs w:val="24"/>
        </w:rPr>
        <w:t>.</w:t>
      </w:r>
    </w:p>
    <w:p w14:paraId="128ACBB7" w14:textId="77777777" w:rsidR="00136EE2" w:rsidRPr="00136EE2" w:rsidRDefault="00136EE2" w:rsidP="00136EE2">
      <w:pPr>
        <w:spacing w:after="0" w:line="240" w:lineRule="auto"/>
        <w:ind w:firstLine="709"/>
        <w:jc w:val="both"/>
        <w:rPr>
          <w:rFonts w:ascii="Times New Roman" w:hAnsi="Times New Roman" w:cs="Times New Roman"/>
          <w:sz w:val="24"/>
          <w:szCs w:val="24"/>
        </w:rPr>
      </w:pPr>
    </w:p>
    <w:p w14:paraId="46E7AB69" w14:textId="1A7B9E5E" w:rsidR="00C975D2" w:rsidRPr="003D3EBD" w:rsidRDefault="003D3EBD" w:rsidP="00197873">
      <w:pPr>
        <w:spacing w:after="0" w:line="240" w:lineRule="auto"/>
        <w:jc w:val="right"/>
        <w:rPr>
          <w:rFonts w:ascii="Times New Roman" w:hAnsi="Times New Roman" w:cs="Times New Roman"/>
          <w:b/>
          <w:color w:val="000000"/>
          <w:sz w:val="24"/>
          <w:szCs w:val="24"/>
          <w:lang w:val="en-US"/>
        </w:rPr>
      </w:pPr>
      <w:r w:rsidRPr="003D3EBD">
        <w:rPr>
          <w:rFonts w:ascii="Times New Roman" w:hAnsi="Times New Roman" w:cs="Times New Roman"/>
          <w:b/>
          <w:color w:val="000000"/>
          <w:sz w:val="24"/>
          <w:szCs w:val="24"/>
          <w:lang w:val="en-US"/>
        </w:rPr>
        <w:t xml:space="preserve">Sibiryakova N.V. </w:t>
      </w:r>
    </w:p>
    <w:p w14:paraId="4C1D964A" w14:textId="09CAD4BF" w:rsidR="00C37A6D" w:rsidRPr="006E7A0A" w:rsidRDefault="00445C72" w:rsidP="003D3EBD">
      <w:pPr>
        <w:spacing w:after="0" w:line="240" w:lineRule="auto"/>
        <w:jc w:val="center"/>
        <w:rPr>
          <w:rFonts w:ascii="Times New Roman" w:hAnsi="Times New Roman" w:cs="Times New Roman"/>
          <w:b/>
          <w:color w:val="000000"/>
          <w:lang w:val="en-US"/>
        </w:rPr>
      </w:pPr>
      <w:r w:rsidRPr="006E7A0A">
        <w:rPr>
          <w:rFonts w:ascii="Times New Roman" w:hAnsi="Times New Roman" w:cs="Times New Roman"/>
          <w:b/>
          <w:color w:val="000000"/>
          <w:lang w:val="en-US"/>
        </w:rPr>
        <w:t xml:space="preserve">ON </w:t>
      </w:r>
      <w:r w:rsidR="003D3EBD" w:rsidRPr="006E7A0A">
        <w:rPr>
          <w:rFonts w:ascii="Times New Roman" w:hAnsi="Times New Roman" w:cs="Times New Roman"/>
          <w:b/>
          <w:color w:val="000000"/>
          <w:lang w:val="en-US"/>
        </w:rPr>
        <w:t>FORMATION AND DEVELOPMENT OF THE FINANCIAL SERVICES MARKET</w:t>
      </w:r>
    </w:p>
    <w:p w14:paraId="45504F98" w14:textId="77777777" w:rsidR="00B65000" w:rsidRPr="003D3EBD" w:rsidRDefault="00B65000" w:rsidP="003D3EBD">
      <w:pPr>
        <w:spacing w:after="0" w:line="240" w:lineRule="auto"/>
        <w:jc w:val="center"/>
        <w:rPr>
          <w:rFonts w:ascii="Times New Roman" w:hAnsi="Times New Roman" w:cs="Times New Roman"/>
          <w:b/>
          <w:sz w:val="24"/>
          <w:szCs w:val="24"/>
          <w:lang w:val="en-US"/>
        </w:rPr>
      </w:pPr>
    </w:p>
    <w:p w14:paraId="261B7DDC" w14:textId="68FE8ABF" w:rsidR="003D3EBD" w:rsidRPr="003D3EBD" w:rsidRDefault="00855A9F" w:rsidP="003D3EBD">
      <w:pPr>
        <w:spacing w:after="0" w:line="240" w:lineRule="auto"/>
        <w:ind w:firstLine="709"/>
        <w:jc w:val="both"/>
        <w:rPr>
          <w:rFonts w:ascii="Times New Roman" w:hAnsi="Times New Roman" w:cs="Times New Roman"/>
          <w:sz w:val="24"/>
          <w:szCs w:val="24"/>
          <w:lang w:val="en-US"/>
        </w:rPr>
      </w:pPr>
      <w:r w:rsidRPr="00C975D2">
        <w:rPr>
          <w:rFonts w:ascii="Times New Roman" w:hAnsi="Times New Roman" w:cs="Times New Roman"/>
          <w:b/>
          <w:bCs/>
          <w:sz w:val="24"/>
          <w:szCs w:val="24"/>
          <w:lang w:val="en-US"/>
        </w:rPr>
        <w:t>Abstract.</w:t>
      </w:r>
      <w:r w:rsidR="003D3EBD" w:rsidRPr="003D3EBD">
        <w:rPr>
          <w:rFonts w:ascii="Times New Roman" w:hAnsi="Times New Roman" w:cs="Times New Roman"/>
          <w:sz w:val="24"/>
          <w:szCs w:val="24"/>
          <w:lang w:val="en-US"/>
        </w:rPr>
        <w:t xml:space="preserve"> </w:t>
      </w:r>
      <w:r w:rsidR="003D3EBD" w:rsidRPr="003D3EBD">
        <w:rPr>
          <w:rFonts w:ascii="Times New Roman" w:hAnsi="Times New Roman" w:cs="Times New Roman"/>
          <w:color w:val="000000"/>
          <w:sz w:val="24"/>
          <w:szCs w:val="24"/>
          <w:lang w:val="en-US"/>
        </w:rPr>
        <w:t>The purpose of the study is to provide a comprehensive analysis of the problems of formation and development of the financial services market in the Russian Federation, identify systemic limitations in its functioning, determine key contradictions of the current stage, and substantiate directions for improving this area.</w:t>
      </w:r>
    </w:p>
    <w:p w14:paraId="07B826C2" w14:textId="2526DC9B" w:rsidR="003D3EBD" w:rsidRDefault="00855A9F" w:rsidP="003D3EBD">
      <w:pPr>
        <w:spacing w:after="0" w:line="240" w:lineRule="auto"/>
        <w:ind w:firstLine="709"/>
        <w:jc w:val="both"/>
        <w:rPr>
          <w:rFonts w:ascii="Times New Roman" w:hAnsi="Times New Roman" w:cs="Times New Roman"/>
          <w:sz w:val="24"/>
          <w:szCs w:val="24"/>
          <w:lang w:val="en-US"/>
        </w:rPr>
      </w:pPr>
      <w:r w:rsidRPr="00C975D2">
        <w:rPr>
          <w:rFonts w:ascii="Times New Roman" w:hAnsi="Times New Roman" w:cs="Times New Roman"/>
          <w:b/>
          <w:bCs/>
          <w:sz w:val="24"/>
          <w:szCs w:val="24"/>
          <w:lang w:val="en-US"/>
        </w:rPr>
        <w:t>Keywords:</w:t>
      </w:r>
      <w:r w:rsidRPr="00855A9F">
        <w:rPr>
          <w:rFonts w:ascii="Times New Roman" w:hAnsi="Times New Roman" w:cs="Times New Roman"/>
          <w:b/>
          <w:sz w:val="24"/>
          <w:szCs w:val="24"/>
          <w:lang w:val="en-US"/>
        </w:rPr>
        <w:t xml:space="preserve"> </w:t>
      </w:r>
      <w:r w:rsidR="003D3EBD" w:rsidRPr="003D3EBD">
        <w:rPr>
          <w:rFonts w:ascii="Times New Roman" w:hAnsi="Times New Roman" w:cs="Times New Roman"/>
          <w:sz w:val="24"/>
          <w:szCs w:val="24"/>
          <w:lang w:val="en-US"/>
        </w:rPr>
        <w:t>financial services market, investment, bank cent</w:t>
      </w:r>
      <w:r w:rsidR="00445C72">
        <w:rPr>
          <w:rFonts w:ascii="Times New Roman" w:hAnsi="Times New Roman" w:cs="Times New Roman"/>
          <w:sz w:val="24"/>
          <w:szCs w:val="24"/>
          <w:lang w:val="en-US"/>
        </w:rPr>
        <w:t>ricity</w:t>
      </w:r>
      <w:r w:rsidR="003D3EBD" w:rsidRPr="003D3EBD">
        <w:rPr>
          <w:rFonts w:ascii="Times New Roman" w:hAnsi="Times New Roman" w:cs="Times New Roman"/>
          <w:sz w:val="24"/>
          <w:szCs w:val="24"/>
          <w:lang w:val="en-US"/>
        </w:rPr>
        <w:t xml:space="preserve">, financial market, banking sector, </w:t>
      </w:r>
      <w:r w:rsidR="00445C72" w:rsidRPr="00445C72">
        <w:rPr>
          <w:rFonts w:ascii="Times New Roman" w:hAnsi="Times New Roman" w:cs="Times New Roman"/>
          <w:sz w:val="24"/>
          <w:szCs w:val="24"/>
          <w:lang w:val="en-US"/>
        </w:rPr>
        <w:t>Faster Payments System</w:t>
      </w:r>
      <w:r w:rsidR="003D3EBD" w:rsidRPr="003D3EBD">
        <w:rPr>
          <w:rFonts w:ascii="Times New Roman" w:hAnsi="Times New Roman" w:cs="Times New Roman"/>
          <w:sz w:val="24"/>
          <w:szCs w:val="24"/>
          <w:lang w:val="en-US"/>
        </w:rPr>
        <w:t>.</w:t>
      </w:r>
    </w:p>
    <w:p w14:paraId="3EB39F0B" w14:textId="77777777" w:rsidR="003D3EBD" w:rsidRDefault="003D3EBD" w:rsidP="003D3EBD">
      <w:pPr>
        <w:spacing w:after="0" w:line="240" w:lineRule="auto"/>
        <w:ind w:firstLine="709"/>
        <w:jc w:val="both"/>
        <w:rPr>
          <w:rFonts w:ascii="Times New Roman" w:hAnsi="Times New Roman" w:cs="Times New Roman"/>
          <w:sz w:val="24"/>
          <w:szCs w:val="24"/>
          <w:lang w:val="en-US"/>
        </w:rPr>
      </w:pPr>
    </w:p>
    <w:p w14:paraId="72CC80F1" w14:textId="77777777" w:rsidR="00855A9F" w:rsidRPr="00D14B64" w:rsidRDefault="00855A9F" w:rsidP="00855A9F">
      <w:pPr>
        <w:spacing w:after="0" w:line="240" w:lineRule="auto"/>
        <w:jc w:val="center"/>
        <w:rPr>
          <w:rFonts w:ascii="Times New Roman" w:hAnsi="Times New Roman" w:cs="Times New Roman"/>
          <w:b/>
          <w:strike/>
          <w:sz w:val="24"/>
          <w:szCs w:val="24"/>
          <w:lang w:val="en-US"/>
        </w:rPr>
      </w:pPr>
      <w:r w:rsidRPr="00D14B64">
        <w:rPr>
          <w:rFonts w:ascii="Times New Roman" w:hAnsi="Times New Roman" w:cs="Times New Roman"/>
          <w:b/>
          <w:sz w:val="24"/>
          <w:szCs w:val="24"/>
          <w:lang w:val="en-US"/>
        </w:rPr>
        <w:t>About the author</w:t>
      </w:r>
    </w:p>
    <w:p w14:paraId="0CD01346" w14:textId="3EBACE45" w:rsidR="00C37A6D" w:rsidRPr="00827187" w:rsidRDefault="00D14B64" w:rsidP="00827187">
      <w:pPr>
        <w:spacing w:after="0" w:line="240" w:lineRule="auto"/>
        <w:ind w:firstLine="709"/>
        <w:jc w:val="both"/>
        <w:rPr>
          <w:rFonts w:ascii="Times New Roman" w:hAnsi="Times New Roman" w:cs="Times New Roman"/>
          <w:sz w:val="24"/>
          <w:szCs w:val="24"/>
          <w:lang w:val="en-US"/>
        </w:rPr>
      </w:pPr>
      <w:r w:rsidRPr="00445C72">
        <w:rPr>
          <w:rFonts w:ascii="Times New Roman" w:hAnsi="Times New Roman" w:cs="Times New Roman"/>
          <w:sz w:val="24"/>
          <w:szCs w:val="24"/>
          <w:lang w:val="en-US"/>
        </w:rPr>
        <w:t xml:space="preserve">Sibiryakova </w:t>
      </w:r>
      <w:proofErr w:type="spellStart"/>
      <w:r w:rsidR="00445C72" w:rsidRPr="00445C72">
        <w:rPr>
          <w:rFonts w:ascii="Times New Roman" w:hAnsi="Times New Roman" w:cs="Times New Roman"/>
          <w:sz w:val="24"/>
          <w:szCs w:val="24"/>
          <w:lang w:val="en-US"/>
        </w:rPr>
        <w:t>Natal'ya</w:t>
      </w:r>
      <w:proofErr w:type="spellEnd"/>
      <w:r w:rsidR="00445C72" w:rsidRPr="00445C72">
        <w:rPr>
          <w:rFonts w:ascii="Times New Roman" w:hAnsi="Times New Roman" w:cs="Times New Roman"/>
          <w:sz w:val="24"/>
          <w:szCs w:val="24"/>
          <w:lang w:val="en-US"/>
        </w:rPr>
        <w:t xml:space="preserve"> V</w:t>
      </w:r>
      <w:r w:rsidR="00445C72">
        <w:rPr>
          <w:rFonts w:ascii="Times New Roman" w:hAnsi="Times New Roman" w:cs="Times New Roman"/>
          <w:sz w:val="24"/>
          <w:szCs w:val="24"/>
          <w:lang w:val="en-US"/>
        </w:rPr>
        <w:t>.</w:t>
      </w:r>
      <w:r w:rsidR="00445C72" w:rsidRPr="00445C72">
        <w:rPr>
          <w:rFonts w:ascii="Times New Roman" w:hAnsi="Times New Roman" w:cs="Times New Roman"/>
          <w:sz w:val="24"/>
          <w:szCs w:val="24"/>
          <w:lang w:val="en-US"/>
        </w:rPr>
        <w:t xml:space="preserve"> </w:t>
      </w:r>
      <w:r w:rsidR="00827187" w:rsidRPr="00827187">
        <w:rPr>
          <w:rFonts w:ascii="Times New Roman" w:hAnsi="Times New Roman" w:cs="Times New Roman"/>
          <w:sz w:val="24"/>
          <w:szCs w:val="24"/>
          <w:lang w:val="en-US"/>
        </w:rPr>
        <w:t xml:space="preserve">(Russia, Vologda) </w:t>
      </w:r>
      <w:r w:rsidR="00445C72" w:rsidRPr="00445C72">
        <w:rPr>
          <w:rFonts w:ascii="Times New Roman" w:hAnsi="Times New Roman" w:cs="Times New Roman"/>
          <w:sz w:val="24"/>
          <w:szCs w:val="24"/>
          <w:lang w:val="en-US"/>
        </w:rPr>
        <w:t>–</w:t>
      </w:r>
      <w:r w:rsidR="00827187" w:rsidRPr="00827187">
        <w:rPr>
          <w:rFonts w:ascii="Times New Roman" w:hAnsi="Times New Roman" w:cs="Times New Roman"/>
          <w:sz w:val="24"/>
          <w:szCs w:val="24"/>
          <w:lang w:val="en-US"/>
        </w:rPr>
        <w:t xml:space="preserve"> </w:t>
      </w:r>
      <w:r w:rsidR="00445C72" w:rsidRPr="00827187">
        <w:rPr>
          <w:rFonts w:ascii="Times New Roman" w:hAnsi="Times New Roman" w:cs="Times New Roman"/>
          <w:sz w:val="24"/>
          <w:szCs w:val="24"/>
          <w:lang w:val="en-US"/>
        </w:rPr>
        <w:t xml:space="preserve">Senior Researcher </w:t>
      </w:r>
      <w:r w:rsidR="00827187" w:rsidRPr="00827187">
        <w:rPr>
          <w:rFonts w:ascii="Times New Roman" w:hAnsi="Times New Roman" w:cs="Times New Roman"/>
          <w:sz w:val="24"/>
          <w:szCs w:val="24"/>
          <w:lang w:val="en-US"/>
        </w:rPr>
        <w:t xml:space="preserve">at the </w:t>
      </w:r>
      <w:r w:rsidR="00445C72" w:rsidRPr="00827187">
        <w:rPr>
          <w:rFonts w:ascii="Times New Roman" w:hAnsi="Times New Roman" w:cs="Times New Roman"/>
          <w:sz w:val="24"/>
          <w:szCs w:val="24"/>
          <w:lang w:val="en-US"/>
        </w:rPr>
        <w:t xml:space="preserve">Research Laboratory </w:t>
      </w:r>
      <w:r w:rsidR="00827187" w:rsidRPr="00827187">
        <w:rPr>
          <w:rFonts w:ascii="Times New Roman" w:hAnsi="Times New Roman" w:cs="Times New Roman"/>
          <w:sz w:val="24"/>
          <w:szCs w:val="24"/>
          <w:lang w:val="en-US"/>
        </w:rPr>
        <w:t xml:space="preserve">of the </w:t>
      </w:r>
      <w:r w:rsidR="00445C72" w:rsidRPr="00827187">
        <w:rPr>
          <w:rFonts w:ascii="Times New Roman" w:hAnsi="Times New Roman" w:cs="Times New Roman"/>
          <w:sz w:val="24"/>
          <w:szCs w:val="24"/>
          <w:lang w:val="en-US"/>
        </w:rPr>
        <w:t xml:space="preserve">Organizational </w:t>
      </w:r>
      <w:r w:rsidR="00827187" w:rsidRPr="00827187">
        <w:rPr>
          <w:rFonts w:ascii="Times New Roman" w:hAnsi="Times New Roman" w:cs="Times New Roman"/>
          <w:sz w:val="24"/>
          <w:szCs w:val="24"/>
          <w:lang w:val="en-US"/>
        </w:rPr>
        <w:t xml:space="preserve">and </w:t>
      </w:r>
      <w:r w:rsidR="00445C72">
        <w:rPr>
          <w:rFonts w:ascii="Times New Roman" w:hAnsi="Times New Roman" w:cs="Times New Roman"/>
          <w:sz w:val="24"/>
          <w:szCs w:val="24"/>
          <w:lang w:val="en-US"/>
        </w:rPr>
        <w:t>Research</w:t>
      </w:r>
      <w:r w:rsidR="00445C72" w:rsidRPr="00827187">
        <w:rPr>
          <w:rFonts w:ascii="Times New Roman" w:hAnsi="Times New Roman" w:cs="Times New Roman"/>
          <w:sz w:val="24"/>
          <w:szCs w:val="24"/>
          <w:lang w:val="en-US"/>
        </w:rPr>
        <w:t xml:space="preserve"> Department </w:t>
      </w:r>
      <w:r w:rsidR="00827187" w:rsidRPr="00827187">
        <w:rPr>
          <w:rFonts w:ascii="Times New Roman" w:hAnsi="Times New Roman" w:cs="Times New Roman"/>
          <w:sz w:val="24"/>
          <w:szCs w:val="24"/>
          <w:lang w:val="en-US"/>
        </w:rPr>
        <w:t xml:space="preserve">of the Vologda Institute of Law and Economics of the Federal Penitentiary Service of Russia (Russia, </w:t>
      </w:r>
      <w:r w:rsidRPr="00827187">
        <w:rPr>
          <w:rFonts w:ascii="Times New Roman" w:hAnsi="Times New Roman" w:cs="Times New Roman"/>
          <w:sz w:val="24"/>
          <w:szCs w:val="24"/>
          <w:lang w:val="en-US"/>
        </w:rPr>
        <w:t>160002,</w:t>
      </w:r>
      <w:r w:rsidRPr="00D14B64">
        <w:rPr>
          <w:rFonts w:ascii="Times New Roman" w:hAnsi="Times New Roman" w:cs="Times New Roman"/>
          <w:sz w:val="24"/>
          <w:szCs w:val="24"/>
          <w:lang w:val="en-US"/>
        </w:rPr>
        <w:t xml:space="preserve"> </w:t>
      </w:r>
      <w:r w:rsidR="00827187" w:rsidRPr="00827187">
        <w:rPr>
          <w:rFonts w:ascii="Times New Roman" w:hAnsi="Times New Roman" w:cs="Times New Roman"/>
          <w:sz w:val="24"/>
          <w:szCs w:val="24"/>
          <w:lang w:val="en-US"/>
        </w:rPr>
        <w:t xml:space="preserve">Vologda, </w:t>
      </w:r>
      <w:proofErr w:type="spellStart"/>
      <w:r w:rsidR="00827187" w:rsidRPr="00827187">
        <w:rPr>
          <w:rFonts w:ascii="Times New Roman" w:hAnsi="Times New Roman" w:cs="Times New Roman"/>
          <w:sz w:val="24"/>
          <w:szCs w:val="24"/>
          <w:lang w:val="en-US"/>
        </w:rPr>
        <w:t>Shchetinin</w:t>
      </w:r>
      <w:proofErr w:type="spellEnd"/>
      <w:r w:rsidR="00827187" w:rsidRPr="00827187">
        <w:rPr>
          <w:rFonts w:ascii="Times New Roman" w:hAnsi="Times New Roman" w:cs="Times New Roman"/>
          <w:sz w:val="24"/>
          <w:szCs w:val="24"/>
          <w:lang w:val="en-US"/>
        </w:rPr>
        <w:t xml:space="preserve"> 2, </w:t>
      </w:r>
      <w:r>
        <w:rPr>
          <w:rFonts w:ascii="Times New Roman" w:hAnsi="Times New Roman" w:cs="Times New Roman"/>
          <w:sz w:val="24"/>
          <w:szCs w:val="24"/>
          <w:lang w:val="en-US"/>
        </w:rPr>
        <w:t>e</w:t>
      </w:r>
      <w:r w:rsidRPr="00D14B64">
        <w:rPr>
          <w:rFonts w:ascii="Times New Roman" w:hAnsi="Times New Roman" w:cs="Times New Roman"/>
          <w:sz w:val="24"/>
          <w:szCs w:val="24"/>
          <w:lang w:val="en-US"/>
        </w:rPr>
        <w:t>-</w:t>
      </w:r>
      <w:r>
        <w:rPr>
          <w:rFonts w:ascii="Times New Roman" w:hAnsi="Times New Roman" w:cs="Times New Roman"/>
          <w:sz w:val="24"/>
          <w:szCs w:val="24"/>
          <w:lang w:val="en-US"/>
        </w:rPr>
        <w:t>mail</w:t>
      </w:r>
      <w:r w:rsidRPr="00D14B64">
        <w:rPr>
          <w:rFonts w:ascii="Times New Roman" w:hAnsi="Times New Roman" w:cs="Times New Roman"/>
          <w:sz w:val="24"/>
          <w:szCs w:val="24"/>
          <w:lang w:val="en-US"/>
        </w:rPr>
        <w:t xml:space="preserve">: </w:t>
      </w:r>
      <w:r w:rsidR="00827187" w:rsidRPr="00827187">
        <w:rPr>
          <w:rFonts w:ascii="Times New Roman" w:hAnsi="Times New Roman" w:cs="Times New Roman"/>
          <w:sz w:val="24"/>
          <w:szCs w:val="24"/>
          <w:lang w:val="en-US"/>
        </w:rPr>
        <w:t>ori67_@mail.ru).</w:t>
      </w:r>
    </w:p>
    <w:p w14:paraId="25801D61" w14:textId="40EDD29D" w:rsidR="00AF74F7" w:rsidRPr="001766CA" w:rsidRDefault="00855A9F" w:rsidP="00855A9F">
      <w:pPr>
        <w:spacing w:after="0" w:line="240" w:lineRule="auto"/>
        <w:jc w:val="center"/>
        <w:rPr>
          <w:rFonts w:ascii="Times New Roman" w:hAnsi="Times New Roman" w:cs="Times New Roman"/>
          <w:b/>
          <w:bCs/>
          <w:strike/>
          <w:sz w:val="24"/>
          <w:szCs w:val="24"/>
          <w:lang w:val="en-US"/>
        </w:rPr>
      </w:pPr>
      <w:r w:rsidRPr="001766CA">
        <w:rPr>
          <w:rFonts w:ascii="Times New Roman" w:hAnsi="Times New Roman" w:cs="Times New Roman"/>
          <w:b/>
          <w:bCs/>
          <w:sz w:val="24"/>
          <w:szCs w:val="24"/>
          <w:lang w:val="en-US"/>
        </w:rPr>
        <w:t>References</w:t>
      </w:r>
    </w:p>
    <w:p w14:paraId="2955D1EF" w14:textId="2A072DE1" w:rsidR="00827187" w:rsidRPr="00827187" w:rsidRDefault="001568C0" w:rsidP="00827187">
      <w:pPr>
        <w:spacing w:after="0" w:line="240" w:lineRule="auto"/>
        <w:ind w:firstLine="709"/>
        <w:jc w:val="both"/>
        <w:rPr>
          <w:rFonts w:ascii="Times New Roman" w:hAnsi="Times New Roman" w:cs="Times New Roman"/>
          <w:bCs/>
          <w:sz w:val="24"/>
          <w:szCs w:val="24"/>
          <w:lang w:val="en-US"/>
        </w:rPr>
      </w:pPr>
      <w:r w:rsidRPr="001568C0">
        <w:rPr>
          <w:rFonts w:ascii="Times New Roman" w:hAnsi="Times New Roman" w:cs="Times New Roman"/>
          <w:bCs/>
          <w:sz w:val="24"/>
          <w:szCs w:val="24"/>
          <w:lang w:val="en-US"/>
        </w:rPr>
        <w:t>1</w:t>
      </w:r>
      <w:r w:rsidR="00827187" w:rsidRPr="00827187">
        <w:rPr>
          <w:rFonts w:ascii="Times New Roman" w:hAnsi="Times New Roman" w:cs="Times New Roman"/>
          <w:bCs/>
          <w:sz w:val="24"/>
          <w:szCs w:val="24"/>
          <w:lang w:val="en-US"/>
        </w:rPr>
        <w:t xml:space="preserve">. </w:t>
      </w:r>
      <w:proofErr w:type="spellStart"/>
      <w:r w:rsidR="00827187" w:rsidRPr="00827187">
        <w:rPr>
          <w:rFonts w:ascii="Times New Roman" w:hAnsi="Times New Roman" w:cs="Times New Roman"/>
          <w:bCs/>
          <w:sz w:val="24"/>
          <w:szCs w:val="24"/>
          <w:lang w:val="en-US"/>
        </w:rPr>
        <w:t>Dmitrenko</w:t>
      </w:r>
      <w:proofErr w:type="spellEnd"/>
      <w:r w:rsidR="00827187" w:rsidRPr="00827187">
        <w:rPr>
          <w:rFonts w:ascii="Times New Roman" w:hAnsi="Times New Roman" w:cs="Times New Roman"/>
          <w:bCs/>
          <w:sz w:val="24"/>
          <w:szCs w:val="24"/>
          <w:lang w:val="en-US"/>
        </w:rPr>
        <w:t xml:space="preserve"> E. A. Financial services: trends and features of development in the context of digital transformation/E. A. </w:t>
      </w:r>
      <w:proofErr w:type="spellStart"/>
      <w:r w:rsidR="00827187" w:rsidRPr="00827187">
        <w:rPr>
          <w:rFonts w:ascii="Times New Roman" w:hAnsi="Times New Roman" w:cs="Times New Roman"/>
          <w:bCs/>
          <w:sz w:val="24"/>
          <w:szCs w:val="24"/>
          <w:lang w:val="en-US"/>
        </w:rPr>
        <w:t>Dmitrenko</w:t>
      </w:r>
      <w:proofErr w:type="spellEnd"/>
      <w:r w:rsidR="00827187" w:rsidRPr="00827187">
        <w:rPr>
          <w:rFonts w:ascii="Times New Roman" w:hAnsi="Times New Roman" w:cs="Times New Roman"/>
          <w:bCs/>
          <w:sz w:val="24"/>
          <w:szCs w:val="24"/>
          <w:lang w:val="en-US"/>
        </w:rPr>
        <w:t xml:space="preserve">, A. A. </w:t>
      </w:r>
      <w:proofErr w:type="spellStart"/>
      <w:r w:rsidR="00827187" w:rsidRPr="00827187">
        <w:rPr>
          <w:rFonts w:ascii="Times New Roman" w:hAnsi="Times New Roman" w:cs="Times New Roman"/>
          <w:bCs/>
          <w:sz w:val="24"/>
          <w:szCs w:val="24"/>
          <w:lang w:val="en-US"/>
        </w:rPr>
        <w:t>Remizova</w:t>
      </w:r>
      <w:proofErr w:type="spellEnd"/>
      <w:r w:rsidR="00827187" w:rsidRPr="00827187">
        <w:rPr>
          <w:rFonts w:ascii="Times New Roman" w:hAnsi="Times New Roman" w:cs="Times New Roman"/>
          <w:bCs/>
          <w:sz w:val="24"/>
          <w:szCs w:val="24"/>
          <w:lang w:val="en-US"/>
        </w:rPr>
        <w:t xml:space="preserve">//Bulletin of </w:t>
      </w:r>
      <w:proofErr w:type="spellStart"/>
      <w:r w:rsidR="00827187" w:rsidRPr="00827187">
        <w:rPr>
          <w:rFonts w:ascii="Times New Roman" w:hAnsi="Times New Roman" w:cs="Times New Roman"/>
          <w:bCs/>
          <w:sz w:val="24"/>
          <w:szCs w:val="24"/>
          <w:lang w:val="en-US"/>
        </w:rPr>
        <w:t>Michurinsky</w:t>
      </w:r>
      <w:proofErr w:type="spellEnd"/>
      <w:r w:rsidR="00827187" w:rsidRPr="00827187">
        <w:rPr>
          <w:rFonts w:ascii="Times New Roman" w:hAnsi="Times New Roman" w:cs="Times New Roman"/>
          <w:bCs/>
          <w:sz w:val="24"/>
          <w:szCs w:val="24"/>
          <w:lang w:val="en-US"/>
        </w:rPr>
        <w:t xml:space="preserve"> State Agrarian University.</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2022.</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 4(71).</w:t>
      </w:r>
      <w:r w:rsidR="00D14B64" w:rsidRPr="00D14B64">
        <w:rPr>
          <w:rFonts w:ascii="Times New Roman" w:hAnsi="Times New Roman" w:cs="Times New Roman"/>
          <w:bCs/>
          <w:sz w:val="24"/>
          <w:szCs w:val="24"/>
          <w:lang w:val="en-US"/>
        </w:rPr>
        <w:t xml:space="preserve"> </w:t>
      </w:r>
      <w:r w:rsidR="001766CA">
        <w:rPr>
          <w:rFonts w:ascii="Times New Roman" w:hAnsi="Times New Roman" w:cs="Times New Roman"/>
          <w:bCs/>
          <w:sz w:val="24"/>
          <w:szCs w:val="24"/>
          <w:lang w:val="en-US"/>
        </w:rPr>
        <w:t>pp</w:t>
      </w:r>
      <w:r w:rsidR="00827187" w:rsidRPr="00827187">
        <w:rPr>
          <w:rFonts w:ascii="Times New Roman" w:hAnsi="Times New Roman" w:cs="Times New Roman"/>
          <w:bCs/>
          <w:sz w:val="24"/>
          <w:szCs w:val="24"/>
          <w:lang w:val="en-US"/>
        </w:rPr>
        <w:t>. 274-279.</w:t>
      </w:r>
    </w:p>
    <w:p w14:paraId="5C63950A" w14:textId="30ACD568" w:rsidR="00827187" w:rsidRPr="00827187" w:rsidRDefault="001568C0" w:rsidP="00827187">
      <w:pPr>
        <w:spacing w:after="0" w:line="240" w:lineRule="auto"/>
        <w:ind w:firstLine="709"/>
        <w:jc w:val="both"/>
        <w:rPr>
          <w:rFonts w:ascii="Times New Roman" w:hAnsi="Times New Roman" w:cs="Times New Roman"/>
          <w:bCs/>
          <w:sz w:val="24"/>
          <w:szCs w:val="24"/>
          <w:lang w:val="en-US"/>
        </w:rPr>
      </w:pPr>
      <w:r w:rsidRPr="001568C0">
        <w:rPr>
          <w:rFonts w:ascii="Times New Roman" w:hAnsi="Times New Roman" w:cs="Times New Roman"/>
          <w:bCs/>
          <w:sz w:val="24"/>
          <w:szCs w:val="24"/>
          <w:lang w:val="en-US"/>
        </w:rPr>
        <w:t>2</w:t>
      </w:r>
      <w:r w:rsidR="00827187" w:rsidRPr="00827187">
        <w:rPr>
          <w:rFonts w:ascii="Times New Roman" w:hAnsi="Times New Roman" w:cs="Times New Roman"/>
          <w:bCs/>
          <w:sz w:val="24"/>
          <w:szCs w:val="24"/>
          <w:lang w:val="en-US"/>
        </w:rPr>
        <w:t xml:space="preserve">. </w:t>
      </w:r>
      <w:proofErr w:type="spellStart"/>
      <w:r w:rsidR="00827187" w:rsidRPr="00827187">
        <w:rPr>
          <w:rFonts w:ascii="Times New Roman" w:hAnsi="Times New Roman" w:cs="Times New Roman"/>
          <w:bCs/>
          <w:sz w:val="24"/>
          <w:szCs w:val="24"/>
          <w:lang w:val="en-US"/>
        </w:rPr>
        <w:t>Krutova</w:t>
      </w:r>
      <w:proofErr w:type="spellEnd"/>
      <w:r w:rsidR="00827187" w:rsidRPr="00827187">
        <w:rPr>
          <w:rFonts w:ascii="Times New Roman" w:hAnsi="Times New Roman" w:cs="Times New Roman"/>
          <w:bCs/>
          <w:sz w:val="24"/>
          <w:szCs w:val="24"/>
          <w:lang w:val="en-US"/>
        </w:rPr>
        <w:t xml:space="preserve"> N. A. Analysis of modern trends in the development of the financial market in Russia/N. A. </w:t>
      </w:r>
      <w:proofErr w:type="spellStart"/>
      <w:r w:rsidR="00827187" w:rsidRPr="00827187">
        <w:rPr>
          <w:rFonts w:ascii="Times New Roman" w:hAnsi="Times New Roman" w:cs="Times New Roman"/>
          <w:bCs/>
          <w:sz w:val="24"/>
          <w:szCs w:val="24"/>
          <w:lang w:val="en-US"/>
        </w:rPr>
        <w:t>Krutova</w:t>
      </w:r>
      <w:proofErr w:type="spellEnd"/>
      <w:r w:rsidR="00827187" w:rsidRPr="00827187">
        <w:rPr>
          <w:rFonts w:ascii="Times New Roman" w:hAnsi="Times New Roman" w:cs="Times New Roman"/>
          <w:bCs/>
          <w:sz w:val="24"/>
          <w:szCs w:val="24"/>
          <w:lang w:val="en-US"/>
        </w:rPr>
        <w:t xml:space="preserve">, E. V. </w:t>
      </w:r>
      <w:proofErr w:type="spellStart"/>
      <w:r w:rsidR="00827187" w:rsidRPr="00827187">
        <w:rPr>
          <w:rFonts w:ascii="Times New Roman" w:hAnsi="Times New Roman" w:cs="Times New Roman"/>
          <w:bCs/>
          <w:sz w:val="24"/>
          <w:szCs w:val="24"/>
          <w:lang w:val="en-US"/>
        </w:rPr>
        <w:t>Korobeinikova</w:t>
      </w:r>
      <w:proofErr w:type="spellEnd"/>
      <w:r w:rsidR="00827187" w:rsidRPr="00827187">
        <w:rPr>
          <w:rFonts w:ascii="Times New Roman" w:hAnsi="Times New Roman" w:cs="Times New Roman"/>
          <w:bCs/>
          <w:sz w:val="24"/>
          <w:szCs w:val="24"/>
          <w:lang w:val="en-US"/>
        </w:rPr>
        <w:t>, A. A. Vysotskaya//Bulletin of Eurasian Science.</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2023.</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T. 15</w:t>
      </w:r>
      <w:r w:rsidR="00D14B64" w:rsidRPr="00D14B64">
        <w:rPr>
          <w:rFonts w:ascii="Times New Roman" w:hAnsi="Times New Roman" w:cs="Times New Roman"/>
          <w:bCs/>
          <w:sz w:val="24"/>
          <w:szCs w:val="24"/>
          <w:lang w:val="en-US"/>
        </w:rPr>
        <w:t>.</w:t>
      </w:r>
      <w:r w:rsidR="00827187" w:rsidRPr="00827187">
        <w:rPr>
          <w:rFonts w:ascii="Times New Roman" w:hAnsi="Times New Roman" w:cs="Times New Roman"/>
          <w:bCs/>
          <w:sz w:val="24"/>
          <w:szCs w:val="24"/>
          <w:lang w:val="en-US"/>
        </w:rPr>
        <w:t xml:space="preserve"> NO. 3.</w:t>
      </w:r>
      <w:r w:rsidR="00D14B64" w:rsidRPr="00D14B64">
        <w:rPr>
          <w:rFonts w:ascii="Times New Roman" w:hAnsi="Times New Roman" w:cs="Times New Roman"/>
          <w:bCs/>
          <w:sz w:val="24"/>
          <w:szCs w:val="24"/>
          <w:lang w:val="en-US"/>
        </w:rPr>
        <w:t xml:space="preserve"> </w:t>
      </w:r>
      <w:r w:rsidR="001766CA">
        <w:rPr>
          <w:rFonts w:ascii="Times New Roman" w:hAnsi="Times New Roman" w:cs="Times New Roman"/>
          <w:bCs/>
          <w:sz w:val="24"/>
          <w:szCs w:val="24"/>
          <w:lang w:val="en-US"/>
        </w:rPr>
        <w:t>pp</w:t>
      </w:r>
      <w:r w:rsidR="00827187" w:rsidRPr="00827187">
        <w:rPr>
          <w:rFonts w:ascii="Times New Roman" w:hAnsi="Times New Roman" w:cs="Times New Roman"/>
          <w:bCs/>
          <w:sz w:val="24"/>
          <w:szCs w:val="24"/>
          <w:lang w:val="en-US"/>
        </w:rPr>
        <w:t>. 116-125.</w:t>
      </w:r>
    </w:p>
    <w:p w14:paraId="73598AF4" w14:textId="09954E54" w:rsidR="00827187" w:rsidRPr="00827187" w:rsidRDefault="001568C0" w:rsidP="00827187">
      <w:pPr>
        <w:spacing w:after="0" w:line="240" w:lineRule="auto"/>
        <w:ind w:firstLine="709"/>
        <w:jc w:val="both"/>
        <w:rPr>
          <w:rFonts w:ascii="Times New Roman" w:hAnsi="Times New Roman" w:cs="Times New Roman"/>
          <w:bCs/>
          <w:sz w:val="24"/>
          <w:szCs w:val="24"/>
          <w:lang w:val="en-US"/>
        </w:rPr>
      </w:pPr>
      <w:r w:rsidRPr="001568C0">
        <w:rPr>
          <w:rFonts w:ascii="Times New Roman" w:hAnsi="Times New Roman" w:cs="Times New Roman"/>
          <w:bCs/>
          <w:sz w:val="24"/>
          <w:szCs w:val="24"/>
          <w:lang w:val="en-US"/>
        </w:rPr>
        <w:t>3</w:t>
      </w:r>
      <w:r w:rsidR="00827187" w:rsidRPr="00827187">
        <w:rPr>
          <w:rFonts w:ascii="Times New Roman" w:hAnsi="Times New Roman" w:cs="Times New Roman"/>
          <w:bCs/>
          <w:sz w:val="24"/>
          <w:szCs w:val="24"/>
          <w:lang w:val="en-US"/>
        </w:rPr>
        <w:t xml:space="preserve">. </w:t>
      </w:r>
      <w:proofErr w:type="spellStart"/>
      <w:r w:rsidR="00827187" w:rsidRPr="00827187">
        <w:rPr>
          <w:rFonts w:ascii="Times New Roman" w:hAnsi="Times New Roman" w:cs="Times New Roman"/>
          <w:bCs/>
          <w:sz w:val="24"/>
          <w:szCs w:val="24"/>
          <w:lang w:val="en-US"/>
        </w:rPr>
        <w:t>Meshkova</w:t>
      </w:r>
      <w:proofErr w:type="spellEnd"/>
      <w:r w:rsidR="00827187" w:rsidRPr="00827187">
        <w:rPr>
          <w:rFonts w:ascii="Times New Roman" w:hAnsi="Times New Roman" w:cs="Times New Roman"/>
          <w:bCs/>
          <w:sz w:val="24"/>
          <w:szCs w:val="24"/>
          <w:lang w:val="en-US"/>
        </w:rPr>
        <w:t xml:space="preserve"> E.I. On the risks of the ecosystem model of the financial services market and the directions of their regulation/E.I. </w:t>
      </w:r>
      <w:proofErr w:type="spellStart"/>
      <w:r w:rsidR="00827187" w:rsidRPr="00827187">
        <w:rPr>
          <w:rFonts w:ascii="Times New Roman" w:hAnsi="Times New Roman" w:cs="Times New Roman"/>
          <w:bCs/>
          <w:sz w:val="24"/>
          <w:szCs w:val="24"/>
          <w:lang w:val="en-US"/>
        </w:rPr>
        <w:t>Meshkova</w:t>
      </w:r>
      <w:proofErr w:type="spellEnd"/>
      <w:r w:rsidR="00827187" w:rsidRPr="00827187">
        <w:rPr>
          <w:rFonts w:ascii="Times New Roman" w:hAnsi="Times New Roman" w:cs="Times New Roman"/>
          <w:bCs/>
          <w:sz w:val="24"/>
          <w:szCs w:val="24"/>
          <w:lang w:val="en-US"/>
        </w:rPr>
        <w:t>//Finance, money, investments.</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2024.</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 3.</w:t>
      </w:r>
      <w:r w:rsidR="00D14B64" w:rsidRPr="00D14B64">
        <w:rPr>
          <w:rFonts w:ascii="Times New Roman" w:hAnsi="Times New Roman" w:cs="Times New Roman"/>
          <w:bCs/>
          <w:sz w:val="24"/>
          <w:szCs w:val="24"/>
          <w:lang w:val="en-US"/>
        </w:rPr>
        <w:t xml:space="preserve"> </w:t>
      </w:r>
      <w:r w:rsidR="001766CA">
        <w:rPr>
          <w:rFonts w:ascii="Times New Roman" w:hAnsi="Times New Roman" w:cs="Times New Roman"/>
          <w:bCs/>
          <w:sz w:val="24"/>
          <w:szCs w:val="24"/>
          <w:lang w:val="en-US"/>
        </w:rPr>
        <w:t>pp</w:t>
      </w:r>
      <w:r w:rsidR="00827187" w:rsidRPr="00827187">
        <w:rPr>
          <w:rFonts w:ascii="Times New Roman" w:hAnsi="Times New Roman" w:cs="Times New Roman"/>
          <w:bCs/>
          <w:sz w:val="24"/>
          <w:szCs w:val="24"/>
          <w:lang w:val="en-US"/>
        </w:rPr>
        <w:t>. 23-28.</w:t>
      </w:r>
    </w:p>
    <w:p w14:paraId="4D34A92D" w14:textId="0513A187" w:rsidR="00827187" w:rsidRPr="00827187" w:rsidRDefault="001568C0" w:rsidP="00827187">
      <w:pPr>
        <w:spacing w:after="0" w:line="240" w:lineRule="auto"/>
        <w:ind w:firstLine="709"/>
        <w:jc w:val="both"/>
        <w:rPr>
          <w:rFonts w:ascii="Times New Roman" w:hAnsi="Times New Roman" w:cs="Times New Roman"/>
          <w:bCs/>
          <w:sz w:val="24"/>
          <w:szCs w:val="24"/>
          <w:lang w:val="en-US"/>
        </w:rPr>
      </w:pPr>
      <w:r w:rsidRPr="00855A9F">
        <w:rPr>
          <w:rFonts w:ascii="Times New Roman" w:hAnsi="Times New Roman" w:cs="Times New Roman"/>
          <w:bCs/>
          <w:sz w:val="24"/>
          <w:szCs w:val="24"/>
          <w:lang w:val="en-US"/>
        </w:rPr>
        <w:t>4</w:t>
      </w:r>
      <w:r w:rsidR="00827187" w:rsidRPr="00827187">
        <w:rPr>
          <w:rFonts w:ascii="Times New Roman" w:hAnsi="Times New Roman" w:cs="Times New Roman"/>
          <w:bCs/>
          <w:sz w:val="24"/>
          <w:szCs w:val="24"/>
          <w:lang w:val="en-US"/>
        </w:rPr>
        <w:t>. Sakharov D. M. Development of the Russian financial market in the context of the structural transformation of the global financial system/D. M. Sakharov//Finance: theory and practice.</w:t>
      </w:r>
      <w:r w:rsidR="00D14B64" w:rsidRPr="00D14B64">
        <w:rPr>
          <w:rFonts w:ascii="Times New Roman" w:hAnsi="Times New Roman" w:cs="Times New Roman"/>
          <w:bCs/>
          <w:sz w:val="24"/>
          <w:szCs w:val="24"/>
          <w:lang w:val="en-US"/>
        </w:rPr>
        <w:t xml:space="preserve"> </w:t>
      </w:r>
      <w:r w:rsidR="00827187" w:rsidRPr="00827187">
        <w:rPr>
          <w:rFonts w:ascii="Times New Roman" w:hAnsi="Times New Roman" w:cs="Times New Roman"/>
          <w:bCs/>
          <w:sz w:val="24"/>
          <w:szCs w:val="24"/>
          <w:lang w:val="en-US"/>
        </w:rPr>
        <w:t>2025.</w:t>
      </w:r>
      <w:r w:rsidR="00D14B64">
        <w:rPr>
          <w:rFonts w:ascii="Times New Roman" w:hAnsi="Times New Roman" w:cs="Times New Roman"/>
          <w:bCs/>
          <w:sz w:val="24"/>
          <w:szCs w:val="24"/>
        </w:rPr>
        <w:t xml:space="preserve"> </w:t>
      </w:r>
      <w:r w:rsidR="00827187" w:rsidRPr="00827187">
        <w:rPr>
          <w:rFonts w:ascii="Times New Roman" w:hAnsi="Times New Roman" w:cs="Times New Roman"/>
          <w:bCs/>
          <w:sz w:val="24"/>
          <w:szCs w:val="24"/>
          <w:lang w:val="en-US"/>
        </w:rPr>
        <w:t>T. 29</w:t>
      </w:r>
      <w:r w:rsidR="00D14B64">
        <w:rPr>
          <w:rFonts w:ascii="Times New Roman" w:hAnsi="Times New Roman" w:cs="Times New Roman"/>
          <w:bCs/>
          <w:sz w:val="24"/>
          <w:szCs w:val="24"/>
        </w:rPr>
        <w:t>.</w:t>
      </w:r>
      <w:r w:rsidR="00827187" w:rsidRPr="00827187">
        <w:rPr>
          <w:rFonts w:ascii="Times New Roman" w:hAnsi="Times New Roman" w:cs="Times New Roman"/>
          <w:bCs/>
          <w:sz w:val="24"/>
          <w:szCs w:val="24"/>
          <w:lang w:val="en-US"/>
        </w:rPr>
        <w:t xml:space="preserve"> NO. 4.</w:t>
      </w:r>
      <w:r w:rsidR="00D14B64">
        <w:rPr>
          <w:rFonts w:ascii="Times New Roman" w:hAnsi="Times New Roman" w:cs="Times New Roman"/>
          <w:bCs/>
          <w:sz w:val="24"/>
          <w:szCs w:val="24"/>
        </w:rPr>
        <w:t xml:space="preserve"> </w:t>
      </w:r>
      <w:r w:rsidR="00827187" w:rsidRPr="00827187">
        <w:rPr>
          <w:rFonts w:ascii="Times New Roman" w:hAnsi="Times New Roman" w:cs="Times New Roman"/>
          <w:bCs/>
          <w:sz w:val="24"/>
          <w:szCs w:val="24"/>
          <w:lang w:val="en-US"/>
        </w:rPr>
        <w:t xml:space="preserve"> S. 49-70.</w:t>
      </w:r>
    </w:p>
    <w:sectPr w:rsidR="00827187" w:rsidRPr="00827187" w:rsidSect="00C37A6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F37C43"/>
    <w:rsid w:val="00007EA2"/>
    <w:rsid w:val="00136EE2"/>
    <w:rsid w:val="001568C0"/>
    <w:rsid w:val="001766CA"/>
    <w:rsid w:val="00197873"/>
    <w:rsid w:val="00205F62"/>
    <w:rsid w:val="0021780E"/>
    <w:rsid w:val="002D7945"/>
    <w:rsid w:val="00365485"/>
    <w:rsid w:val="0038489F"/>
    <w:rsid w:val="003D3EBD"/>
    <w:rsid w:val="0044321B"/>
    <w:rsid w:val="00445C72"/>
    <w:rsid w:val="005911A5"/>
    <w:rsid w:val="006073F5"/>
    <w:rsid w:val="0063692D"/>
    <w:rsid w:val="006C6FAB"/>
    <w:rsid w:val="006E7A0A"/>
    <w:rsid w:val="008208C1"/>
    <w:rsid w:val="00827187"/>
    <w:rsid w:val="00834476"/>
    <w:rsid w:val="00855A9F"/>
    <w:rsid w:val="00857344"/>
    <w:rsid w:val="00890154"/>
    <w:rsid w:val="00990E1D"/>
    <w:rsid w:val="009D2850"/>
    <w:rsid w:val="00A542D8"/>
    <w:rsid w:val="00AF74F7"/>
    <w:rsid w:val="00B5264F"/>
    <w:rsid w:val="00B65000"/>
    <w:rsid w:val="00BB5643"/>
    <w:rsid w:val="00C0138B"/>
    <w:rsid w:val="00C34285"/>
    <w:rsid w:val="00C37A6D"/>
    <w:rsid w:val="00C975D2"/>
    <w:rsid w:val="00CA63FC"/>
    <w:rsid w:val="00D14B64"/>
    <w:rsid w:val="00D7090C"/>
    <w:rsid w:val="00DA6EDD"/>
    <w:rsid w:val="00E4097D"/>
    <w:rsid w:val="00E90AEF"/>
    <w:rsid w:val="00F37C43"/>
    <w:rsid w:val="00F74E6A"/>
    <w:rsid w:val="00FD74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0D450"/>
  <w15:docId w15:val="{99ED9B66-6ABF-4970-AFF3-8E1D5A355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489F"/>
  </w:style>
  <w:style w:type="paragraph" w:styleId="1">
    <w:name w:val="heading 1"/>
    <w:basedOn w:val="a"/>
    <w:next w:val="a"/>
    <w:link w:val="10"/>
    <w:uiPriority w:val="9"/>
    <w:qFormat/>
    <w:rsid w:val="00F37C4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F37C4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37C4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37C4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37C4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37C4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37C4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37C4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37C4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37C4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F37C4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37C4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37C4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37C4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37C4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37C43"/>
    <w:rPr>
      <w:rFonts w:eastAsiaTheme="majorEastAsia" w:cstheme="majorBidi"/>
      <w:color w:val="595959" w:themeColor="text1" w:themeTint="A6"/>
    </w:rPr>
  </w:style>
  <w:style w:type="character" w:customStyle="1" w:styleId="80">
    <w:name w:val="Заголовок 8 Знак"/>
    <w:basedOn w:val="a0"/>
    <w:link w:val="8"/>
    <w:uiPriority w:val="9"/>
    <w:semiHidden/>
    <w:rsid w:val="00F37C4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37C43"/>
    <w:rPr>
      <w:rFonts w:eastAsiaTheme="majorEastAsia" w:cstheme="majorBidi"/>
      <w:color w:val="272727" w:themeColor="text1" w:themeTint="D8"/>
    </w:rPr>
  </w:style>
  <w:style w:type="paragraph" w:styleId="a3">
    <w:name w:val="Title"/>
    <w:basedOn w:val="a"/>
    <w:next w:val="a"/>
    <w:link w:val="a4"/>
    <w:uiPriority w:val="10"/>
    <w:qFormat/>
    <w:rsid w:val="00F37C4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37C4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37C43"/>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37C4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37C43"/>
    <w:pPr>
      <w:spacing w:before="160"/>
      <w:jc w:val="center"/>
    </w:pPr>
    <w:rPr>
      <w:i/>
      <w:iCs/>
      <w:color w:val="404040" w:themeColor="text1" w:themeTint="BF"/>
    </w:rPr>
  </w:style>
  <w:style w:type="character" w:customStyle="1" w:styleId="22">
    <w:name w:val="Цитата 2 Знак"/>
    <w:basedOn w:val="a0"/>
    <w:link w:val="21"/>
    <w:uiPriority w:val="29"/>
    <w:rsid w:val="00F37C43"/>
    <w:rPr>
      <w:i/>
      <w:iCs/>
      <w:color w:val="404040" w:themeColor="text1" w:themeTint="BF"/>
    </w:rPr>
  </w:style>
  <w:style w:type="paragraph" w:styleId="a7">
    <w:name w:val="List Paragraph"/>
    <w:basedOn w:val="a"/>
    <w:uiPriority w:val="34"/>
    <w:qFormat/>
    <w:rsid w:val="00F37C43"/>
    <w:pPr>
      <w:ind w:left="720"/>
      <w:contextualSpacing/>
    </w:pPr>
  </w:style>
  <w:style w:type="character" w:styleId="a8">
    <w:name w:val="Intense Emphasis"/>
    <w:basedOn w:val="a0"/>
    <w:uiPriority w:val="21"/>
    <w:qFormat/>
    <w:rsid w:val="00F37C43"/>
    <w:rPr>
      <w:i/>
      <w:iCs/>
      <w:color w:val="2F5496" w:themeColor="accent1" w:themeShade="BF"/>
    </w:rPr>
  </w:style>
  <w:style w:type="paragraph" w:styleId="a9">
    <w:name w:val="Intense Quote"/>
    <w:basedOn w:val="a"/>
    <w:next w:val="a"/>
    <w:link w:val="aa"/>
    <w:uiPriority w:val="30"/>
    <w:qFormat/>
    <w:rsid w:val="00F37C4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F37C43"/>
    <w:rPr>
      <w:i/>
      <w:iCs/>
      <w:color w:val="2F5496" w:themeColor="accent1" w:themeShade="BF"/>
    </w:rPr>
  </w:style>
  <w:style w:type="character" w:styleId="ab">
    <w:name w:val="Intense Reference"/>
    <w:basedOn w:val="a0"/>
    <w:uiPriority w:val="32"/>
    <w:qFormat/>
    <w:rsid w:val="00F37C43"/>
    <w:rPr>
      <w:b/>
      <w:bCs/>
      <w:smallCaps/>
      <w:color w:val="2F5496" w:themeColor="accent1" w:themeShade="BF"/>
      <w:spacing w:val="5"/>
    </w:rPr>
  </w:style>
  <w:style w:type="character" w:styleId="ac">
    <w:name w:val="annotation reference"/>
    <w:basedOn w:val="a0"/>
    <w:uiPriority w:val="99"/>
    <w:semiHidden/>
    <w:unhideWhenUsed/>
    <w:rsid w:val="00A542D8"/>
    <w:rPr>
      <w:sz w:val="16"/>
      <w:szCs w:val="16"/>
    </w:rPr>
  </w:style>
  <w:style w:type="paragraph" w:styleId="ad">
    <w:name w:val="annotation text"/>
    <w:basedOn w:val="a"/>
    <w:link w:val="ae"/>
    <w:uiPriority w:val="99"/>
    <w:semiHidden/>
    <w:unhideWhenUsed/>
    <w:rsid w:val="00A542D8"/>
    <w:pPr>
      <w:spacing w:line="240" w:lineRule="auto"/>
    </w:pPr>
    <w:rPr>
      <w:sz w:val="20"/>
      <w:szCs w:val="20"/>
    </w:rPr>
  </w:style>
  <w:style w:type="character" w:customStyle="1" w:styleId="ae">
    <w:name w:val="Текст примечания Знак"/>
    <w:basedOn w:val="a0"/>
    <w:link w:val="ad"/>
    <w:uiPriority w:val="99"/>
    <w:semiHidden/>
    <w:rsid w:val="00A542D8"/>
    <w:rPr>
      <w:sz w:val="20"/>
      <w:szCs w:val="20"/>
    </w:rPr>
  </w:style>
  <w:style w:type="paragraph" w:styleId="af">
    <w:name w:val="annotation subject"/>
    <w:basedOn w:val="ad"/>
    <w:next w:val="ad"/>
    <w:link w:val="af0"/>
    <w:uiPriority w:val="99"/>
    <w:semiHidden/>
    <w:unhideWhenUsed/>
    <w:rsid w:val="00A542D8"/>
    <w:rPr>
      <w:b/>
      <w:bCs/>
    </w:rPr>
  </w:style>
  <w:style w:type="character" w:customStyle="1" w:styleId="af0">
    <w:name w:val="Тема примечания Знак"/>
    <w:basedOn w:val="ae"/>
    <w:link w:val="af"/>
    <w:uiPriority w:val="99"/>
    <w:semiHidden/>
    <w:rsid w:val="00A542D8"/>
    <w:rPr>
      <w:b/>
      <w:bCs/>
      <w:sz w:val="20"/>
      <w:szCs w:val="20"/>
    </w:rPr>
  </w:style>
  <w:style w:type="paragraph" w:styleId="af1">
    <w:name w:val="Balloon Text"/>
    <w:basedOn w:val="a"/>
    <w:link w:val="af2"/>
    <w:uiPriority w:val="99"/>
    <w:semiHidden/>
    <w:unhideWhenUsed/>
    <w:rsid w:val="00A542D8"/>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A542D8"/>
    <w:rPr>
      <w:rFonts w:ascii="Segoe UI" w:hAnsi="Segoe UI" w:cs="Segoe UI"/>
      <w:sz w:val="18"/>
      <w:szCs w:val="18"/>
    </w:rPr>
  </w:style>
  <w:style w:type="character" w:styleId="af3">
    <w:name w:val="Hyperlink"/>
    <w:basedOn w:val="a0"/>
    <w:uiPriority w:val="99"/>
    <w:unhideWhenUsed/>
    <w:rsid w:val="00C37A6D"/>
    <w:rPr>
      <w:color w:val="0563C1" w:themeColor="hyperlink"/>
      <w:u w:val="single"/>
    </w:rPr>
  </w:style>
  <w:style w:type="character" w:styleId="af4">
    <w:name w:val="Unresolved Mention"/>
    <w:basedOn w:val="a0"/>
    <w:uiPriority w:val="99"/>
    <w:semiHidden/>
    <w:unhideWhenUsed/>
    <w:rsid w:val="00136E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166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Бар22</b:Tag>
    <b:SourceType>JournalArticle</b:SourceType>
    <b:Guid>{B3FF7FB2-6E17-4CE0-97B7-BF528FFD4338}</b:Guid>
    <b:Author>
      <b:Author>
        <b:NameList>
          <b:Person>
            <b:Last>И.В.</b:Last>
            <b:First>Баранова</b:First>
          </b:Person>
        </b:NameList>
      </b:Author>
    </b:Author>
    <b:Title>Цифровизация финансовых услуг как направление инновационного развития России</b:Title>
    <b:Year>2022</b:Year>
    <b:PeriodicalTitle>Баранова И. В. Цифровизация финансовых услуг как направление инновационного развития России / И. В. Баранова, М. Н. Гапон, Е. Е. Голова // Вопросы инновационной экономики. – 2022. – Т. 12, № 4. – С. 2583–2598.</b:PeriodicalTitle>
    <b:Pages>2583-2598</b:Pages>
    <b:JournalName>Баранова И. В. Цифровизация финансовых услуг как направление инновационного развития России / И. ВВопросы инновационной экономики</b:JournalName>
    <b:RefOrder>1</b:RefOrder>
  </b:Source>
</b:Sources>
</file>

<file path=customXml/itemProps1.xml><?xml version="1.0" encoding="utf-8"?>
<ds:datastoreItem xmlns:ds="http://schemas.openxmlformats.org/officeDocument/2006/customXml" ds:itemID="{2697E7CA-B2EB-4393-819F-EEA08C371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5</Pages>
  <Words>2861</Words>
  <Characters>16312</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Светлана</cp:lastModifiedBy>
  <cp:revision>35</cp:revision>
  <cp:lastPrinted>2026-05-14T07:05:00Z</cp:lastPrinted>
  <dcterms:created xsi:type="dcterms:W3CDTF">2026-05-11T11:59:00Z</dcterms:created>
  <dcterms:modified xsi:type="dcterms:W3CDTF">2026-05-15T07:11:00Z</dcterms:modified>
</cp:coreProperties>
</file>