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EFDF7F">
      <w:pPr>
        <w:spacing w:after="100" w:afterAutospacing="1" w:line="240" w:lineRule="auto"/>
        <w:ind w:firstLine="1134"/>
        <w:jc w:val="both"/>
        <w:rPr>
          <w:rFonts w:ascii="Times New Roman" w:hAnsi="Times New Roman" w:cs="Times New Roman"/>
          <w:color w:val="auto"/>
          <w:sz w:val="24"/>
          <w:szCs w:val="24"/>
          <w:highlight w:val="none"/>
        </w:rPr>
      </w:pPr>
      <w:r>
        <w:rPr>
          <w:rFonts w:ascii="Times New Roman" w:hAnsi="Times New Roman" w:cs="Times New Roman"/>
          <w:sz w:val="24"/>
          <w:szCs w:val="24"/>
        </w:rPr>
        <w:t>У</w:t>
      </w:r>
      <w:r>
        <w:rPr>
          <w:rFonts w:ascii="Times New Roman" w:hAnsi="Times New Roman" w:cs="Times New Roman"/>
          <w:sz w:val="24"/>
          <w:szCs w:val="24"/>
          <w:highlight w:val="none"/>
        </w:rPr>
        <w:t xml:space="preserve">ДК 332.1:001.895                                           </w:t>
      </w:r>
      <w:r>
        <w:rPr>
          <w:rFonts w:ascii="Times New Roman" w:hAnsi="Times New Roman" w:cs="Times New Roman"/>
          <w:color w:val="auto"/>
          <w:sz w:val="24"/>
          <w:szCs w:val="24"/>
          <w:highlight w:val="none"/>
        </w:rPr>
        <w:t xml:space="preserve">                  </w:t>
      </w:r>
      <w:r>
        <w:rPr>
          <w:rFonts w:ascii="Times New Roman" w:hAnsi="Times New Roman" w:cs="Times New Roman"/>
          <w:b/>
          <w:color w:val="auto"/>
          <w:sz w:val="24"/>
          <w:szCs w:val="24"/>
          <w:highlight w:val="none"/>
        </w:rPr>
        <w:t>Шавкун Г.А.</w:t>
      </w:r>
      <w:r>
        <w:rPr>
          <w:rFonts w:hint="default" w:ascii="Times New Roman" w:hAnsi="Times New Roman" w:cs="Times New Roman"/>
          <w:b/>
          <w:color w:val="auto"/>
          <w:sz w:val="24"/>
          <w:szCs w:val="24"/>
          <w:highlight w:val="none"/>
          <w:lang w:val="ru-RU"/>
        </w:rPr>
        <w:t>,</w:t>
      </w:r>
      <w:r>
        <w:rPr>
          <w:rFonts w:ascii="Times New Roman" w:hAnsi="Times New Roman" w:cs="Times New Roman"/>
          <w:color w:val="auto"/>
          <w:sz w:val="24"/>
          <w:szCs w:val="24"/>
          <w:highlight w:val="none"/>
        </w:rPr>
        <w:t xml:space="preserve"> </w:t>
      </w:r>
      <w:r>
        <w:rPr>
          <w:rFonts w:ascii="Times New Roman" w:hAnsi="Times New Roman" w:cs="Times New Roman"/>
          <w:b/>
          <w:color w:val="auto"/>
          <w:sz w:val="24"/>
          <w:szCs w:val="24"/>
          <w:highlight w:val="none"/>
        </w:rPr>
        <w:t>Биденко Т.</w:t>
      </w:r>
      <w:r>
        <w:rPr>
          <w:rFonts w:ascii="Times New Roman" w:hAnsi="Times New Roman" w:cs="Times New Roman"/>
          <w:b/>
          <w:color w:val="auto"/>
          <w:sz w:val="24"/>
          <w:szCs w:val="24"/>
          <w:highlight w:val="none"/>
          <w:lang w:val="ru-RU"/>
        </w:rPr>
        <w:t>В</w:t>
      </w:r>
      <w:r>
        <w:rPr>
          <w:rFonts w:ascii="Times New Roman" w:hAnsi="Times New Roman" w:cs="Times New Roman"/>
          <w:b/>
          <w:color w:val="auto"/>
          <w:sz w:val="24"/>
          <w:szCs w:val="24"/>
          <w:highlight w:val="none"/>
        </w:rPr>
        <w:t xml:space="preserve">, </w:t>
      </w:r>
    </w:p>
    <w:p w14:paraId="58AD68D6">
      <w:pPr>
        <w:keepNext w:val="0"/>
        <w:keepLines w:val="0"/>
        <w:pageBreakBefore w:val="0"/>
        <w:widowControl/>
        <w:kinsoku/>
        <w:wordWrap/>
        <w:overflowPunct/>
        <w:topLinePunct w:val="0"/>
        <w:autoSpaceDE/>
        <w:autoSpaceDN/>
        <w:bidi w:val="0"/>
        <w:adjustRightInd/>
        <w:snapToGrid/>
        <w:spacing w:after="0" w:afterAutospacing="0" w:line="240" w:lineRule="auto"/>
        <w:ind w:firstLine="1134"/>
        <w:jc w:val="center"/>
        <w:textAlignment w:val="auto"/>
        <w:rPr>
          <w:rFonts w:ascii="Times New Roman" w:hAnsi="Times New Roman" w:cs="Times New Roman"/>
          <w:b/>
          <w:bCs/>
          <w:color w:val="auto"/>
          <w:sz w:val="24"/>
          <w:szCs w:val="24"/>
          <w:highlight w:val="none"/>
        </w:rPr>
      </w:pPr>
      <w:r>
        <w:rPr>
          <w:rFonts w:ascii="Times New Roman" w:hAnsi="Times New Roman" w:cs="Times New Roman"/>
          <w:b/>
          <w:bCs/>
          <w:color w:val="auto"/>
          <w:sz w:val="24"/>
          <w:szCs w:val="24"/>
          <w:highlight w:val="none"/>
        </w:rPr>
        <w:t xml:space="preserve">ФОРМИРОВАНИЕ ПРОМЫШЛЕННОЙ ЭКОСИСТЕМЫ </w:t>
      </w:r>
    </w:p>
    <w:p w14:paraId="6B7F4333">
      <w:pPr>
        <w:keepNext w:val="0"/>
        <w:keepLines w:val="0"/>
        <w:pageBreakBefore w:val="0"/>
        <w:widowControl/>
        <w:kinsoku/>
        <w:wordWrap/>
        <w:overflowPunct/>
        <w:topLinePunct w:val="0"/>
        <w:autoSpaceDE/>
        <w:autoSpaceDN/>
        <w:bidi w:val="0"/>
        <w:adjustRightInd/>
        <w:snapToGrid/>
        <w:spacing w:after="0" w:afterAutospacing="0" w:line="240" w:lineRule="auto"/>
        <w:ind w:firstLine="1134"/>
        <w:jc w:val="center"/>
        <w:textAlignment w:val="auto"/>
        <w:rPr>
          <w:rFonts w:ascii="Times New Roman" w:hAnsi="Times New Roman" w:cs="Times New Roman"/>
          <w:b/>
          <w:bCs/>
          <w:color w:val="auto"/>
          <w:sz w:val="24"/>
          <w:szCs w:val="24"/>
          <w:highlight w:val="none"/>
        </w:rPr>
      </w:pPr>
      <w:r>
        <w:rPr>
          <w:rFonts w:ascii="Times New Roman" w:hAnsi="Times New Roman" w:cs="Times New Roman"/>
          <w:b/>
          <w:bCs/>
          <w:color w:val="auto"/>
          <w:sz w:val="24"/>
          <w:szCs w:val="24"/>
          <w:highlight w:val="none"/>
        </w:rPr>
        <w:t xml:space="preserve">ДОНЕЦКОЙ НАРОДНОЙ РЕСПУБЛИКИ НА ОСНОВЕ </w:t>
      </w:r>
    </w:p>
    <w:p w14:paraId="01F3FF61">
      <w:pPr>
        <w:keepNext w:val="0"/>
        <w:keepLines w:val="0"/>
        <w:pageBreakBefore w:val="0"/>
        <w:widowControl/>
        <w:kinsoku/>
        <w:wordWrap/>
        <w:overflowPunct/>
        <w:topLinePunct w:val="0"/>
        <w:autoSpaceDE/>
        <w:autoSpaceDN/>
        <w:bidi w:val="0"/>
        <w:adjustRightInd/>
        <w:snapToGrid/>
        <w:spacing w:after="0" w:afterAutospacing="0" w:line="240" w:lineRule="auto"/>
        <w:ind w:firstLine="1134"/>
        <w:jc w:val="center"/>
        <w:textAlignment w:val="auto"/>
        <w:rPr>
          <w:rFonts w:ascii="Times New Roman" w:hAnsi="Times New Roman" w:cs="Times New Roman"/>
          <w:b/>
          <w:bCs/>
          <w:color w:val="auto"/>
          <w:sz w:val="24"/>
          <w:szCs w:val="24"/>
          <w:highlight w:val="none"/>
        </w:rPr>
      </w:pPr>
      <w:r>
        <w:rPr>
          <w:rFonts w:ascii="Times New Roman" w:hAnsi="Times New Roman" w:cs="Times New Roman"/>
          <w:b/>
          <w:bCs/>
          <w:color w:val="auto"/>
          <w:sz w:val="24"/>
          <w:szCs w:val="24"/>
          <w:highlight w:val="none"/>
        </w:rPr>
        <w:t>НАУЧНО-ТЕХНОЛОГИЧЕСКИХ ПРИОРИТЕТОВ</w:t>
      </w:r>
      <w:r>
        <w:rPr>
          <w:rStyle w:val="13"/>
          <w:rFonts w:ascii="Times New Roman" w:hAnsi="Times New Roman" w:cs="Times New Roman"/>
          <w:b/>
          <w:bCs/>
          <w:color w:val="auto"/>
          <w:sz w:val="24"/>
          <w:szCs w:val="24"/>
          <w:highlight w:val="none"/>
        </w:rPr>
        <w:footnoteReference w:id="0"/>
      </w:r>
    </w:p>
    <w:p w14:paraId="17DA1E59">
      <w:pPr>
        <w:spacing w:after="0" w:line="240" w:lineRule="auto"/>
        <w:ind w:firstLine="1134"/>
        <w:jc w:val="both"/>
        <w:rPr>
          <w:rFonts w:ascii="Times New Roman" w:hAnsi="Times New Roman" w:cs="Times New Roman"/>
          <w:b/>
          <w:bCs/>
          <w:sz w:val="24"/>
          <w:szCs w:val="24"/>
          <w:highlight w:val="none"/>
        </w:rPr>
      </w:pPr>
    </w:p>
    <w:p w14:paraId="46A30243">
      <w:pPr>
        <w:spacing w:after="0" w:line="240" w:lineRule="auto"/>
        <w:ind w:firstLine="1134"/>
        <w:jc w:val="both"/>
        <w:rPr>
          <w:rFonts w:ascii="Times New Roman" w:hAnsi="Times New Roman" w:cs="Times New Roman"/>
          <w:sz w:val="24"/>
          <w:szCs w:val="24"/>
          <w:highlight w:val="none"/>
        </w:rPr>
      </w:pPr>
      <w:r>
        <w:rPr>
          <w:rFonts w:ascii="Times New Roman" w:hAnsi="Times New Roman" w:cs="Times New Roman"/>
          <w:b/>
          <w:bCs/>
          <w:sz w:val="24"/>
          <w:szCs w:val="24"/>
          <w:highlight w:val="none"/>
        </w:rPr>
        <w:t>Аннотация:</w:t>
      </w:r>
      <w:r>
        <w:rPr>
          <w:rFonts w:ascii="Times New Roman" w:hAnsi="Times New Roman" w:cs="Times New Roman"/>
          <w:sz w:val="24"/>
          <w:szCs w:val="24"/>
          <w:highlight w:val="none"/>
        </w:rPr>
        <w:t xml:space="preserve"> В статье исследованы теоретико-методические подходы к формированию промышленной экосистемы Донецкой Народной Республики на основе научно-технологических приоритетов. Обоснована роль экосистемного и агломерационного подходов в обеспечении пространственной связанности, технологической модернизации и межотраслевой кооперации региона. Определены ключевые направления формирования промышленной экосистемы ДНР и механизмы интеграции научно-образовательного, производственного и цифрового контуров развития.</w:t>
      </w:r>
    </w:p>
    <w:p w14:paraId="73DD658C">
      <w:pPr>
        <w:spacing w:after="0" w:line="240" w:lineRule="auto"/>
        <w:ind w:firstLine="1134"/>
        <w:jc w:val="both"/>
        <w:rPr>
          <w:rFonts w:ascii="Times New Roman" w:hAnsi="Times New Roman" w:cs="Times New Roman"/>
          <w:sz w:val="24"/>
          <w:szCs w:val="24"/>
          <w:highlight w:val="none"/>
        </w:rPr>
      </w:pPr>
      <w:r>
        <w:rPr>
          <w:rFonts w:ascii="Times New Roman" w:hAnsi="Times New Roman" w:cs="Times New Roman"/>
          <w:b/>
          <w:bCs/>
          <w:sz w:val="24"/>
          <w:szCs w:val="24"/>
          <w:highlight w:val="none"/>
        </w:rPr>
        <w:t>Ключевые слова:</w:t>
      </w:r>
      <w:r>
        <w:rPr>
          <w:rFonts w:ascii="Times New Roman" w:hAnsi="Times New Roman" w:cs="Times New Roman"/>
          <w:sz w:val="24"/>
          <w:szCs w:val="24"/>
          <w:highlight w:val="none"/>
        </w:rPr>
        <w:t xml:space="preserve"> промышленная экосистема; научно-технологические приоритеты; пространственное развитие; агломерационный подход; технологическая модернизация; межотраслевая кооперация.</w:t>
      </w:r>
    </w:p>
    <w:p w14:paraId="6E7D9CF4">
      <w:pPr>
        <w:spacing w:after="0" w:line="240" w:lineRule="auto"/>
        <w:ind w:firstLine="1134"/>
        <w:jc w:val="both"/>
        <w:rPr>
          <w:rFonts w:ascii="Times New Roman" w:hAnsi="Times New Roman" w:cs="Times New Roman"/>
          <w:sz w:val="24"/>
          <w:szCs w:val="24"/>
          <w:highlight w:val="none"/>
        </w:rPr>
      </w:pPr>
      <w:bookmarkStart w:id="0" w:name="_GoBack"/>
      <w:bookmarkEnd w:id="0"/>
    </w:p>
    <w:p w14:paraId="12D359AE">
      <w:pPr>
        <w:spacing w:after="0" w:line="240" w:lineRule="auto"/>
        <w:ind w:firstLine="1134"/>
        <w:jc w:val="both"/>
        <w:rPr>
          <w:rFonts w:ascii="Times New Roman" w:hAnsi="Times New Roman" w:cs="Times New Roman"/>
          <w:sz w:val="24"/>
          <w:szCs w:val="24"/>
          <w:highlight w:val="none"/>
        </w:rPr>
      </w:pPr>
      <w:r>
        <w:rPr>
          <w:rFonts w:ascii="Times New Roman" w:hAnsi="Times New Roman" w:cs="Times New Roman"/>
          <w:b/>
          <w:sz w:val="24"/>
          <w:szCs w:val="24"/>
          <w:highlight w:val="none"/>
        </w:rPr>
        <w:t>Введение.</w:t>
      </w:r>
      <w:r>
        <w:rPr>
          <w:rFonts w:ascii="Times New Roman" w:hAnsi="Times New Roman" w:cs="Times New Roman"/>
          <w:sz w:val="24"/>
          <w:szCs w:val="24"/>
          <w:highlight w:val="none"/>
        </w:rPr>
        <w:t xml:space="preserve"> В условиях цифровой трансформации экономики и усиления технологической конкуренции особую значимость приобретают новые модели пространственного и промышленного развития регионов [1]. Для Донецкой Народной Республики как геостратегической территории Российской Федерации важным направлением становится формирование промышленной экосистемы, обеспечивающей технологическую модернизацию, межотраслевую кооперацию и устойчивость региональной экономики. Существенное значение в данных условиях приобретает определение научно-технологических приоритетов, ориентированных на развитие высокотехнологичных производств и интеграцию региона в единое научно-технологическое пространство Российской Федерации [2].</w:t>
      </w:r>
    </w:p>
    <w:p w14:paraId="2B01C5FF">
      <w:pPr>
        <w:spacing w:after="0" w:line="240" w:lineRule="auto"/>
        <w:ind w:firstLine="1134"/>
        <w:jc w:val="both"/>
        <w:rPr>
          <w:rFonts w:ascii="Times New Roman" w:hAnsi="Times New Roman" w:cs="Times New Roman"/>
          <w:sz w:val="24"/>
          <w:szCs w:val="24"/>
          <w:highlight w:val="none"/>
        </w:rPr>
      </w:pPr>
      <w:r>
        <w:rPr>
          <w:rFonts w:ascii="Times New Roman" w:hAnsi="Times New Roman" w:cs="Times New Roman"/>
          <w:b/>
          <w:sz w:val="24"/>
          <w:szCs w:val="24"/>
          <w:highlight w:val="none"/>
        </w:rPr>
        <w:t>Актуальность исследования</w:t>
      </w:r>
      <w:r>
        <w:rPr>
          <w:rFonts w:ascii="Times New Roman" w:hAnsi="Times New Roman" w:cs="Times New Roman"/>
          <w:sz w:val="24"/>
          <w:szCs w:val="24"/>
          <w:highlight w:val="none"/>
        </w:rPr>
        <w:t xml:space="preserve"> обусловлена необходимостью разработки подходов к формированию промышленной экосистемы Донецкой Народной Республики в условиях структурной трансформации экономики и пространственного развития региона. Особое значение приобретает определение научно-технологических приоритетов, обеспечивающих восстановление производственного потенциала, развитие межотраслевой кооперации и формирование устойчивых производственных цепочек [3]. Кроме того, актуальность исследования связана с необходимостью применения агломерационного и экосистемного подходов к организации промышленного развития ДНР.</w:t>
      </w:r>
    </w:p>
    <w:p w14:paraId="064D2C87">
      <w:pPr>
        <w:spacing w:after="0" w:line="240" w:lineRule="auto"/>
        <w:ind w:firstLine="1134"/>
        <w:jc w:val="both"/>
        <w:rPr>
          <w:rFonts w:ascii="Times New Roman" w:hAnsi="Times New Roman" w:cs="Times New Roman"/>
          <w:sz w:val="24"/>
          <w:szCs w:val="24"/>
          <w:highlight w:val="none"/>
        </w:rPr>
      </w:pPr>
      <w:r>
        <w:rPr>
          <w:rFonts w:ascii="Times New Roman" w:hAnsi="Times New Roman" w:cs="Times New Roman"/>
          <w:b/>
          <w:sz w:val="24"/>
          <w:szCs w:val="24"/>
          <w:highlight w:val="none"/>
        </w:rPr>
        <w:t>Целью</w:t>
      </w:r>
      <w:r>
        <w:rPr>
          <w:rFonts w:ascii="Times New Roman" w:hAnsi="Times New Roman" w:cs="Times New Roman"/>
          <w:sz w:val="24"/>
          <w:szCs w:val="24"/>
          <w:highlight w:val="none"/>
        </w:rPr>
        <w:t xml:space="preserve"> статьи является обоснование теоретико-методических подходов к формированию промышленной экосистемы Донецкой Народной Республики на основе научно-технологических приоритетов с учетом пространственных особенностей региона, агломерационных процессов и задач интеграции в единое научно-технологическое пространство Российской Федерации. </w:t>
      </w:r>
    </w:p>
    <w:p w14:paraId="641105FB">
      <w:pPr>
        <w:spacing w:after="0" w:line="240" w:lineRule="auto"/>
        <w:ind w:firstLine="1134"/>
        <w:jc w:val="both"/>
        <w:rPr>
          <w:rFonts w:ascii="Times New Roman" w:hAnsi="Times New Roman" w:cs="Times New Roman"/>
          <w:sz w:val="24"/>
          <w:szCs w:val="24"/>
          <w:highlight w:val="none"/>
        </w:rPr>
      </w:pPr>
      <w:r>
        <w:rPr>
          <w:rFonts w:ascii="Times New Roman" w:hAnsi="Times New Roman" w:cs="Times New Roman"/>
          <w:sz w:val="24"/>
          <w:szCs w:val="24"/>
          <w:highlight w:val="none"/>
        </w:rPr>
        <w:t xml:space="preserve">В процессе исследования использованы </w:t>
      </w:r>
      <w:r>
        <w:rPr>
          <w:rFonts w:ascii="Times New Roman" w:hAnsi="Times New Roman" w:cs="Times New Roman"/>
          <w:b/>
          <w:sz w:val="24"/>
          <w:szCs w:val="24"/>
          <w:highlight w:val="none"/>
        </w:rPr>
        <w:t>методы</w:t>
      </w:r>
      <w:r>
        <w:rPr>
          <w:rFonts w:ascii="Times New Roman" w:hAnsi="Times New Roman" w:cs="Times New Roman"/>
          <w:sz w:val="24"/>
          <w:szCs w:val="24"/>
          <w:highlight w:val="none"/>
        </w:rPr>
        <w:t xml:space="preserve"> системного, сравнительного, стратегического и пространственного анализа, а также элементы кластерного и экосистемного моделирования. Информационную базу исследования составили нормативно-правовые документы, статистические и аналитические материалы, а также научные публикации по вопросам пространственного и промышленного развития территорий.</w:t>
      </w:r>
    </w:p>
    <w:p w14:paraId="7A51FC2F">
      <w:pPr>
        <w:spacing w:after="0" w:line="240" w:lineRule="auto"/>
        <w:ind w:firstLine="1134"/>
        <w:jc w:val="both"/>
        <w:rPr>
          <w:rFonts w:ascii="Times New Roman" w:hAnsi="Times New Roman" w:cs="Times New Roman"/>
          <w:sz w:val="24"/>
          <w:szCs w:val="24"/>
        </w:rPr>
      </w:pPr>
      <w:r>
        <w:rPr>
          <w:rFonts w:ascii="Times New Roman" w:hAnsi="Times New Roman" w:cs="Times New Roman"/>
          <w:b/>
          <w:sz w:val="24"/>
          <w:szCs w:val="24"/>
          <w:highlight w:val="none"/>
        </w:rPr>
        <w:t>Основные результаты исследования.</w:t>
      </w:r>
      <w:r>
        <w:rPr>
          <w:rFonts w:ascii="Times New Roman" w:hAnsi="Times New Roman" w:cs="Times New Roman"/>
          <w:sz w:val="24"/>
          <w:szCs w:val="24"/>
          <w:highlight w:val="none"/>
        </w:rPr>
        <w:t xml:space="preserve"> Формирование промышленной экосистемы Донецкой Народной Республики следует рассматривать как процесс институциональной, технологической и пространственной интеграции промышленности, научно-образовательных организаций, органов управления и инновационной</w:t>
      </w:r>
      <w:r>
        <w:rPr>
          <w:rFonts w:ascii="Times New Roman" w:hAnsi="Times New Roman" w:cs="Times New Roman"/>
          <w:sz w:val="24"/>
          <w:szCs w:val="24"/>
        </w:rPr>
        <w:t xml:space="preserve"> инфраструктуры. В отличие от традиционной отраслевой модели, экосистемный подход ориентирован на развитие устойчивых межотраслевых связей, производственной кооперации и технологических цепочек, обеспечивающих адаптивность региональной экономики к современным вызовам [4].</w:t>
      </w:r>
    </w:p>
    <w:p w14:paraId="7D0277DA">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В условиях ДНР промышленная экосистема выступает механизмом восстановления и модернизации производственного потенциала, развития несырьевых производств и интеграции региона в научно-технологическое пространство Российской Федерации [5]. Ключевым условием её формирования является определение научно-технологических приоритетов, соответствующих глобальным технологическим трендам, потребностям экономики и кадрово-научному потенциалу региона. Научно-технологические приоритеты в данном случае выступают инструментом структурирования промышленной политики и формирования устойчивых производственных и инновационных связей [6].</w:t>
      </w:r>
    </w:p>
    <w:p w14:paraId="02DFD464">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С учетом промышленной специализации ДНР наиболее значимыми направлениями формирования промышленной экосистемы являются цифровизация промышленности, модернизация металлургического и машиностроительного комплексов, развитие химических и биотехнологий, ресурсосберегающей энергетики, цифровой инфраструктуры и систем информационной безопасности. Особое значение имеет внедрение цифровых технологий проектирования и управления производством, обеспечивающих повышение эффективности и ускорение технологической модернизации предприятий.</w:t>
      </w:r>
    </w:p>
    <w:p w14:paraId="3CF45D55">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Металлургический, машиностроительный и горнодобывающий комплексы могут рассматриваться в качестве ядра промышленной экосистемы региона, формирующего основу межотраслевой кооперации и новых производственных цепочек. Существенным потенциалом обладают также химические технологии и биотехнологии, ориентированные на производство материалов нового поколения, развитие АПК и экологические решения. Важным элементом промышленной экосистемы выступает цифровая инфраструктура, обеспечивающая информационную связанность субъектов регионального развития и поддержку принятия управленческих решений.</w:t>
      </w:r>
    </w:p>
    <w:p w14:paraId="4B7D1CB5">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С пространственной точки зрения формирование промышленной экосистемы ДНР должно базироваться на агломерационном подходе, предполагающем развитие перспективных центров экономического роста и специализированных функциональных узлов. Такой подход способствует повышению связанности территориального развития, развитию межотраслевой кооперации и формированию устойчивых производственных систем [7].</w:t>
      </w:r>
    </w:p>
    <w:p w14:paraId="5A6EB536">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В пространственной структуре промышленной экосистемы ДНР могут быть выделены индустриально-производственные, научно-образовательные, агропромышленные, логистические и инновационно-технологические узлы. Индустриально-производственные узлы обеспечивают развитие базовых отраслей и производственной кооперации, научно-образовательные - подготовку кадров и проведение прикладных исследований, агропромышленные - развитие переработки сельскохозяйственной продукции и продовольственную безопасность. Логистические и инновационно-технологические узлы обеспечивают связанность производственных цепочек, развитие инжиниринга, трансфера технологий и цифровых решений [8].</w:t>
      </w:r>
    </w:p>
    <w:p w14:paraId="5903B686">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Особое значение в промышленной экосистеме ДНР приобретает научно-образовательный контур, обеспечивающий не только подготовку кадров, но и трансфер знаний в производство [9, 10]. Для этого необходимо развитие взаимодействия между университетами, научными организациями и предприятиями посредством создания совместных лабораторий, инжиниринговых центров и программ прикладной подготовки специалистов. Научно-образовательные организации должны выступать активными участниками технологического развития региона.</w:t>
      </w:r>
    </w:p>
    <w:p w14:paraId="4517B776">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Эффективность промышленной экосистемы во многом определяется уровнем кооперации между крупными предприятиями, малыми и средними технологическими компаниями, научными организациями и органами управления [11]. Крупные предприятия формируют спрос на инновационные решения и выступают якорными субъектами экосистемы, тогда как малые и средние компании обеспечивают гибкость и развитие технологических ниш. Органы власти создают институциональные условия и инфраструктуру поддержки, а научно-образовательный сектор обеспечивает кадровое и аналитическое сопровождение [12,13].</w:t>
      </w:r>
    </w:p>
    <w:p w14:paraId="3DA9E616">
      <w:pPr>
        <w:spacing w:after="0" w:line="240" w:lineRule="auto"/>
        <w:ind w:firstLine="1134"/>
        <w:jc w:val="both"/>
        <w:rPr>
          <w:rFonts w:ascii="Times New Roman" w:hAnsi="Times New Roman" w:cs="Times New Roman"/>
          <w:sz w:val="24"/>
          <w:szCs w:val="24"/>
        </w:rPr>
      </w:pPr>
      <w:r>
        <w:rPr>
          <w:rFonts w:ascii="Times New Roman" w:hAnsi="Times New Roman" w:cs="Times New Roman"/>
          <w:sz w:val="24"/>
          <w:szCs w:val="24"/>
        </w:rPr>
        <w:t>Таким образом, промышленная экосистема ДНР представляет собой совокупность взаимосвязанных производственного, научно-образовательного, инфраструктурного, цифрового, институционального и пространственного контуров. Результатом её формирования должно стать повышение связанности экономики региона, развитие межотраслевой кооперации, рост технологической самостоятельности и устойчивости территориального развития. Следовательно, формирование промышленной экосистемы на основе научно-технологических приоритетов является важнейшим направлением пространственного и промышленного развития Донецкой Народной Республики как геостратегической территории Российской Федерации.</w:t>
      </w:r>
    </w:p>
    <w:p w14:paraId="2A1F9AEA">
      <w:pPr>
        <w:spacing w:after="0" w:line="240" w:lineRule="auto"/>
        <w:ind w:firstLine="1134"/>
        <w:jc w:val="both"/>
        <w:rPr>
          <w:rFonts w:ascii="Times New Roman" w:hAnsi="Times New Roman" w:cs="Times New Roman"/>
          <w:sz w:val="24"/>
          <w:szCs w:val="24"/>
        </w:rPr>
      </w:pPr>
      <w:r>
        <w:rPr>
          <w:rFonts w:ascii="Times New Roman" w:hAnsi="Times New Roman" w:cs="Times New Roman"/>
          <w:b/>
          <w:sz w:val="24"/>
          <w:szCs w:val="24"/>
        </w:rPr>
        <w:t>Выводы.</w:t>
      </w:r>
      <w:r>
        <w:rPr>
          <w:rFonts w:ascii="Times New Roman" w:hAnsi="Times New Roman" w:cs="Times New Roman"/>
          <w:sz w:val="24"/>
          <w:szCs w:val="24"/>
        </w:rPr>
        <w:t xml:space="preserve"> Проведенное исследование показало, что формирование промышленной экосистемы Донецкой Народной Республики следует рассматривать как комплексный процесс пространственной, технологической и институциональной трансформации региональной экономики. Обосновано, что научно-технологические приоритеты выступают системообразующей основой промышленной экосистемы, определяя направления технологической модернизации, отраслевой специализации и межотраслевой кооперации региона. Установлено, что пространственная организация промышленной экосистемы ДНР должна базироваться на агломерационном подходе, обеспечивающем связанность территориального развития и формирование специализированных функциональных узлов. Практическая значимость исследования заключается в возможности использования предложенных подходов при разработке механизмов пространственного и промышленного развития Донецкой Народной Республики как геостратегической территории Российской Федерации.</w:t>
      </w:r>
    </w:p>
    <w:p w14:paraId="4ECFF022">
      <w:pPr>
        <w:spacing w:after="0" w:line="240" w:lineRule="auto"/>
        <w:ind w:firstLine="1134"/>
        <w:jc w:val="both"/>
        <w:rPr>
          <w:rFonts w:ascii="Times New Roman" w:hAnsi="Times New Roman" w:cs="Times New Roman"/>
          <w:sz w:val="24"/>
          <w:szCs w:val="24"/>
        </w:rPr>
      </w:pPr>
      <w:r>
        <w:rPr>
          <w:rFonts w:ascii="Times New Roman" w:hAnsi="Times New Roman" w:cs="Times New Roman"/>
          <w:b/>
          <w:sz w:val="24"/>
          <w:szCs w:val="24"/>
        </w:rPr>
        <w:t>Перспективы дальнейших исследований</w:t>
      </w:r>
      <w:r>
        <w:rPr>
          <w:rFonts w:ascii="Times New Roman" w:hAnsi="Times New Roman" w:cs="Times New Roman"/>
          <w:sz w:val="24"/>
          <w:szCs w:val="24"/>
        </w:rPr>
        <w:t xml:space="preserve"> связаны с разработкой научно-методического инструментария оценки эффективности промышленной экосистемы Донецкой Народной Республики, включая систему показателей инновационной активности, технологической кооперации и цифровизации производственных процессов. Особую актуальность приобретает исследование механизмов формирования межотраслевых производственных цепочек, функциональной специализации городских агломераций и развития промышленных кластеров региона. Перспективным направлением также является изучение возможностей интеграции промышленной экосистемы ДНР в федеральные научно-технологические и производственные цепочки Российской Федерации в условиях цифровой трансформации экономики.</w:t>
      </w:r>
    </w:p>
    <w:p w14:paraId="1EC11D43">
      <w:pPr>
        <w:spacing w:after="100" w:afterAutospacing="1" w:line="240" w:lineRule="auto"/>
        <w:ind w:firstLine="1134"/>
        <w:jc w:val="center"/>
        <w:rPr>
          <w:rFonts w:ascii="Times New Roman" w:hAnsi="Times New Roman" w:cs="Times New Roman"/>
          <w:sz w:val="24"/>
          <w:szCs w:val="24"/>
        </w:rPr>
      </w:pPr>
      <w:r>
        <w:rPr>
          <w:rFonts w:ascii="Times New Roman" w:hAnsi="Times New Roman" w:cs="Times New Roman"/>
          <w:sz w:val="24"/>
          <w:szCs w:val="24"/>
        </w:rPr>
        <w:t>Библиографический список</w:t>
      </w:r>
    </w:p>
    <w:p w14:paraId="5F38C5D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1. Половян А.В. Проблемы и перспективы социально-экономического развития новых субъектов Российской Федерации // Вестник Института экономических исследований. 2023. № 1(25). С. 5-14.</w:t>
      </w:r>
    </w:p>
    <w:p w14:paraId="79CB71E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2. Бухвальд Е.М. Формирование «точек роста» как инструмент политики пространственного развития экономики России // Вестник Волгоградского государственного университета. Экономика. 2017. Т. 19. № 2. С. 6-15.</w:t>
      </w:r>
    </w:p>
    <w:p w14:paraId="5065152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 Растворцева С.Н. Инновационный путь изменения траектории предшествующего развития экономики региона // Экономика региона. 2020. Т. 16. № 1. С. 28-42.</w:t>
      </w:r>
    </w:p>
    <w:p w14:paraId="3D9A765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 Манаева И.В., Растворцева С.Н. Пространственное развитие городов России: теория, анализ, моделирование: монография. Белгород: ИД «БелГУ» НИУ «БелГУ», 2021. 196 с.</w:t>
      </w:r>
    </w:p>
    <w:p w14:paraId="69BAC5A3">
      <w:pPr>
        <w:spacing w:after="0" w:line="240" w:lineRule="auto"/>
        <w:ind w:firstLine="709"/>
        <w:jc w:val="both"/>
        <w:rPr>
          <w:rFonts w:ascii="Times New Roman" w:hAnsi="Times New Roman" w:cs="Times New Roman"/>
          <w:sz w:val="24"/>
          <w:szCs w:val="24"/>
          <w:highlight w:val="none"/>
        </w:rPr>
      </w:pPr>
      <w:r>
        <w:rPr>
          <w:rFonts w:ascii="Times New Roman" w:hAnsi="Times New Roman" w:cs="Times New Roman"/>
          <w:sz w:val="24"/>
          <w:szCs w:val="24"/>
        </w:rPr>
        <w:t>5. Котов А.В. Методический подход к определению умной с</w:t>
      </w:r>
      <w:r>
        <w:rPr>
          <w:rFonts w:ascii="Times New Roman" w:hAnsi="Times New Roman" w:cs="Times New Roman"/>
          <w:sz w:val="24"/>
          <w:szCs w:val="24"/>
          <w:highlight w:val="none"/>
        </w:rPr>
        <w:t>пециализации регионов России // Регион: Экономика и Социология. 2020. № 2(106). С. 22-45.</w:t>
      </w:r>
    </w:p>
    <w:p w14:paraId="67BCC342">
      <w:pPr>
        <w:spacing w:after="0" w:line="240" w:lineRule="auto"/>
        <w:ind w:firstLine="709"/>
        <w:jc w:val="both"/>
        <w:rPr>
          <w:rFonts w:ascii="Times New Roman" w:hAnsi="Times New Roman" w:cs="Times New Roman"/>
          <w:sz w:val="24"/>
          <w:szCs w:val="24"/>
          <w:highlight w:val="none"/>
        </w:rPr>
      </w:pPr>
      <w:r>
        <w:rPr>
          <w:rFonts w:ascii="Times New Roman" w:hAnsi="Times New Roman" w:cs="Times New Roman"/>
          <w:sz w:val="24"/>
          <w:szCs w:val="24"/>
          <w:highlight w:val="none"/>
        </w:rPr>
        <w:t>6. Половян А.В., Шабалина Л.В., Синицына К.И. Приоритеты научно-технологического развития Донецкой Народной Республики // Экономика, предпринимательство и право. 2026. Т. 16. № 5. DOI: 10.18334/epp.16.5.125010.</w:t>
      </w:r>
    </w:p>
    <w:p w14:paraId="2010376F">
      <w:pPr>
        <w:spacing w:after="0" w:line="240" w:lineRule="auto"/>
        <w:ind w:firstLine="709"/>
        <w:jc w:val="both"/>
        <w:rPr>
          <w:rFonts w:ascii="Times New Roman" w:hAnsi="Times New Roman" w:cs="Times New Roman"/>
          <w:sz w:val="24"/>
          <w:szCs w:val="24"/>
          <w:highlight w:val="none"/>
        </w:rPr>
      </w:pPr>
      <w:r>
        <w:rPr>
          <w:rFonts w:ascii="Times New Roman" w:hAnsi="Times New Roman" w:cs="Times New Roman"/>
          <w:sz w:val="24"/>
          <w:szCs w:val="24"/>
          <w:highlight w:val="none"/>
        </w:rPr>
        <w:t>7. Зубаревич Н.В., Сафронов С.Г. Неравенство социально-экономического развития регионов и городов России 2000-х годов: рост или снижение? // Общественные науки и современность. 2013. № 6. С. 15-26.</w:t>
      </w:r>
    </w:p>
    <w:p w14:paraId="01009508">
      <w:pPr>
        <w:spacing w:after="0" w:line="240" w:lineRule="auto"/>
        <w:ind w:firstLine="709"/>
        <w:jc w:val="both"/>
        <w:rPr>
          <w:rFonts w:ascii="Times New Roman" w:hAnsi="Times New Roman" w:cs="Times New Roman"/>
          <w:sz w:val="24"/>
          <w:szCs w:val="24"/>
          <w:highlight w:val="none"/>
        </w:rPr>
      </w:pPr>
      <w:r>
        <w:rPr>
          <w:rFonts w:ascii="Times New Roman" w:hAnsi="Times New Roman" w:cs="Times New Roman"/>
          <w:sz w:val="24"/>
          <w:szCs w:val="24"/>
          <w:highlight w:val="none"/>
        </w:rPr>
        <w:t>8. Коломак Е.А. Пространственное развитие России в XXI в. // Пространственная экономика. 2019. Т. 15. № 4. С. 85-106.</w:t>
      </w:r>
    </w:p>
    <w:p w14:paraId="7D9ED067">
      <w:pPr>
        <w:spacing w:after="0" w:line="240" w:lineRule="auto"/>
        <w:ind w:firstLine="709"/>
        <w:jc w:val="both"/>
        <w:rPr>
          <w:rFonts w:ascii="Times New Roman" w:hAnsi="Times New Roman" w:cs="Times New Roman"/>
          <w:sz w:val="24"/>
          <w:szCs w:val="24"/>
          <w:highlight w:val="none"/>
        </w:rPr>
      </w:pPr>
      <w:r>
        <w:rPr>
          <w:rFonts w:ascii="Times New Roman" w:hAnsi="Times New Roman" w:cs="Times New Roman"/>
          <w:sz w:val="24"/>
          <w:szCs w:val="24"/>
          <w:highlight w:val="none"/>
        </w:rPr>
        <w:t>9. Шабалина Л.В., Шавкун Г.А., Тимко М.В. О необходимости разработки концепции пространственного развития Донецкой Народной Республики // Вестник Института экономических исследований. 2023. № 2(26). С. 132-141.</w:t>
      </w:r>
    </w:p>
    <w:p w14:paraId="55294CCE">
      <w:pPr>
        <w:spacing w:after="0" w:line="240" w:lineRule="auto"/>
        <w:ind w:firstLine="709"/>
        <w:jc w:val="both"/>
        <w:rPr>
          <w:rFonts w:ascii="Times New Roman" w:hAnsi="Times New Roman" w:cs="Times New Roman"/>
          <w:sz w:val="24"/>
          <w:szCs w:val="24"/>
          <w:highlight w:val="none"/>
        </w:rPr>
      </w:pPr>
      <w:r>
        <w:rPr>
          <w:rFonts w:ascii="Times New Roman" w:hAnsi="Times New Roman" w:cs="Times New Roman"/>
          <w:sz w:val="24"/>
          <w:szCs w:val="24"/>
          <w:highlight w:val="none"/>
          <w:lang w:val="en-US"/>
        </w:rPr>
        <w:t xml:space="preserve">10. Yemelyanova I.F., Rochnyak E.V. Donetsk People’s Republic in search of a new paradigm of economic development: a cluster approach // </w:t>
      </w:r>
      <w:r>
        <w:rPr>
          <w:rFonts w:ascii="Times New Roman" w:hAnsi="Times New Roman" w:cs="Times New Roman"/>
          <w:sz w:val="24"/>
          <w:szCs w:val="24"/>
          <w:highlight w:val="none"/>
        </w:rPr>
        <w:t>ЦИТИСЭ</w:t>
      </w:r>
      <w:r>
        <w:rPr>
          <w:rFonts w:ascii="Times New Roman" w:hAnsi="Times New Roman" w:cs="Times New Roman"/>
          <w:sz w:val="24"/>
          <w:szCs w:val="24"/>
          <w:highlight w:val="none"/>
          <w:lang w:val="en-US"/>
        </w:rPr>
        <w:t xml:space="preserve">. </w:t>
      </w:r>
      <w:r>
        <w:rPr>
          <w:rFonts w:ascii="Times New Roman" w:hAnsi="Times New Roman" w:cs="Times New Roman"/>
          <w:sz w:val="24"/>
          <w:szCs w:val="24"/>
          <w:highlight w:val="none"/>
        </w:rPr>
        <w:t>2025. С. 191-205.</w:t>
      </w:r>
    </w:p>
    <w:p w14:paraId="06E1AE31">
      <w:pPr>
        <w:spacing w:after="0" w:line="240" w:lineRule="auto"/>
        <w:ind w:firstLine="709"/>
        <w:jc w:val="both"/>
        <w:rPr>
          <w:rFonts w:ascii="Times New Roman" w:hAnsi="Times New Roman" w:cs="Times New Roman"/>
          <w:sz w:val="24"/>
          <w:szCs w:val="24"/>
          <w:highlight w:val="none"/>
        </w:rPr>
      </w:pPr>
      <w:r>
        <w:rPr>
          <w:rFonts w:ascii="Times New Roman" w:hAnsi="Times New Roman" w:cs="Times New Roman"/>
          <w:sz w:val="24"/>
          <w:szCs w:val="24"/>
          <w:highlight w:val="none"/>
        </w:rPr>
        <w:t>11. Гатауллин Р.Ф. Формирование новой каркасной модели пространственного развития как результат трансформации разноуровневых территориальных систем // Вестник Евразийской науки. 2020. № 2. Т. 12. DOI: 10.15862/32ECVN220.</w:t>
      </w:r>
    </w:p>
    <w:p w14:paraId="3F86EB09">
      <w:pPr>
        <w:spacing w:after="0" w:line="240" w:lineRule="auto"/>
        <w:ind w:firstLine="709"/>
        <w:jc w:val="both"/>
        <w:rPr>
          <w:rFonts w:ascii="Times New Roman" w:hAnsi="Times New Roman" w:cs="Times New Roman"/>
          <w:sz w:val="24"/>
          <w:szCs w:val="24"/>
          <w:highlight w:val="none"/>
        </w:rPr>
      </w:pPr>
      <w:r>
        <w:rPr>
          <w:rFonts w:ascii="Times New Roman" w:hAnsi="Times New Roman" w:cs="Times New Roman"/>
          <w:sz w:val="24"/>
          <w:szCs w:val="24"/>
          <w:highlight w:val="none"/>
        </w:rPr>
        <w:t>12. Квинт В.Л. Концепция стратегирования. СПб.: СЗИУ РАНХиГС, 2019. 132 с.</w:t>
      </w:r>
    </w:p>
    <w:p w14:paraId="35F3A165">
      <w:pPr>
        <w:spacing w:after="100" w:afterAutospacing="1" w:line="240" w:lineRule="auto"/>
        <w:ind w:firstLine="709"/>
        <w:jc w:val="both"/>
        <w:rPr>
          <w:rFonts w:ascii="Times New Roman" w:hAnsi="Times New Roman" w:cs="Times New Roman"/>
          <w:sz w:val="24"/>
          <w:szCs w:val="24"/>
          <w:highlight w:val="none"/>
        </w:rPr>
      </w:pPr>
      <w:r>
        <w:rPr>
          <w:rFonts w:ascii="Times New Roman" w:hAnsi="Times New Roman" w:cs="Times New Roman"/>
          <w:sz w:val="24"/>
          <w:szCs w:val="24"/>
          <w:highlight w:val="none"/>
        </w:rPr>
        <w:t>13.</w:t>
      </w:r>
      <w:r>
        <w:rPr>
          <w:highlight w:val="none"/>
        </w:rPr>
        <w:t xml:space="preserve"> </w:t>
      </w:r>
      <w:r>
        <w:rPr>
          <w:rFonts w:ascii="Times New Roman" w:hAnsi="Times New Roman" w:cs="Times New Roman"/>
          <w:sz w:val="24"/>
          <w:szCs w:val="24"/>
          <w:highlight w:val="none"/>
        </w:rPr>
        <w:t>Шабалина, Л.В. Современная стратегия пространственного развития Донецкой Народной Республики / Л.В. Шабалина, А.В. Азарова // Вестник Института экономических исследований. – 2018. – № 4(12). – С. 124–130.</w:t>
      </w:r>
    </w:p>
    <w:p w14:paraId="01FC8050">
      <w:pPr>
        <w:spacing w:after="100" w:afterAutospacing="1" w:line="240" w:lineRule="auto"/>
        <w:jc w:val="center"/>
        <w:rPr>
          <w:rFonts w:ascii="Times New Roman" w:hAnsi="Times New Roman" w:cs="Times New Roman"/>
          <w:sz w:val="24"/>
          <w:szCs w:val="24"/>
          <w:highlight w:val="none"/>
        </w:rPr>
      </w:pPr>
      <w:r>
        <w:rPr>
          <w:rFonts w:ascii="Times New Roman" w:hAnsi="Times New Roman" w:cs="Times New Roman"/>
          <w:b/>
          <w:sz w:val="24"/>
          <w:szCs w:val="24"/>
          <w:highlight w:val="none"/>
        </w:rPr>
        <w:t>Информация об авторах</w:t>
      </w:r>
    </w:p>
    <w:p w14:paraId="7AA01709">
      <w:pPr>
        <w:spacing w:after="100" w:afterAutospacing="1" w:line="240" w:lineRule="auto"/>
        <w:ind w:firstLine="1134"/>
        <w:jc w:val="both"/>
        <w:rPr>
          <w:rFonts w:ascii="Times New Roman" w:hAnsi="Times New Roman" w:cs="Times New Roman"/>
          <w:sz w:val="24"/>
          <w:szCs w:val="24"/>
          <w:highlight w:val="none"/>
        </w:rPr>
      </w:pPr>
      <w:r>
        <w:rPr>
          <w:rFonts w:ascii="Times New Roman" w:hAnsi="Times New Roman" w:cs="Times New Roman"/>
          <w:sz w:val="24"/>
          <w:szCs w:val="24"/>
          <w:highlight w:val="none"/>
        </w:rPr>
        <w:t>Шавкун Галина Афанасьевна (Российская Федерация, г. Донецк) – кандидат экономических наук, доцент, старший научный сотрудник отдела планирования социально-экономического развития территориальных систем Государственного бюджетного учреждения «Институт экономических исследований» (Российская Федерация, Донецкая Народная Республика, 283048, г. Донецк, ул. Университетская</w:t>
      </w:r>
      <w:r>
        <w:rPr>
          <w:rFonts w:ascii="Times New Roman" w:hAnsi="Times New Roman" w:cs="Times New Roman"/>
          <w:sz w:val="24"/>
          <w:szCs w:val="24"/>
          <w:highlight w:val="none"/>
          <w:lang w:val="en-US"/>
        </w:rPr>
        <w:t xml:space="preserve">, </w:t>
      </w:r>
      <w:r>
        <w:rPr>
          <w:rFonts w:ascii="Times New Roman" w:hAnsi="Times New Roman" w:cs="Times New Roman"/>
          <w:sz w:val="24"/>
          <w:szCs w:val="24"/>
          <w:highlight w:val="none"/>
        </w:rPr>
        <w:t>д</w:t>
      </w:r>
      <w:r>
        <w:rPr>
          <w:rFonts w:ascii="Times New Roman" w:hAnsi="Times New Roman" w:cs="Times New Roman"/>
          <w:sz w:val="24"/>
          <w:szCs w:val="24"/>
          <w:highlight w:val="none"/>
          <w:lang w:val="en-US"/>
        </w:rPr>
        <w:t xml:space="preserve">. 77); </w:t>
      </w:r>
      <w:r>
        <w:rPr>
          <w:highlight w:val="none"/>
        </w:rPr>
        <w:fldChar w:fldCharType="begin"/>
      </w:r>
      <w:r>
        <w:rPr>
          <w:highlight w:val="none"/>
        </w:rPr>
        <w:instrText xml:space="preserve"> HYPERLINK "mailto:galina.shavkun@mail.ru" </w:instrText>
      </w:r>
      <w:r>
        <w:rPr>
          <w:highlight w:val="none"/>
        </w:rPr>
        <w:fldChar w:fldCharType="separate"/>
      </w:r>
      <w:r>
        <w:rPr>
          <w:rStyle w:val="14"/>
          <w:rFonts w:ascii="Times New Roman" w:hAnsi="Times New Roman" w:cs="Times New Roman"/>
          <w:sz w:val="24"/>
          <w:szCs w:val="24"/>
          <w:highlight w:val="none"/>
          <w:lang w:val="en-US"/>
        </w:rPr>
        <w:t>galina.shavkun@mail.ru</w:t>
      </w:r>
      <w:r>
        <w:rPr>
          <w:rStyle w:val="14"/>
          <w:rFonts w:ascii="Times New Roman" w:hAnsi="Times New Roman" w:cs="Times New Roman"/>
          <w:sz w:val="24"/>
          <w:szCs w:val="24"/>
          <w:highlight w:val="none"/>
          <w:lang w:val="en-US"/>
        </w:rPr>
        <w:fldChar w:fldCharType="end"/>
      </w:r>
      <w:r>
        <w:rPr>
          <w:rFonts w:ascii="Times New Roman" w:hAnsi="Times New Roman" w:cs="Times New Roman"/>
          <w:sz w:val="24"/>
          <w:szCs w:val="24"/>
          <w:highlight w:val="none"/>
        </w:rPr>
        <w:t xml:space="preserve"> </w:t>
      </w:r>
      <w:r>
        <w:rPr>
          <w:rFonts w:ascii="Times New Roman" w:hAnsi="Times New Roman" w:cs="Times New Roman"/>
          <w:sz w:val="24"/>
          <w:szCs w:val="24"/>
          <w:highlight w:val="none"/>
          <w:lang w:val="en-US"/>
        </w:rPr>
        <w:t xml:space="preserve"> </w:t>
      </w:r>
      <w:r>
        <w:rPr>
          <w:rFonts w:ascii="Times New Roman" w:hAnsi="Times New Roman" w:cs="Times New Roman"/>
          <w:sz w:val="24"/>
          <w:szCs w:val="24"/>
          <w:highlight w:val="none"/>
        </w:rPr>
        <w:t xml:space="preserve"> </w:t>
      </w:r>
    </w:p>
    <w:p w14:paraId="73F1528D">
      <w:pPr>
        <w:spacing w:after="100" w:afterAutospacing="1" w:line="240" w:lineRule="auto"/>
        <w:ind w:firstLine="1134"/>
        <w:jc w:val="both"/>
        <w:rPr>
          <w:rFonts w:ascii="Times New Roman" w:hAnsi="Times New Roman" w:cs="Times New Roman"/>
          <w:sz w:val="24"/>
          <w:szCs w:val="24"/>
          <w:highlight w:val="none"/>
        </w:rPr>
      </w:pPr>
      <w:r>
        <w:rPr>
          <w:rFonts w:ascii="Times New Roman" w:hAnsi="Times New Roman" w:cs="Times New Roman"/>
          <w:sz w:val="24"/>
          <w:szCs w:val="24"/>
          <w:highlight w:val="none"/>
        </w:rPr>
        <w:t xml:space="preserve">Биденко Татьяна </w:t>
      </w:r>
      <w:r>
        <w:rPr>
          <w:rFonts w:ascii="Times New Roman" w:hAnsi="Times New Roman" w:cs="Times New Roman"/>
          <w:sz w:val="24"/>
          <w:szCs w:val="24"/>
          <w:highlight w:val="none"/>
          <w:lang w:val="ru-RU"/>
        </w:rPr>
        <w:t>Викторовна</w:t>
      </w:r>
      <w:r>
        <w:rPr>
          <w:rFonts w:hint="default" w:ascii="Times New Roman" w:hAnsi="Times New Roman" w:cs="Times New Roman"/>
          <w:sz w:val="24"/>
          <w:szCs w:val="24"/>
          <w:highlight w:val="none"/>
          <w:lang w:val="ru-RU"/>
        </w:rPr>
        <w:t xml:space="preserve"> </w:t>
      </w:r>
      <w:r>
        <w:rPr>
          <w:rFonts w:ascii="Times New Roman" w:hAnsi="Times New Roman" w:cs="Times New Roman"/>
          <w:sz w:val="24"/>
          <w:szCs w:val="24"/>
          <w:highlight w:val="none"/>
        </w:rPr>
        <w:t xml:space="preserve">(Российская Федерация, г. Донецк) – </w:t>
      </w:r>
      <w:r>
        <w:rPr>
          <w:highlight w:val="none"/>
        </w:rPr>
        <w:fldChar w:fldCharType="begin"/>
      </w:r>
      <w:r>
        <w:rPr>
          <w:highlight w:val="none"/>
        </w:rPr>
        <w:instrText xml:space="preserve"> HYPERLINK "mailto:bidenko.tatyana1@yandex.ru" </w:instrText>
      </w:r>
      <w:r>
        <w:rPr>
          <w:highlight w:val="none"/>
        </w:rPr>
        <w:fldChar w:fldCharType="separate"/>
      </w:r>
      <w:r>
        <w:rPr>
          <w:rStyle w:val="14"/>
          <w:rFonts w:ascii="Times New Roman" w:hAnsi="Times New Roman" w:cs="Times New Roman"/>
          <w:sz w:val="24"/>
          <w:szCs w:val="24"/>
          <w:highlight w:val="none"/>
        </w:rPr>
        <w:t>bidenko.tatyana1@yandex.ru</w:t>
      </w:r>
      <w:r>
        <w:rPr>
          <w:rStyle w:val="14"/>
          <w:rFonts w:ascii="Times New Roman" w:hAnsi="Times New Roman" w:cs="Times New Roman"/>
          <w:sz w:val="24"/>
          <w:szCs w:val="24"/>
          <w:highlight w:val="none"/>
        </w:rPr>
        <w:fldChar w:fldCharType="end"/>
      </w:r>
      <w:r>
        <w:rPr>
          <w:rFonts w:ascii="Times New Roman" w:hAnsi="Times New Roman" w:cs="Times New Roman"/>
          <w:sz w:val="24"/>
          <w:szCs w:val="24"/>
          <w:highlight w:val="none"/>
        </w:rPr>
        <w:t xml:space="preserve"> </w:t>
      </w:r>
    </w:p>
    <w:p w14:paraId="06CF85F5">
      <w:pPr>
        <w:spacing w:after="100" w:afterAutospacing="1" w:line="240" w:lineRule="auto"/>
        <w:ind w:firstLine="1134"/>
        <w:jc w:val="both"/>
        <w:rPr>
          <w:rFonts w:ascii="Times New Roman" w:hAnsi="Times New Roman" w:cs="Times New Roman"/>
          <w:b/>
          <w:bCs/>
          <w:sz w:val="24"/>
          <w:szCs w:val="24"/>
          <w:highlight w:val="none"/>
          <w:lang w:val="en-US"/>
        </w:rPr>
      </w:pPr>
      <w:r>
        <w:rPr>
          <w:rFonts w:ascii="Times New Roman" w:hAnsi="Times New Roman" w:cs="Times New Roman"/>
          <w:b/>
          <w:bCs/>
          <w:sz w:val="24"/>
          <w:szCs w:val="24"/>
          <w:highlight w:val="none"/>
          <w:lang w:val="en-US"/>
        </w:rPr>
        <w:t>FORMATION OF THE INDUSTRIAL ECOSYSTEM OF THE DONETSK PEOPLE’S REPUBLIC BASED ON SCIENTIFIC AND TECHNOLOGICAL PRIORITIES</w:t>
      </w:r>
    </w:p>
    <w:p w14:paraId="67DF28A0">
      <w:pPr>
        <w:spacing w:after="0" w:line="240" w:lineRule="auto"/>
        <w:ind w:firstLine="1134"/>
        <w:jc w:val="both"/>
        <w:rPr>
          <w:rFonts w:ascii="Times New Roman" w:hAnsi="Times New Roman" w:cs="Times New Roman"/>
          <w:sz w:val="24"/>
          <w:szCs w:val="24"/>
          <w:highlight w:val="none"/>
          <w:lang w:val="en-US"/>
        </w:rPr>
      </w:pPr>
      <w:r>
        <w:rPr>
          <w:rFonts w:ascii="Times New Roman" w:hAnsi="Times New Roman" w:cs="Times New Roman"/>
          <w:b/>
          <w:bCs/>
          <w:sz w:val="24"/>
          <w:szCs w:val="24"/>
          <w:highlight w:val="none"/>
          <w:lang w:val="en-US"/>
        </w:rPr>
        <w:t>Abstract:</w:t>
      </w:r>
      <w:r>
        <w:rPr>
          <w:rFonts w:ascii="Times New Roman" w:hAnsi="Times New Roman" w:cs="Times New Roman"/>
          <w:sz w:val="24"/>
          <w:szCs w:val="24"/>
          <w:highlight w:val="none"/>
          <w:lang w:val="en-US"/>
        </w:rPr>
        <w:t xml:space="preserve"> The article examines theoretical and methodological approaches to the formation of the industrial ecosystem of the Donetsk People’s Republic based on scientific and technological priorities. The role of ecosystem and agglomeration approaches in ensuring spatial connectivity, technological modernization and intersectoral cooperation is substantiated. Key directions for the formation of the regional industrial ecosystem and mechanisms for integrating scientific, educational, industrial and digital development contours are identified.</w:t>
      </w:r>
    </w:p>
    <w:p w14:paraId="0DEE54A1">
      <w:pPr>
        <w:spacing w:after="0" w:line="240" w:lineRule="auto"/>
        <w:ind w:firstLine="1134"/>
        <w:jc w:val="both"/>
        <w:rPr>
          <w:rFonts w:ascii="Times New Roman" w:hAnsi="Times New Roman" w:cs="Times New Roman"/>
          <w:sz w:val="24"/>
          <w:szCs w:val="24"/>
          <w:highlight w:val="none"/>
          <w:lang w:val="en-US"/>
        </w:rPr>
      </w:pPr>
      <w:r>
        <w:rPr>
          <w:rFonts w:ascii="Times New Roman" w:hAnsi="Times New Roman" w:cs="Times New Roman"/>
          <w:b/>
          <w:bCs/>
          <w:sz w:val="24"/>
          <w:szCs w:val="24"/>
          <w:highlight w:val="none"/>
          <w:lang w:val="en-US"/>
        </w:rPr>
        <w:t>Keywords:</w:t>
      </w:r>
      <w:r>
        <w:rPr>
          <w:rFonts w:ascii="Times New Roman" w:hAnsi="Times New Roman" w:cs="Times New Roman"/>
          <w:sz w:val="24"/>
          <w:szCs w:val="24"/>
          <w:highlight w:val="none"/>
          <w:lang w:val="en-US"/>
        </w:rPr>
        <w:t xml:space="preserve"> industrial ecosystem; scientific and technological priorities; spatial development; agglomeration approach; technological modernization; intersectoral cooperation</w:t>
      </w:r>
    </w:p>
    <w:p w14:paraId="715352A8">
      <w:pPr>
        <w:spacing w:after="0" w:line="240" w:lineRule="auto"/>
        <w:ind w:firstLine="1134"/>
        <w:jc w:val="both"/>
        <w:rPr>
          <w:rFonts w:ascii="Times New Roman" w:hAnsi="Times New Roman" w:cs="Times New Roman"/>
          <w:sz w:val="24"/>
          <w:szCs w:val="24"/>
          <w:highlight w:val="none"/>
          <w:lang w:val="en-US"/>
        </w:rPr>
      </w:pPr>
    </w:p>
    <w:p w14:paraId="57B30FB1">
      <w:pPr>
        <w:spacing w:after="0" w:line="240" w:lineRule="auto"/>
        <w:ind w:firstLine="1134"/>
        <w:jc w:val="center"/>
        <w:rPr>
          <w:rFonts w:ascii="Times New Roman" w:hAnsi="Times New Roman" w:cs="Times New Roman"/>
          <w:b/>
          <w:bCs/>
          <w:sz w:val="24"/>
          <w:szCs w:val="24"/>
          <w:highlight w:val="none"/>
          <w:lang w:val="en-US"/>
        </w:rPr>
      </w:pPr>
      <w:r>
        <w:rPr>
          <w:rFonts w:ascii="Times New Roman" w:hAnsi="Times New Roman" w:cs="Times New Roman"/>
          <w:b/>
          <w:bCs/>
          <w:sz w:val="24"/>
          <w:szCs w:val="24"/>
          <w:highlight w:val="none"/>
          <w:lang w:val="en-US"/>
        </w:rPr>
        <w:t>Information about the authors</w:t>
      </w:r>
    </w:p>
    <w:p w14:paraId="36185278">
      <w:pPr>
        <w:spacing w:after="0" w:line="240" w:lineRule="auto"/>
        <w:ind w:firstLine="1134"/>
        <w:jc w:val="center"/>
        <w:rPr>
          <w:rFonts w:ascii="Times New Roman" w:hAnsi="Times New Roman" w:cs="Times New Roman"/>
          <w:b/>
          <w:bCs/>
          <w:sz w:val="24"/>
          <w:szCs w:val="24"/>
          <w:highlight w:val="none"/>
          <w:lang w:val="en-US"/>
        </w:rPr>
      </w:pPr>
    </w:p>
    <w:p w14:paraId="5044E847">
      <w:pPr>
        <w:spacing w:after="100" w:afterAutospacing="1" w:line="240" w:lineRule="auto"/>
        <w:ind w:firstLine="1134"/>
        <w:jc w:val="both"/>
        <w:rPr>
          <w:rFonts w:ascii="Times New Roman" w:hAnsi="Times New Roman" w:cs="Times New Roman"/>
          <w:sz w:val="24"/>
          <w:szCs w:val="24"/>
          <w:highlight w:val="none"/>
          <w:lang w:val="en-US"/>
        </w:rPr>
      </w:pPr>
      <w:r>
        <w:rPr>
          <w:rFonts w:ascii="Times New Roman" w:hAnsi="Times New Roman" w:cs="Times New Roman"/>
          <w:sz w:val="24"/>
          <w:szCs w:val="24"/>
          <w:highlight w:val="none"/>
          <w:lang w:val="en-US"/>
        </w:rPr>
        <w:t xml:space="preserve">Galina A. Shavkun – Candidate of Economic Sciences, Associate Professor, Senior Researcher of the Department of Planning for the Socio-Economic Development of Territorial Systems, State-funded Institution “Economic Research Institute” (77 Universitetskaya St., Donetsk, 283048, Donetsk People’s Republic, Russian Federation); </w:t>
      </w:r>
      <w:r>
        <w:rPr>
          <w:highlight w:val="none"/>
        </w:rPr>
        <w:fldChar w:fldCharType="begin"/>
      </w:r>
      <w:r>
        <w:rPr>
          <w:highlight w:val="none"/>
        </w:rPr>
        <w:instrText xml:space="preserve"> HYPERLINK "mailto:galina.shavkun@mail.ru" </w:instrText>
      </w:r>
      <w:r>
        <w:rPr>
          <w:highlight w:val="none"/>
        </w:rPr>
        <w:fldChar w:fldCharType="separate"/>
      </w:r>
      <w:r>
        <w:rPr>
          <w:rStyle w:val="14"/>
          <w:rFonts w:ascii="Times New Roman" w:hAnsi="Times New Roman" w:cs="Times New Roman"/>
          <w:sz w:val="24"/>
          <w:szCs w:val="24"/>
          <w:highlight w:val="none"/>
          <w:lang w:val="en-US"/>
        </w:rPr>
        <w:t>galina.shavkun@mail.ru</w:t>
      </w:r>
      <w:r>
        <w:rPr>
          <w:rStyle w:val="14"/>
          <w:rFonts w:ascii="Times New Roman" w:hAnsi="Times New Roman" w:cs="Times New Roman"/>
          <w:sz w:val="24"/>
          <w:szCs w:val="24"/>
          <w:highlight w:val="none"/>
          <w:lang w:val="en-US"/>
        </w:rPr>
        <w:fldChar w:fldCharType="end"/>
      </w:r>
      <w:r>
        <w:rPr>
          <w:rFonts w:ascii="Times New Roman" w:hAnsi="Times New Roman" w:cs="Times New Roman"/>
          <w:sz w:val="24"/>
          <w:szCs w:val="24"/>
          <w:highlight w:val="none"/>
          <w:lang w:val="en-US"/>
        </w:rPr>
        <w:t xml:space="preserve">  </w:t>
      </w:r>
    </w:p>
    <w:p w14:paraId="1850242A">
      <w:pPr>
        <w:spacing w:after="100" w:afterAutospacing="1" w:line="240" w:lineRule="auto"/>
        <w:ind w:firstLine="1134"/>
        <w:jc w:val="both"/>
        <w:rPr>
          <w:rFonts w:ascii="Times New Roman" w:hAnsi="Times New Roman" w:cs="Times New Roman"/>
          <w:sz w:val="24"/>
          <w:szCs w:val="24"/>
          <w:highlight w:val="none"/>
          <w:lang w:val="en-US"/>
        </w:rPr>
      </w:pPr>
      <w:r>
        <w:rPr>
          <w:rFonts w:ascii="Times New Roman" w:hAnsi="Times New Roman" w:cs="Times New Roman"/>
          <w:sz w:val="24"/>
          <w:szCs w:val="24"/>
          <w:highlight w:val="none"/>
          <w:lang w:val="en-US"/>
        </w:rPr>
        <w:t xml:space="preserve">Tatyana </w:t>
      </w:r>
      <w:r>
        <w:rPr>
          <w:rFonts w:hint="default" w:ascii="Times New Roman" w:hAnsi="Times New Roman" w:cs="Times New Roman"/>
          <w:sz w:val="24"/>
          <w:szCs w:val="24"/>
          <w:highlight w:val="none"/>
          <w:lang w:val="en-US"/>
        </w:rPr>
        <w:t>V</w:t>
      </w:r>
      <w:r>
        <w:rPr>
          <w:rFonts w:ascii="Times New Roman" w:hAnsi="Times New Roman" w:cs="Times New Roman"/>
          <w:sz w:val="24"/>
          <w:szCs w:val="24"/>
          <w:highlight w:val="none"/>
          <w:lang w:val="en-US"/>
        </w:rPr>
        <w:t xml:space="preserve">. Bidenko (Russian Federation, Donetsk) –; </w:t>
      </w:r>
      <w:r>
        <w:rPr>
          <w:highlight w:val="none"/>
        </w:rPr>
        <w:fldChar w:fldCharType="begin"/>
      </w:r>
      <w:r>
        <w:rPr>
          <w:highlight w:val="none"/>
        </w:rPr>
        <w:instrText xml:space="preserve"> HYPERLINK "mailto:bidenko.tatyana1@yandex.ru" </w:instrText>
      </w:r>
      <w:r>
        <w:rPr>
          <w:highlight w:val="none"/>
        </w:rPr>
        <w:fldChar w:fldCharType="separate"/>
      </w:r>
      <w:r>
        <w:rPr>
          <w:rStyle w:val="14"/>
          <w:rFonts w:ascii="Times New Roman" w:hAnsi="Times New Roman" w:cs="Times New Roman"/>
          <w:sz w:val="24"/>
          <w:szCs w:val="24"/>
          <w:highlight w:val="none"/>
          <w:lang w:val="en-US"/>
        </w:rPr>
        <w:t>bidenko.tatyana1@yandex.ru</w:t>
      </w:r>
      <w:r>
        <w:rPr>
          <w:rStyle w:val="14"/>
          <w:rFonts w:ascii="Times New Roman" w:hAnsi="Times New Roman" w:cs="Times New Roman"/>
          <w:sz w:val="24"/>
          <w:szCs w:val="24"/>
          <w:highlight w:val="none"/>
          <w:lang w:val="en-US"/>
        </w:rPr>
        <w:fldChar w:fldCharType="end"/>
      </w:r>
      <w:r>
        <w:rPr>
          <w:rFonts w:ascii="Times New Roman" w:hAnsi="Times New Roman" w:cs="Times New Roman"/>
          <w:sz w:val="24"/>
          <w:szCs w:val="24"/>
          <w:highlight w:val="none"/>
          <w:lang w:val="en-US"/>
        </w:rPr>
        <w:t xml:space="preserve"> </w:t>
      </w:r>
    </w:p>
    <w:p w14:paraId="2478C222">
      <w:pPr>
        <w:spacing w:after="100" w:afterAutospacing="1" w:line="240" w:lineRule="auto"/>
        <w:ind w:firstLine="1134"/>
        <w:jc w:val="center"/>
        <w:rPr>
          <w:rFonts w:ascii="Times New Roman" w:hAnsi="Times New Roman" w:cs="Times New Roman"/>
          <w:b/>
          <w:sz w:val="24"/>
          <w:szCs w:val="24"/>
          <w:lang w:val="en-US"/>
        </w:rPr>
      </w:pPr>
      <w:r>
        <w:rPr>
          <w:rFonts w:ascii="Times New Roman" w:hAnsi="Times New Roman" w:cs="Times New Roman"/>
          <w:b/>
          <w:sz w:val="24"/>
          <w:szCs w:val="24"/>
          <w:highlight w:val="none"/>
          <w:lang w:val="en-US"/>
        </w:rPr>
        <w:t>Refe</w:t>
      </w:r>
      <w:r>
        <w:rPr>
          <w:rFonts w:ascii="Times New Roman" w:hAnsi="Times New Roman" w:cs="Times New Roman"/>
          <w:b/>
          <w:sz w:val="24"/>
          <w:szCs w:val="24"/>
          <w:lang w:val="en-US"/>
        </w:rPr>
        <w:t>rences</w:t>
      </w:r>
    </w:p>
    <w:p w14:paraId="0A75FC02">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 Polovyan A.V. Problems and prospects of socio-economic development of new subjects of the Russian Federation. Bulletin of the Economic Research Institute, 2023, No. 1(25), pp. 5-14.</w:t>
      </w:r>
    </w:p>
    <w:p w14:paraId="31FB1E62">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2. Bukhvald E.M. Formation of “growth points” as a tool for spatial development policy of the Russian economy. Bulletin of Volgograd State University. Economics, 2017, Vol. 19, No. 2, pp. 6-15.</w:t>
      </w:r>
    </w:p>
    <w:p w14:paraId="0EC25F5E">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3. Rastvortseva S.N. Innovative way to change the trajectory of previous development of the regional economy. Economy of Regions, 2020, Vol. 16, No. 1, pp. 28-42.</w:t>
      </w:r>
    </w:p>
    <w:p w14:paraId="637B7E8E">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4. Manaeva I.V., Rastvortseva S.N. Spatial development of Russian cities: theory, analysis, modeling: monograph. Belgorod: Publishing House “BelGU” NRU “BelGU”, 2021. 196 p.</w:t>
      </w:r>
    </w:p>
    <w:p w14:paraId="5689970A">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5. Kotov A.V. Methodological approach to determining smart specialization of Russian regions. Region: Economics and Sociology, 2020, No. 2(106), pp. 22-45.</w:t>
      </w:r>
    </w:p>
    <w:p w14:paraId="686168D5">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6. Polovyan A.V., Shabalina L.V., Sinitsyna K.I. Priorities of scientific and technological development of the Donetsk People's Republic. Journal of Economics, Entrepreneurship and Law, 2026, Vol. 16, No. 5. DOI: 10.18334/epp.16.5.125010.</w:t>
      </w:r>
    </w:p>
    <w:p w14:paraId="7BFFB3CD">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7. Zubarevich N.V., Safronov S.G. Inequality of socio-economic development of regions and cities of Russia in the 2000s: growth or decline? Social Sciences and Modernity, 2013, No. 6, pp. 15-26.</w:t>
      </w:r>
    </w:p>
    <w:p w14:paraId="292BCB9C">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8. Kolomak E.A. Spatial development of Russia in the 21st century. Spatial Economics, 2019, Vol. 15, No. 4, pp. 85-106.</w:t>
      </w:r>
    </w:p>
    <w:p w14:paraId="43E5B276">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9. Shabalina L.V., Shavkun G.A., Timko M.V. On the need to develop a concept for the spatial development of the Donetsk People's Republic. Bulletin of the Economic Research Institute, 2023, No. 2(26), pp. 132-141.</w:t>
      </w:r>
    </w:p>
    <w:p w14:paraId="5FE3E79B">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10. Yemelyanova I.F., Rochnyak E.V. Donetsk People's Republic in search of a new paradigm of economic development: a cluster approach. CITISE, 2025, pp. 191-205.</w:t>
      </w:r>
    </w:p>
    <w:p w14:paraId="7631C211">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11. Gataullin R.F. Formation of a new framework model of spatial development as a result of transformation of multi-level territorial systems. The Eurasian Scientific Journal, 2020, No. 2, Vol. 12. DOI: 10.15862/32ECVN220.</w:t>
      </w:r>
    </w:p>
    <w:p w14:paraId="0EC00FC0">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12. Kvint V.L. The Concept of Strategizing. Saint Petersburg: North-West Institute of Management RANEPA, 2019. 132 p.</w:t>
      </w:r>
    </w:p>
    <w:p w14:paraId="571E7124">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13. Shabalina L.V., Azarova A.V. Modern strategy of spatial development of the Donetsk People’s Republic. Bulletin of the Economic Research Institute, 2018, no. 4(12), pp. 124–130.</w:t>
      </w:r>
    </w:p>
    <w:p w14:paraId="67F30CA9">
      <w:pPr>
        <w:spacing w:after="0" w:line="240" w:lineRule="auto"/>
        <w:ind w:firstLine="709"/>
        <w:jc w:val="both"/>
        <w:rPr>
          <w:rFonts w:ascii="Times New Roman" w:hAnsi="Times New Roman" w:cs="Times New Roman"/>
          <w:sz w:val="24"/>
          <w:szCs w:val="24"/>
          <w:lang w:val="en-US"/>
        </w:rPr>
      </w:pPr>
    </w:p>
    <w:p w14:paraId="33588B28">
      <w:pPr>
        <w:spacing w:after="0" w:line="240" w:lineRule="auto"/>
        <w:jc w:val="center"/>
        <w:rPr>
          <w:rFonts w:ascii="Times New Roman" w:hAnsi="Times New Roman" w:cs="Times New Roman"/>
          <w:sz w:val="24"/>
          <w:szCs w:val="24"/>
          <w:lang w:val="en-US"/>
        </w:rPr>
      </w:pPr>
    </w:p>
    <w:sectPr>
      <w:pgSz w:w="11906" w:h="16838"/>
      <w:pgMar w:top="1134" w:right="1134" w:bottom="1134" w:left="1134" w:header="708" w:footer="708" w:gutter="0"/>
      <w:cols w:space="708"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Calibri">
    <w:panose1 w:val="020F0502020204030204"/>
    <w:charset w:val="CC"/>
    <w:family w:val="swiss"/>
    <w:pitch w:val="default"/>
    <w:sig w:usb0="E4002EFF" w:usb1="C200247B" w:usb2="00000009" w:usb3="00000000" w:csb0="200001FF" w:csb1="00000000"/>
  </w:font>
  <w:font w:name="Calibri">
    <w:panose1 w:val="020F0502020204030204"/>
    <w:charset w:val="00"/>
    <w:family w:val="auto"/>
    <w:pitch w:val="default"/>
    <w:sig w:usb0="E4002EFF" w:usb1="C200247B" w:usb2="00000009" w:usb3="00000000" w:csb0="200001FF" w:csb1="00000000"/>
  </w:font>
  <w:font w:name="Calibri Light">
    <w:panose1 w:val="020F0302020204030204"/>
    <w:charset w:val="CC"/>
    <w:family w:val="swiss"/>
    <w:pitch w:val="default"/>
    <w:sig w:usb0="E4002EFF" w:usb1="C2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Calibri Light">
    <w:panose1 w:val="020F0302020204030204"/>
    <w:charset w:val="00"/>
    <w:family w:val="auto"/>
    <w:pitch w:val="default"/>
    <w:sig w:usb0="E4002EFF" w:usb1="C200247B" w:usb2="00000009" w:usb3="00000000" w:csb0="200001FF" w:csb1="00000000"/>
  </w:font>
  <w:font w:name="Segoe Print">
    <w:panose1 w:val="02000600000000000000"/>
    <w:charset w:val="00"/>
    <w:family w:val="auto"/>
    <w:pitch w:val="default"/>
    <w:sig w:usb0="0000028F" w:usb1="00000000" w:usb2="00000000" w:usb3="00000000" w:csb0="2000009F" w:csb1="4701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pPr>
        <w:spacing w:before="0" w:after="0" w:line="259" w:lineRule="auto"/>
      </w:pPr>
      <w:r>
        <w:separator/>
      </w:r>
    </w:p>
  </w:footnote>
  <w:footnote w:type="continuationSeparator" w:id="3">
    <w:p>
      <w:pPr>
        <w:spacing w:before="0" w:after="0" w:line="259" w:lineRule="auto"/>
      </w:pPr>
      <w:r>
        <w:continuationSeparator/>
      </w:r>
    </w:p>
  </w:footnote>
  <w:footnote w:id="0">
    <w:p w14:paraId="6FA8A615">
      <w:pPr>
        <w:pBdr>
          <w:top w:val="none" w:color="000000" w:sz="0" w:space="0"/>
          <w:left w:val="none" w:color="000000" w:sz="0" w:space="0"/>
          <w:bottom w:val="none" w:color="000000" w:sz="0" w:space="0"/>
          <w:right w:val="none" w:color="000000" w:sz="0" w:space="0"/>
        </w:pBdr>
        <w:spacing w:before="0" w:after="0" w:line="240" w:lineRule="auto"/>
        <w:ind w:left="0" w:right="0" w:firstLine="567"/>
        <w:contextualSpacing/>
        <w:jc w:val="both"/>
        <w:rPr>
          <w:highlight w:val="none"/>
        </w:rPr>
      </w:pPr>
      <w:r>
        <w:rPr>
          <w:rStyle w:val="13"/>
          <w:highlight w:val="none"/>
        </w:rPr>
        <w:footnoteRef/>
      </w:r>
      <w:r>
        <w:rPr>
          <w:highlight w:val="none"/>
        </w:rPr>
        <w:t xml:space="preserve"> </w:t>
      </w:r>
      <w:r>
        <w:rPr>
          <w:rFonts w:ascii="Times New Roman" w:hAnsi="Times New Roman" w:eastAsia="Times New Roman" w:cs="Times New Roman"/>
          <w:color w:val="000000"/>
          <w:sz w:val="22"/>
          <w:szCs w:val="22"/>
          <w:highlight w:val="none"/>
          <w:lang w:val="ru-RU"/>
        </w:rPr>
        <w:t xml:space="preserve">Исследование выполнено за счет гранта Российского </w:t>
      </w:r>
      <w:r>
        <w:rPr>
          <w:rFonts w:ascii="Times New Roman" w:hAnsi="Times New Roman" w:eastAsia="Times New Roman" w:cs="Times New Roman"/>
          <w:color w:val="000000"/>
          <w:sz w:val="22"/>
          <w:szCs w:val="22"/>
          <w:highlight w:val="none"/>
          <w:lang w:val="ru-RU" w:eastAsia="ja-JP"/>
        </w:rPr>
        <w:t xml:space="preserve">научного </w:t>
      </w:r>
      <w:r>
        <w:rPr>
          <w:rFonts w:ascii="Times New Roman" w:hAnsi="Times New Roman" w:eastAsia="Times New Roman" w:cs="Times New Roman"/>
          <w:color w:val="000000"/>
          <w:sz w:val="22"/>
          <w:szCs w:val="22"/>
          <w:highlight w:val="none"/>
          <w:lang w:val="ru-RU"/>
        </w:rPr>
        <w:t xml:space="preserve">фонда № 25-28-20601, </w:t>
      </w:r>
      <w:r>
        <w:rPr>
          <w:rFonts w:ascii="Times New Roman" w:hAnsi="Times New Roman" w:eastAsia="Times New Roman" w:cs="Times New Roman"/>
          <w:color w:val="000000"/>
          <w:sz w:val="22"/>
          <w:szCs w:val="22"/>
          <w:highlight w:val="none"/>
        </w:rPr>
        <w:t>https</w:t>
      </w:r>
      <w:r>
        <w:rPr>
          <w:rFonts w:ascii="Times New Roman" w:hAnsi="Times New Roman" w:eastAsia="Times New Roman" w:cs="Times New Roman"/>
          <w:color w:val="000000"/>
          <w:sz w:val="22"/>
          <w:szCs w:val="22"/>
          <w:highlight w:val="none"/>
          <w:lang w:val="ru-RU"/>
        </w:rPr>
        <w:t>://</w:t>
      </w:r>
      <w:r>
        <w:rPr>
          <w:rFonts w:ascii="Times New Roman" w:hAnsi="Times New Roman" w:eastAsia="Times New Roman" w:cs="Times New Roman"/>
          <w:color w:val="000000"/>
          <w:sz w:val="22"/>
          <w:szCs w:val="22"/>
          <w:highlight w:val="none"/>
        </w:rPr>
        <w:t>rscf</w:t>
      </w:r>
      <w:r>
        <w:rPr>
          <w:rFonts w:ascii="Times New Roman" w:hAnsi="Times New Roman" w:eastAsia="Times New Roman" w:cs="Times New Roman"/>
          <w:color w:val="000000"/>
          <w:sz w:val="22"/>
          <w:szCs w:val="22"/>
          <w:highlight w:val="none"/>
          <w:lang w:val="ru-RU"/>
        </w:rPr>
        <w:t>.</w:t>
      </w:r>
      <w:r>
        <w:rPr>
          <w:rFonts w:ascii="Times New Roman" w:hAnsi="Times New Roman" w:eastAsia="Times New Roman" w:cs="Times New Roman"/>
          <w:color w:val="000000"/>
          <w:sz w:val="22"/>
          <w:szCs w:val="22"/>
          <w:highlight w:val="none"/>
        </w:rPr>
        <w:t>ru</w:t>
      </w:r>
      <w:r>
        <w:rPr>
          <w:rFonts w:ascii="Times New Roman" w:hAnsi="Times New Roman" w:eastAsia="Times New Roman" w:cs="Times New Roman"/>
          <w:color w:val="000000"/>
          <w:sz w:val="22"/>
          <w:szCs w:val="22"/>
          <w:highlight w:val="none"/>
          <w:lang w:val="ru-RU"/>
        </w:rPr>
        <w:t>/</w:t>
      </w:r>
      <w:r>
        <w:rPr>
          <w:rFonts w:ascii="Times New Roman" w:hAnsi="Times New Roman" w:eastAsia="Times New Roman" w:cs="Times New Roman"/>
          <w:color w:val="000000"/>
          <w:sz w:val="22"/>
          <w:szCs w:val="22"/>
          <w:highlight w:val="none"/>
        </w:rPr>
        <w:t>project</w:t>
      </w:r>
      <w:r>
        <w:rPr>
          <w:rFonts w:ascii="Times New Roman" w:hAnsi="Times New Roman" w:eastAsia="Times New Roman" w:cs="Times New Roman"/>
          <w:color w:val="000000"/>
          <w:sz w:val="22"/>
          <w:szCs w:val="22"/>
          <w:highlight w:val="none"/>
          <w:lang w:val="ru-RU"/>
        </w:rPr>
        <w:t xml:space="preserve">/25-28-20601/, а также средств Региона на основе Соглашения № </w:t>
      </w:r>
      <w:r>
        <w:rPr>
          <w:rFonts w:ascii="Times New Roman" w:hAnsi="Times New Roman" w:eastAsia="Times New Roman" w:cs="Times New Roman"/>
          <w:color w:val="000000"/>
          <w:sz w:val="22"/>
          <w:szCs w:val="22"/>
          <w:highlight w:val="none"/>
          <w:lang w:val="ru-RU" w:eastAsia="ru-RU"/>
        </w:rPr>
        <w:t xml:space="preserve">30-2026-000521 от </w:t>
      </w:r>
      <w:r>
        <w:rPr>
          <w:rFonts w:ascii="Times New Roman" w:hAnsi="Times New Roman" w:eastAsia="Times New Roman" w:cs="Times New Roman"/>
          <w:color w:val="000000"/>
          <w:sz w:val="22"/>
          <w:szCs w:val="22"/>
          <w:highlight w:val="none"/>
          <w:lang w:val="ru-RU"/>
        </w:rPr>
        <w:t>24.04.2026 на базе ГБУ «Институт экономических исследований»</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characterSpacingControl w:val="doNotCompress"/>
  <w:footnotePr>
    <w:footnote w:id="2"/>
    <w:footnote w:id="3"/>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2145"/>
    <w:rsid w:val="000062FF"/>
    <w:rsid w:val="000477E4"/>
    <w:rsid w:val="00050AD0"/>
    <w:rsid w:val="00061AB3"/>
    <w:rsid w:val="00082145"/>
    <w:rsid w:val="000943A2"/>
    <w:rsid w:val="000A1361"/>
    <w:rsid w:val="000F0C7C"/>
    <w:rsid w:val="000F34BC"/>
    <w:rsid w:val="00142054"/>
    <w:rsid w:val="001B42C2"/>
    <w:rsid w:val="00211076"/>
    <w:rsid w:val="0022455F"/>
    <w:rsid w:val="00282164"/>
    <w:rsid w:val="00297A15"/>
    <w:rsid w:val="002C2CFB"/>
    <w:rsid w:val="002E1AE5"/>
    <w:rsid w:val="00333B23"/>
    <w:rsid w:val="00344EA3"/>
    <w:rsid w:val="003552F2"/>
    <w:rsid w:val="0036192A"/>
    <w:rsid w:val="003876B8"/>
    <w:rsid w:val="003D2115"/>
    <w:rsid w:val="00420C51"/>
    <w:rsid w:val="004249F4"/>
    <w:rsid w:val="00425047"/>
    <w:rsid w:val="0042608A"/>
    <w:rsid w:val="00491CF2"/>
    <w:rsid w:val="004B4415"/>
    <w:rsid w:val="004B5C0C"/>
    <w:rsid w:val="004C390C"/>
    <w:rsid w:val="004C4B6D"/>
    <w:rsid w:val="00512158"/>
    <w:rsid w:val="0054294C"/>
    <w:rsid w:val="00562296"/>
    <w:rsid w:val="005C1C15"/>
    <w:rsid w:val="00602475"/>
    <w:rsid w:val="006032B1"/>
    <w:rsid w:val="00611AC5"/>
    <w:rsid w:val="0061413B"/>
    <w:rsid w:val="00656884"/>
    <w:rsid w:val="0066449B"/>
    <w:rsid w:val="00670703"/>
    <w:rsid w:val="006C20D3"/>
    <w:rsid w:val="00742455"/>
    <w:rsid w:val="00776FCC"/>
    <w:rsid w:val="007B0438"/>
    <w:rsid w:val="007C3B14"/>
    <w:rsid w:val="007D7932"/>
    <w:rsid w:val="007F7828"/>
    <w:rsid w:val="0084167A"/>
    <w:rsid w:val="0085597D"/>
    <w:rsid w:val="008D03D7"/>
    <w:rsid w:val="00976196"/>
    <w:rsid w:val="009B313D"/>
    <w:rsid w:val="009D6659"/>
    <w:rsid w:val="00A1152D"/>
    <w:rsid w:val="00A643F9"/>
    <w:rsid w:val="00A709BC"/>
    <w:rsid w:val="00A77113"/>
    <w:rsid w:val="00A90CE1"/>
    <w:rsid w:val="00AD5E7D"/>
    <w:rsid w:val="00B17B2C"/>
    <w:rsid w:val="00B2498A"/>
    <w:rsid w:val="00B274D0"/>
    <w:rsid w:val="00B602D4"/>
    <w:rsid w:val="00BE3263"/>
    <w:rsid w:val="00C443F9"/>
    <w:rsid w:val="00C7785A"/>
    <w:rsid w:val="00CA4187"/>
    <w:rsid w:val="00CA599E"/>
    <w:rsid w:val="00CD4686"/>
    <w:rsid w:val="00CD6F65"/>
    <w:rsid w:val="00D0564F"/>
    <w:rsid w:val="00D24A20"/>
    <w:rsid w:val="00D75B4E"/>
    <w:rsid w:val="00D7655B"/>
    <w:rsid w:val="00D82C2B"/>
    <w:rsid w:val="00DA2E41"/>
    <w:rsid w:val="00DC63FA"/>
    <w:rsid w:val="00DE2150"/>
    <w:rsid w:val="00E34B88"/>
    <w:rsid w:val="00E8277E"/>
    <w:rsid w:val="00E8618F"/>
    <w:rsid w:val="00EB2C80"/>
    <w:rsid w:val="00EC32DB"/>
    <w:rsid w:val="00F17BE9"/>
    <w:rsid w:val="00F32676"/>
    <w:rsid w:val="00F33620"/>
    <w:rsid w:val="00F46EAB"/>
    <w:rsid w:val="00F91D0F"/>
    <w:rsid w:val="01B3242D"/>
    <w:rsid w:val="1CA3657E"/>
    <w:rsid w:val="27DC212D"/>
    <w:rsid w:val="2A3D4115"/>
    <w:rsid w:val="3B181276"/>
    <w:rsid w:val="464707A6"/>
    <w:rsid w:val="48D32A07"/>
    <w:rsid w:val="645111D2"/>
    <w:rsid w:val="6BCC3C6A"/>
    <w:rsid w:val="6E9A37CA"/>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34" w:semiHidden="0" w:name="List Paragraph"/>
    <w:lsdException w:qFormat="1" w:unhideWhenUsed="0" w:uiPriority="29" w:semiHidden="0" w:name="Quote"/>
    <w:lsdException w:qFormat="1" w:unhideWhenUsed="0" w:uiPriority="30" w:semiHidden="0" w:name="Intense Quote"/>
  </w:latentStyles>
  <w:style w:type="paragraph" w:default="1" w:styleId="1">
    <w:name w:val="Normal"/>
    <w:qFormat/>
    <w:uiPriority w:val="0"/>
    <w:pPr>
      <w:spacing w:after="160" w:line="259" w:lineRule="auto"/>
    </w:pPr>
    <w:rPr>
      <w:rFonts w:asciiTheme="minorHAnsi" w:hAnsiTheme="minorHAnsi" w:eastAsiaTheme="minorHAnsi" w:cstheme="minorBidi"/>
      <w:kern w:val="2"/>
      <w:sz w:val="22"/>
      <w:szCs w:val="22"/>
      <w:lang w:val="ru-RU" w:eastAsia="en-US" w:bidi="ar-SA"/>
      <w14:ligatures w14:val="standardContextual"/>
    </w:rPr>
  </w:style>
  <w:style w:type="paragraph" w:styleId="2">
    <w:name w:val="heading 1"/>
    <w:basedOn w:val="1"/>
    <w:next w:val="1"/>
    <w:link w:val="18"/>
    <w:qFormat/>
    <w:uiPriority w:val="9"/>
    <w:pPr>
      <w:keepNext/>
      <w:keepLines/>
      <w:spacing w:before="360" w:after="80"/>
      <w:outlineLvl w:val="0"/>
    </w:pPr>
    <w:rPr>
      <w:rFonts w:asciiTheme="majorHAnsi" w:hAnsiTheme="majorHAnsi" w:eastAsiaTheme="majorEastAsia" w:cstheme="majorBidi"/>
      <w:color w:val="2F5597" w:themeColor="accent1" w:themeShade="BF"/>
      <w:sz w:val="40"/>
      <w:szCs w:val="40"/>
    </w:rPr>
  </w:style>
  <w:style w:type="paragraph" w:styleId="3">
    <w:name w:val="heading 2"/>
    <w:basedOn w:val="1"/>
    <w:next w:val="1"/>
    <w:link w:val="19"/>
    <w:semiHidden/>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32"/>
      <w:szCs w:val="32"/>
    </w:rPr>
  </w:style>
  <w:style w:type="paragraph" w:styleId="4">
    <w:name w:val="heading 3"/>
    <w:basedOn w:val="1"/>
    <w:next w:val="1"/>
    <w:link w:val="20"/>
    <w:semiHidden/>
    <w:unhideWhenUsed/>
    <w:qFormat/>
    <w:uiPriority w:val="9"/>
    <w:pPr>
      <w:keepNext/>
      <w:keepLines/>
      <w:spacing w:before="160" w:after="80"/>
      <w:outlineLvl w:val="2"/>
    </w:pPr>
    <w:rPr>
      <w:rFonts w:eastAsiaTheme="majorEastAsia" w:cstheme="majorBidi"/>
      <w:color w:val="2F5597" w:themeColor="accent1" w:themeShade="BF"/>
      <w:sz w:val="28"/>
      <w:szCs w:val="28"/>
    </w:rPr>
  </w:style>
  <w:style w:type="paragraph" w:styleId="5">
    <w:name w:val="heading 4"/>
    <w:basedOn w:val="1"/>
    <w:next w:val="1"/>
    <w:link w:val="21"/>
    <w:semiHidden/>
    <w:unhideWhenUsed/>
    <w:qFormat/>
    <w:uiPriority w:val="9"/>
    <w:pPr>
      <w:keepNext/>
      <w:keepLines/>
      <w:spacing w:before="80" w:after="40"/>
      <w:outlineLvl w:val="3"/>
    </w:pPr>
    <w:rPr>
      <w:rFonts w:eastAsiaTheme="majorEastAsia" w:cstheme="majorBidi"/>
      <w:i/>
      <w:iCs/>
      <w:color w:val="2F5597" w:themeColor="accent1" w:themeShade="BF"/>
    </w:rPr>
  </w:style>
  <w:style w:type="paragraph" w:styleId="6">
    <w:name w:val="heading 5"/>
    <w:basedOn w:val="1"/>
    <w:next w:val="1"/>
    <w:link w:val="22"/>
    <w:semiHidden/>
    <w:unhideWhenUsed/>
    <w:qFormat/>
    <w:uiPriority w:val="9"/>
    <w:pPr>
      <w:keepNext/>
      <w:keepLines/>
      <w:spacing w:before="80" w:after="40"/>
      <w:outlineLvl w:val="4"/>
    </w:pPr>
    <w:rPr>
      <w:rFonts w:eastAsiaTheme="majorEastAsia" w:cstheme="majorBidi"/>
      <w:color w:val="2F5597" w:themeColor="accent1" w:themeShade="BF"/>
    </w:rPr>
  </w:style>
  <w:style w:type="paragraph" w:styleId="7">
    <w:name w:val="heading 6"/>
    <w:basedOn w:val="1"/>
    <w:next w:val="1"/>
    <w:link w:val="23"/>
    <w:semiHidden/>
    <w:unhideWhenUsed/>
    <w:qFormat/>
    <w:uiPriority w:val="9"/>
    <w:pPr>
      <w:keepNext/>
      <w:keepLines/>
      <w:spacing w:before="40" w:after="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24"/>
    <w:semiHidden/>
    <w:unhideWhenUsed/>
    <w:qFormat/>
    <w:uiPriority w:val="9"/>
    <w:pPr>
      <w:keepNext/>
      <w:keepLines/>
      <w:spacing w:before="40" w:after="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5"/>
    <w:semiHidden/>
    <w:unhideWhenUsed/>
    <w:qFormat/>
    <w:uiPriority w:val="9"/>
    <w:pPr>
      <w:keepNext/>
      <w:keepLines/>
      <w:spacing w:after="0"/>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26"/>
    <w:semiHidden/>
    <w:unhideWhenUsed/>
    <w:qFormat/>
    <w:uiPriority w:val="9"/>
    <w:pPr>
      <w:keepNext/>
      <w:keepLines/>
      <w:spacing w:after="0"/>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character" w:styleId="13">
    <w:name w:val="footnote reference"/>
    <w:basedOn w:val="11"/>
    <w:semiHidden/>
    <w:unhideWhenUsed/>
    <w:uiPriority w:val="99"/>
    <w:rPr>
      <w:vertAlign w:val="superscript"/>
    </w:rPr>
  </w:style>
  <w:style w:type="character" w:styleId="14">
    <w:name w:val="Hyperlink"/>
    <w:basedOn w:val="11"/>
    <w:unhideWhenUsed/>
    <w:uiPriority w:val="99"/>
    <w:rPr>
      <w:color w:val="0563C1" w:themeColor="hyperlink"/>
      <w:u w:val="single"/>
      <w14:textFill>
        <w14:solidFill>
          <w14:schemeClr w14:val="hlink"/>
        </w14:solidFill>
      </w14:textFill>
    </w:rPr>
  </w:style>
  <w:style w:type="paragraph" w:styleId="15">
    <w:name w:val="footnote text"/>
    <w:basedOn w:val="1"/>
    <w:semiHidden/>
    <w:unhideWhenUsed/>
    <w:uiPriority w:val="99"/>
    <w:pPr>
      <w:snapToGrid w:val="0"/>
      <w:jc w:val="left"/>
    </w:pPr>
    <w:rPr>
      <w:sz w:val="18"/>
      <w:szCs w:val="18"/>
    </w:rPr>
  </w:style>
  <w:style w:type="paragraph" w:styleId="16">
    <w:name w:val="Title"/>
    <w:basedOn w:val="1"/>
    <w:next w:val="1"/>
    <w:link w:val="27"/>
    <w:qFormat/>
    <w:uiPriority w:val="10"/>
    <w:pPr>
      <w:spacing w:after="80" w:line="240" w:lineRule="auto"/>
      <w:contextualSpacing/>
    </w:pPr>
    <w:rPr>
      <w:rFonts w:asciiTheme="majorHAnsi" w:hAnsiTheme="majorHAnsi" w:eastAsiaTheme="majorEastAsia" w:cstheme="majorBidi"/>
      <w:spacing w:val="-10"/>
      <w:kern w:val="28"/>
      <w:sz w:val="56"/>
      <w:szCs w:val="56"/>
    </w:rPr>
  </w:style>
  <w:style w:type="paragraph" w:styleId="17">
    <w:name w:val="Subtitle"/>
    <w:basedOn w:val="1"/>
    <w:next w:val="1"/>
    <w:link w:val="28"/>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character" w:customStyle="1" w:styleId="18">
    <w:name w:val="Заголовок 1 Знак"/>
    <w:basedOn w:val="11"/>
    <w:link w:val="2"/>
    <w:uiPriority w:val="9"/>
    <w:rPr>
      <w:rFonts w:asciiTheme="majorHAnsi" w:hAnsiTheme="majorHAnsi" w:eastAsiaTheme="majorEastAsia" w:cstheme="majorBidi"/>
      <w:color w:val="2F5597" w:themeColor="accent1" w:themeShade="BF"/>
      <w:sz w:val="40"/>
      <w:szCs w:val="40"/>
    </w:rPr>
  </w:style>
  <w:style w:type="character" w:customStyle="1" w:styleId="19">
    <w:name w:val="Заголовок 2 Знак"/>
    <w:basedOn w:val="11"/>
    <w:link w:val="3"/>
    <w:semiHidden/>
    <w:uiPriority w:val="9"/>
    <w:rPr>
      <w:rFonts w:asciiTheme="majorHAnsi" w:hAnsiTheme="majorHAnsi" w:eastAsiaTheme="majorEastAsia" w:cstheme="majorBidi"/>
      <w:color w:val="2F5597" w:themeColor="accent1" w:themeShade="BF"/>
      <w:sz w:val="32"/>
      <w:szCs w:val="32"/>
    </w:rPr>
  </w:style>
  <w:style w:type="character" w:customStyle="1" w:styleId="20">
    <w:name w:val="Заголовок 3 Знак"/>
    <w:basedOn w:val="11"/>
    <w:link w:val="4"/>
    <w:semiHidden/>
    <w:uiPriority w:val="9"/>
    <w:rPr>
      <w:rFonts w:eastAsiaTheme="majorEastAsia" w:cstheme="majorBidi"/>
      <w:color w:val="2F5597" w:themeColor="accent1" w:themeShade="BF"/>
      <w:sz w:val="28"/>
      <w:szCs w:val="28"/>
    </w:rPr>
  </w:style>
  <w:style w:type="character" w:customStyle="1" w:styleId="21">
    <w:name w:val="Заголовок 4 Знак"/>
    <w:basedOn w:val="11"/>
    <w:link w:val="5"/>
    <w:semiHidden/>
    <w:uiPriority w:val="9"/>
    <w:rPr>
      <w:rFonts w:eastAsiaTheme="majorEastAsia" w:cstheme="majorBidi"/>
      <w:i/>
      <w:iCs/>
      <w:color w:val="2F5597" w:themeColor="accent1" w:themeShade="BF"/>
    </w:rPr>
  </w:style>
  <w:style w:type="character" w:customStyle="1" w:styleId="22">
    <w:name w:val="Заголовок 5 Знак"/>
    <w:basedOn w:val="11"/>
    <w:link w:val="6"/>
    <w:semiHidden/>
    <w:uiPriority w:val="9"/>
    <w:rPr>
      <w:rFonts w:eastAsiaTheme="majorEastAsia" w:cstheme="majorBidi"/>
      <w:color w:val="2F5597" w:themeColor="accent1" w:themeShade="BF"/>
    </w:rPr>
  </w:style>
  <w:style w:type="character" w:customStyle="1" w:styleId="23">
    <w:name w:val="Заголовок 6 Знак"/>
    <w:basedOn w:val="11"/>
    <w:link w:val="7"/>
    <w:semiHidden/>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24">
    <w:name w:val="Заголовок 7 Знак"/>
    <w:basedOn w:val="11"/>
    <w:link w:val="8"/>
    <w:semiHidden/>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5">
    <w:name w:val="Заголовок 8 Знак"/>
    <w:basedOn w:val="11"/>
    <w:link w:val="9"/>
    <w:semiHidden/>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26">
    <w:name w:val="Заголовок 9 Знак"/>
    <w:basedOn w:val="11"/>
    <w:link w:val="10"/>
    <w:semiHidden/>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27">
    <w:name w:val="Заголовок Знак"/>
    <w:basedOn w:val="11"/>
    <w:link w:val="16"/>
    <w:uiPriority w:val="10"/>
    <w:rPr>
      <w:rFonts w:asciiTheme="majorHAnsi" w:hAnsiTheme="majorHAnsi" w:eastAsiaTheme="majorEastAsia" w:cstheme="majorBidi"/>
      <w:spacing w:val="-10"/>
      <w:kern w:val="28"/>
      <w:sz w:val="56"/>
      <w:szCs w:val="56"/>
    </w:rPr>
  </w:style>
  <w:style w:type="character" w:customStyle="1" w:styleId="28">
    <w:name w:val="Подзаголовок Знак"/>
    <w:basedOn w:val="11"/>
    <w:link w:val="17"/>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0">
    <w:name w:val="Цитата 2 Знак"/>
    <w:basedOn w:val="11"/>
    <w:link w:val="29"/>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ind w:left="720"/>
      <w:contextualSpacing/>
    </w:pPr>
  </w:style>
  <w:style w:type="character" w:customStyle="1" w:styleId="32">
    <w:name w:val="Intense Emphasis"/>
    <w:basedOn w:val="11"/>
    <w:qFormat/>
    <w:uiPriority w:val="21"/>
    <w:rPr>
      <w:i/>
      <w:iCs/>
      <w:color w:val="2F5597" w:themeColor="accent1" w:themeShade="BF"/>
    </w:rPr>
  </w:style>
  <w:style w:type="paragraph" w:styleId="33">
    <w:name w:val="Intense Quote"/>
    <w:basedOn w:val="1"/>
    <w:next w:val="1"/>
    <w:link w:val="34"/>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34">
    <w:name w:val="Выделенная цитата Знак"/>
    <w:basedOn w:val="11"/>
    <w:link w:val="33"/>
    <w:uiPriority w:val="30"/>
    <w:rPr>
      <w:i/>
      <w:iCs/>
      <w:color w:val="2F5597" w:themeColor="accent1" w:themeShade="BF"/>
    </w:rPr>
  </w:style>
  <w:style w:type="character" w:customStyle="1" w:styleId="35">
    <w:name w:val="Intense Reference"/>
    <w:basedOn w:val="11"/>
    <w:qFormat/>
    <w:uiPriority w:val="32"/>
    <w:rPr>
      <w:b/>
      <w:bCs/>
      <w:smallCaps/>
      <w:color w:val="2F5597" w:themeColor="accent1" w:themeShade="BF"/>
      <w:spacing w:val="5"/>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1810</Words>
  <Characters>14696</Characters>
  <Lines>118</Lines>
  <Paragraphs>33</Paragraphs>
  <TotalTime>1</TotalTime>
  <ScaleCrop>false</ScaleCrop>
  <LinksUpToDate>false</LinksUpToDate>
  <CharactersWithSpaces>16521</CharactersWithSpaces>
  <Application>WPS Office_12.1.0.26372_F1E327BC-269C-435d-A152-05C5408002CA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2026-05-14T13:24:00Z</dcterms:created>
  <dc:creator>ИЭИ</dc:creator>
  <cp:lastModifiedBy>Марк Тимко</cp:lastModifiedBy>
  <dcterms:modified xsi:type="dcterms:W3CDTF">2026-05-14T20:13:17Z</dcterms:modified>
  <cp:revision>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eyJoZGlkIjoiYzIwMzQ4ODRiZjI2N2VlYjE0MjYzZDkyYjkxYjZjMjIiLCJ1c2VySWQiOiIyOTAzNzM1NDUyNzY0In0=</vt:lpwstr>
  </property>
  <property fmtid="{D5CDD505-2E9C-101B-9397-08002B2CF9AE}" pid="3" name="KSOProductBuildVer">
    <vt:lpwstr>1049-12.1.0.26372</vt:lpwstr>
  </property>
  <property fmtid="{D5CDD505-2E9C-101B-9397-08002B2CF9AE}" pid="4" name="ICV">
    <vt:lpwstr>191A1A2A23104EF7BDAFCABF701AA5E2_13</vt:lpwstr>
  </property>
</Properties>
</file>