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409D1A" w14:textId="77777777" w:rsidR="00D713A3" w:rsidRDefault="00877476" w:rsidP="002E1784">
      <w:pPr>
        <w:spacing w:after="0" w:line="240" w:lineRule="auto"/>
        <w:ind w:left="-540" w:firstLine="540"/>
        <w:rPr>
          <w:rFonts w:ascii="Times New Roman" w:eastAsia="Times New Roman" w:hAnsi="Times New Roman" w:cs="Times New Roman"/>
          <w:b/>
          <w:sz w:val="24"/>
          <w:lang w:eastAsia="ru-RU"/>
        </w:rPr>
      </w:pPr>
      <w:r w:rsidRPr="00877476">
        <w:rPr>
          <w:rFonts w:ascii="Times New Roman" w:eastAsia="Times New Roman" w:hAnsi="Times New Roman" w:cs="Times New Roman"/>
          <w:b/>
          <w:sz w:val="24"/>
          <w:lang w:eastAsia="ru-RU"/>
        </w:rPr>
        <w:t>УДК 336.74:336.76</w:t>
      </w:r>
    </w:p>
    <w:p w14:paraId="539A6AF9" w14:textId="74352104" w:rsidR="002E1784" w:rsidRPr="00EE1E1A" w:rsidRDefault="002E1784" w:rsidP="002E1784">
      <w:pPr>
        <w:spacing w:after="0" w:line="240" w:lineRule="auto"/>
        <w:ind w:left="-540" w:firstLine="540"/>
        <w:rPr>
          <w:rFonts w:ascii="Times New Roman" w:eastAsia="Times New Roman" w:hAnsi="Times New Roman" w:cs="Times New Roman"/>
          <w:b/>
          <w:sz w:val="24"/>
          <w:lang w:eastAsia="ru-RU"/>
        </w:rPr>
      </w:pPr>
      <w:r w:rsidRPr="00877476">
        <w:rPr>
          <w:rFonts w:ascii="Times New Roman" w:eastAsia="Times New Roman" w:hAnsi="Times New Roman" w:cs="Times New Roman"/>
          <w:b/>
          <w:sz w:val="24"/>
          <w:lang w:eastAsia="ru-RU"/>
        </w:rPr>
        <w:t>ББК</w:t>
      </w:r>
      <w:r w:rsidR="0068058F">
        <w:rPr>
          <w:rFonts w:ascii="Times New Roman" w:eastAsia="Times New Roman" w:hAnsi="Times New Roman" w:cs="Times New Roman"/>
          <w:b/>
          <w:sz w:val="24"/>
          <w:lang w:eastAsia="ru-RU"/>
        </w:rPr>
        <w:t xml:space="preserve"> </w:t>
      </w:r>
      <w:r w:rsidR="00877476" w:rsidRPr="00877476">
        <w:rPr>
          <w:rFonts w:ascii="Times New Roman" w:eastAsia="Times New Roman" w:hAnsi="Times New Roman" w:cs="Times New Roman"/>
          <w:b/>
          <w:sz w:val="24"/>
          <w:lang w:eastAsia="ru-RU"/>
        </w:rPr>
        <w:t>65.262</w:t>
      </w:r>
    </w:p>
    <w:p w14:paraId="0FC75140" w14:textId="675A6998" w:rsidR="00D713A3" w:rsidRDefault="00DE0067" w:rsidP="00B073EA">
      <w:pPr>
        <w:spacing w:after="0" w:line="240" w:lineRule="auto"/>
        <w:ind w:left="-540" w:firstLine="540"/>
        <w:jc w:val="right"/>
        <w:rPr>
          <w:rFonts w:ascii="Times New Roman" w:eastAsia="Times New Roman" w:hAnsi="Times New Roman" w:cs="Times New Roman"/>
          <w:b/>
          <w:sz w:val="24"/>
          <w:lang w:eastAsia="ru-RU"/>
        </w:rPr>
      </w:pPr>
      <w:r>
        <w:rPr>
          <w:rFonts w:ascii="Times New Roman" w:eastAsia="Times New Roman" w:hAnsi="Times New Roman" w:cs="Times New Roman"/>
          <w:b/>
          <w:sz w:val="24"/>
          <w:lang w:eastAsia="ru-RU"/>
        </w:rPr>
        <w:t>Абдульманов Р.А.</w:t>
      </w:r>
    </w:p>
    <w:p w14:paraId="110A0CD7" w14:textId="7ED896F9" w:rsidR="00DE0067" w:rsidRPr="00B073EA" w:rsidRDefault="00DE0067" w:rsidP="0068058F">
      <w:pPr>
        <w:spacing w:after="0" w:line="240" w:lineRule="auto"/>
        <w:ind w:firstLine="540"/>
        <w:jc w:val="center"/>
        <w:rPr>
          <w:rFonts w:ascii="Times New Roman" w:eastAsia="Times New Roman" w:hAnsi="Times New Roman" w:cs="Times New Roman"/>
          <w:b/>
          <w:sz w:val="24"/>
          <w:lang w:eastAsia="ru-RU"/>
        </w:rPr>
      </w:pPr>
      <w:r w:rsidRPr="00DE0067">
        <w:rPr>
          <w:rFonts w:ascii="Times New Roman" w:eastAsia="Times New Roman" w:hAnsi="Times New Roman" w:cs="Times New Roman"/>
          <w:b/>
          <w:bCs/>
          <w:sz w:val="24"/>
          <w:szCs w:val="24"/>
          <w:lang w:eastAsia="ru-RU"/>
        </w:rPr>
        <w:t>Платформенная трансформация стоимости в цифровой экономике: вызовы и возможности развития золотых цифровых активов</w:t>
      </w:r>
    </w:p>
    <w:p w14:paraId="15260A45" w14:textId="77777777" w:rsidR="00DE0067" w:rsidRDefault="00DE0067" w:rsidP="0068058F">
      <w:pPr>
        <w:spacing w:after="0" w:line="240" w:lineRule="auto"/>
        <w:ind w:firstLine="540"/>
        <w:jc w:val="both"/>
        <w:rPr>
          <w:rFonts w:ascii="Times New Roman" w:eastAsia="Times New Roman" w:hAnsi="Times New Roman" w:cs="Times New Roman"/>
          <w:sz w:val="24"/>
          <w:u w:val="single"/>
          <w:lang w:eastAsia="ru-RU"/>
        </w:rPr>
      </w:pPr>
    </w:p>
    <w:p w14:paraId="497557E6" w14:textId="38C3D16E" w:rsidR="002E1784" w:rsidRDefault="00B073EA" w:rsidP="0068058F">
      <w:pPr>
        <w:spacing w:after="0" w:line="240" w:lineRule="auto"/>
        <w:ind w:firstLine="540"/>
        <w:jc w:val="both"/>
        <w:rPr>
          <w:rFonts w:ascii="Times New Roman" w:eastAsia="Times New Roman" w:hAnsi="Times New Roman" w:cs="Times New Roman"/>
          <w:sz w:val="24"/>
          <w:szCs w:val="24"/>
          <w:lang w:eastAsia="ru-RU"/>
        </w:rPr>
      </w:pPr>
      <w:r>
        <w:rPr>
          <w:rFonts w:ascii="Times New Roman" w:eastAsia="Times New Roman" w:hAnsi="Times New Roman" w:cs="Times New Roman"/>
          <w:b/>
          <w:sz w:val="24"/>
          <w:lang w:eastAsia="ru-RU"/>
        </w:rPr>
        <w:t>Аннотация</w:t>
      </w:r>
      <w:r w:rsidRPr="00B073EA">
        <w:rPr>
          <w:rFonts w:ascii="Times New Roman" w:eastAsia="Times New Roman" w:hAnsi="Times New Roman" w:cs="Times New Roman"/>
          <w:b/>
          <w:sz w:val="24"/>
          <w:lang w:eastAsia="ru-RU"/>
        </w:rPr>
        <w:t>:</w:t>
      </w:r>
      <w:r w:rsidR="002E1784" w:rsidRPr="002E1784">
        <w:rPr>
          <w:rFonts w:ascii="Times New Roman" w:eastAsia="Times New Roman" w:hAnsi="Times New Roman" w:cs="Times New Roman"/>
          <w:b/>
          <w:sz w:val="24"/>
          <w:lang w:eastAsia="ru-RU"/>
        </w:rPr>
        <w:t xml:space="preserve"> </w:t>
      </w:r>
      <w:r w:rsidR="00DF62E3" w:rsidRPr="00DF62E3">
        <w:rPr>
          <w:rFonts w:ascii="Times New Roman" w:eastAsia="Times New Roman" w:hAnsi="Times New Roman" w:cs="Times New Roman"/>
          <w:sz w:val="24"/>
          <w:szCs w:val="24"/>
          <w:lang w:eastAsia="ru-RU"/>
        </w:rPr>
        <w:t>Статья исследует трансформацию роли золота в цифровой экономике через призму цифровых финансовых активов (ЦФА), обеспеченных золотом. Анализируются их новые функции, институциональные и социальные аспекты, российский и международный опыт (Pax Gold, Tether Gold). Показан переход от пассивного хранения стоимости к активному участию в экосистемах.</w:t>
      </w:r>
    </w:p>
    <w:p w14:paraId="1A9D4388" w14:textId="77777777" w:rsidR="00472FF3" w:rsidRPr="002E1784" w:rsidRDefault="00472FF3" w:rsidP="0068058F">
      <w:pPr>
        <w:spacing w:after="0" w:line="240" w:lineRule="auto"/>
        <w:ind w:firstLine="540"/>
        <w:jc w:val="both"/>
        <w:rPr>
          <w:rFonts w:ascii="Times New Roman" w:eastAsia="Times New Roman" w:hAnsi="Times New Roman" w:cs="Times New Roman"/>
          <w:iCs/>
          <w:sz w:val="24"/>
          <w:lang w:eastAsia="ru-RU"/>
        </w:rPr>
      </w:pPr>
    </w:p>
    <w:p w14:paraId="2C5DD21B" w14:textId="4FA5ED0F" w:rsidR="00DE0067" w:rsidRPr="00B073EA" w:rsidRDefault="002E1784" w:rsidP="0068058F">
      <w:pPr>
        <w:spacing w:after="0" w:line="240" w:lineRule="auto"/>
        <w:ind w:firstLine="540"/>
        <w:jc w:val="both"/>
        <w:rPr>
          <w:rFonts w:ascii="Times New Roman" w:eastAsia="Times New Roman" w:hAnsi="Times New Roman" w:cs="Times New Roman"/>
          <w:iCs/>
          <w:sz w:val="24"/>
          <w:lang w:eastAsia="ru-RU"/>
        </w:rPr>
      </w:pPr>
      <w:r w:rsidRPr="002E1784">
        <w:rPr>
          <w:rFonts w:ascii="Times New Roman" w:eastAsia="Times New Roman" w:hAnsi="Times New Roman" w:cs="Times New Roman"/>
          <w:b/>
          <w:sz w:val="24"/>
          <w:lang w:eastAsia="ru-RU"/>
        </w:rPr>
        <w:t>Ключевые слова</w:t>
      </w:r>
      <w:r w:rsidR="00DE0067" w:rsidRPr="00DE0067">
        <w:rPr>
          <w:rFonts w:ascii="Times New Roman" w:eastAsia="Times New Roman" w:hAnsi="Times New Roman" w:cs="Times New Roman"/>
          <w:b/>
          <w:sz w:val="24"/>
          <w:lang w:eastAsia="ru-RU"/>
        </w:rPr>
        <w:t>:</w:t>
      </w:r>
      <w:r w:rsidRPr="002E1784">
        <w:rPr>
          <w:rFonts w:ascii="Times New Roman" w:eastAsia="Times New Roman" w:hAnsi="Times New Roman" w:cs="Times New Roman"/>
          <w:b/>
          <w:sz w:val="24"/>
          <w:lang w:eastAsia="ru-RU"/>
        </w:rPr>
        <w:t xml:space="preserve"> </w:t>
      </w:r>
      <w:r w:rsidR="00DE0067" w:rsidRPr="00CF528F">
        <w:rPr>
          <w:rFonts w:ascii="Times New Roman" w:eastAsia="Times New Roman" w:hAnsi="Times New Roman" w:cs="Times New Roman"/>
          <w:sz w:val="24"/>
          <w:szCs w:val="24"/>
          <w:lang w:eastAsia="ru-RU"/>
        </w:rPr>
        <w:t>цифровые финансовые активы, золото, токенизация, платформенная экономика, цифровизация стоимости, экосистемы, реальные активы</w:t>
      </w:r>
    </w:p>
    <w:p w14:paraId="2934FEF5" w14:textId="2C1BA860" w:rsidR="00DE0067" w:rsidRDefault="00DE0067" w:rsidP="00DE0067">
      <w:pPr>
        <w:spacing w:before="240"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ab/>
      </w:r>
      <w:r w:rsidRPr="00DE0067">
        <w:rPr>
          <w:rFonts w:ascii="Times New Roman" w:eastAsia="Times New Roman" w:hAnsi="Times New Roman" w:cs="Times New Roman"/>
          <w:sz w:val="24"/>
          <w:szCs w:val="24"/>
          <w:lang w:eastAsia="ru-RU"/>
        </w:rPr>
        <w:t>Данный доклад лежит в русле исследований по повышению эффективности экономики регионов [9, 10, 11, 12, 13], и тех его аспектов, которые связаны с процессами цифровизации экономики [14] и новыми финансовыми технологиями [15].</w:t>
      </w:r>
      <w:r>
        <w:rPr>
          <w:rFonts w:ascii="Times New Roman" w:eastAsia="Times New Roman" w:hAnsi="Times New Roman" w:cs="Times New Roman"/>
          <w:sz w:val="24"/>
          <w:szCs w:val="24"/>
          <w:lang w:eastAsia="ru-RU"/>
        </w:rPr>
        <w:t xml:space="preserve"> </w:t>
      </w:r>
      <w:r w:rsidR="00B073EA">
        <w:rPr>
          <w:rFonts w:ascii="Times New Roman" w:eastAsia="Times New Roman" w:hAnsi="Times New Roman" w:cs="Times New Roman"/>
          <w:sz w:val="24"/>
          <w:szCs w:val="24"/>
          <w:lang w:eastAsia="ru-RU"/>
        </w:rPr>
        <w:tab/>
      </w:r>
      <w:r w:rsidR="00B073EA">
        <w:rPr>
          <w:rFonts w:ascii="Times New Roman" w:eastAsia="Times New Roman" w:hAnsi="Times New Roman" w:cs="Times New Roman"/>
          <w:sz w:val="24"/>
          <w:szCs w:val="24"/>
          <w:lang w:eastAsia="ru-RU"/>
        </w:rPr>
        <w:tab/>
      </w:r>
      <w:r w:rsidR="00B073EA">
        <w:rPr>
          <w:rFonts w:ascii="Times New Roman" w:eastAsia="Times New Roman" w:hAnsi="Times New Roman" w:cs="Times New Roman"/>
          <w:sz w:val="24"/>
          <w:szCs w:val="24"/>
          <w:lang w:eastAsia="ru-RU"/>
        </w:rPr>
        <w:tab/>
      </w:r>
      <w:r w:rsidR="00B073EA">
        <w:rPr>
          <w:rFonts w:ascii="Times New Roman" w:eastAsia="Times New Roman" w:hAnsi="Times New Roman" w:cs="Times New Roman"/>
          <w:sz w:val="24"/>
          <w:szCs w:val="24"/>
          <w:lang w:eastAsia="ru-RU"/>
        </w:rPr>
        <w:tab/>
      </w:r>
      <w:r w:rsidR="00B073EA">
        <w:rPr>
          <w:rFonts w:ascii="Times New Roman" w:eastAsia="Times New Roman" w:hAnsi="Times New Roman" w:cs="Times New Roman"/>
          <w:sz w:val="24"/>
          <w:szCs w:val="24"/>
          <w:lang w:eastAsia="ru-RU"/>
        </w:rPr>
        <w:tab/>
      </w:r>
      <w:r w:rsidR="00B073EA">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В условиях цифровизации финансового оборота золото постепенно выходит за пределы своей традиционной роли защитного актива. Если ранее его основная функция сводилась к сохранению стоимости в условиях инфляции и рыночной нестабильности, то в цифровой среде золото включается в новые модели обращения, где его значение определяется не только материальным обеспечением, но и архитектурой платформы, внутри которой актив используется.</w:t>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Особый интерес в этой связи представляют цифровые финансовые активы, обеспеченные золотом. Они соединяют доверие к золоту как исторически устойчивой форме стоимости с технологическими свойствами цифрового инструмента: делимостью, программируемостью, мобильностью и возможностью встраивания в конкретные потребительские и инвестиционные сценарии. В результате такой актив может выполнять не только накопительную, но и распределительную, статусную и экосистемную функцию.</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Проблема исследования состоит в том, что цифровые активы, обеспеченные золотом, чаще анализируются либо как финансово-правовой инструмент, либо как объект инвестирования. Между тем их функция шире: в цифровой экономике стоимость существует не автономно, а в рамках платформенно организованных режимов доступа, лояльности и взаимодействия с пользователем. Цель статьи — показать, что золотые цифровые активы в 2020–2026 гг. трансформировались из инструмента пассивного хранения стоимости в механизм управляемого участия в цифровой финансовой среде.</w:t>
      </w:r>
      <w:r>
        <w:rPr>
          <w:rFonts w:ascii="Times New Roman" w:eastAsia="Times New Roman" w:hAnsi="Times New Roman" w:cs="Times New Roman"/>
          <w:sz w:val="24"/>
          <w:szCs w:val="24"/>
          <w:lang w:eastAsia="ru-RU"/>
        </w:rPr>
        <w:tab/>
      </w:r>
    </w:p>
    <w:p w14:paraId="537390DB" w14:textId="0F94987D" w:rsidR="00DE0067" w:rsidRDefault="00DE0067" w:rsidP="00DE0067">
      <w:pPr>
        <w:spacing w:after="0" w:line="240" w:lineRule="auto"/>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Для анализа цифровых активов, обеспеченных золотом, необходимо рассматривать стоимость как социально и институционально укоренённую форму. В этом отношении важны идеи К. Поланьи, согласно которым хозяйственные процессы встроены в социальные отношения и институты [1, с. 54]. Применительно к цифровым активам это означает, что их обращение зависит не только от рыночного спроса, но и от правовых режимов, процедур верификации, правил платформы и доверия к инфраструктуре. Близкую логику развивает М. Грановеттер, подчеркивая сетевую природу экономического действия [2, с. 487]. Для цифрового золота это означает, что доверие к активу формируется не только на основе наличия физического резерва, но и через доверие к эмитенту, оператору платформы, кастодиальной модели</w:t>
      </w:r>
      <w:r w:rsidR="00D106A6">
        <w:rPr>
          <w:rFonts w:ascii="Times New Roman" w:eastAsia="Times New Roman" w:hAnsi="Times New Roman" w:cs="Times New Roman"/>
          <w:sz w:val="24"/>
          <w:szCs w:val="24"/>
          <w:lang w:eastAsia="ru-RU"/>
        </w:rPr>
        <w:t xml:space="preserve"> (модели хранения приватных ключей)</w:t>
      </w:r>
      <w:r w:rsidRPr="00CF528F">
        <w:rPr>
          <w:rFonts w:ascii="Times New Roman" w:eastAsia="Times New Roman" w:hAnsi="Times New Roman" w:cs="Times New Roman"/>
          <w:sz w:val="24"/>
          <w:szCs w:val="24"/>
          <w:lang w:eastAsia="ru-RU"/>
        </w:rPr>
        <w:t xml:space="preserve"> и механизму погашения.</w:t>
      </w:r>
      <w:r w:rsidR="00D106A6">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Особое значение имеет концепция В. Зелизер о множественности денежных форм [3, с. 21]. Один и тот же актив может выполнять разные функции в зависимости от контекста обращения. В цифровой экономике обеспеченный золотом инструмент может быть инвестицией, расчётной единицей внутри платформы, элементом программы лояльности или знаком принадлежности к определённому пользовательскому сегменту.</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lastRenderedPageBreak/>
        <w:tab/>
      </w:r>
      <w:r w:rsidRPr="00CF528F">
        <w:rPr>
          <w:rFonts w:ascii="Times New Roman" w:eastAsia="Times New Roman" w:hAnsi="Times New Roman" w:cs="Times New Roman"/>
          <w:sz w:val="24"/>
          <w:szCs w:val="24"/>
          <w:lang w:eastAsia="ru-RU"/>
        </w:rPr>
        <w:t>Символический аспект можно объяснить через идеи Ж. Бодрийяра. Золото исторически связано с престижем, исключительностью и устойчивостью; в цифровой форме эти значения не исчезают, а получают новое выражение в логике знакового обмена [4, с. 112]. Таким образом, цифровой актив, обеспеченный золотом, можно определить как гибридную единицу стоимости, сочетающую материальную обеспеченность, цифровую программируемость и социальную маркированность.</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В традиционной финансовой логике золото выступало главным образом как средство сбережения и страховки от обесценения валют. Однако цифровизация меняет саму форму его присутствия в экономике. В цифровой среде золото становится дробимым, легко передаваемым и включаемым в платформенные сценарии обращения. Это делает значимой не только его обеспеченность, но и конфигурацию среды, в которой актив существует.</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Золотой цифровой актив может выступать не просто цифровым сертификатом на металл, а частью более широкой экосистемы. Его использование может быть связано с покупкой товаров у партнёров платформы, доступом к специальным предложениям, участием в клубных программам или обменом на иные цифровые инструменты. В такой модели стоимость актива значима не сама по себе, а через те социальные и экономические отношения, которые он организует.</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Таким образом, цифровизация золота означает переход от универсальной эквивалентности к селективно организованной функциональности. Пользователь получает не только актив с определённой стоимостной базой, но и право на участие в заранее заданной инфраструктуре операций. Это особенно заметно в экосистемных моделях, где финансовые продукты интегрируются с маркетплейсами, подписками и программами лояльности.</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С 2022 года в России начал формироваться рынок цифровых финансовых активов на базе операторов информационных систем, включённых в реестр Банка России [5, с. 14]. Сам по себе этот факт важен, поскольку обращение актива оказывается связано не с абстрактным открытым рынком, а с институционально заданным контуром, в котором правила эмиссии, допуска и оборота определяются платформой и правовым режимом.</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Даже если конкретные российские выпуски ЦФА не всегда обеспечены золотом, сама логика их функционирования подтверждает общий сдвиг: стоимость всё чаще существует в цифровой форме как управляемый доступ к заранее определённому набору прав и сценариев участия. Это согласуется с идеей множественности денежных форм и показывает, что цифровизация не устраняет институциональную специфику стоимости, а усиливает её.</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Международный опыт токениз</w:t>
      </w:r>
      <w:r w:rsidR="00D025B3">
        <w:rPr>
          <w:rFonts w:ascii="Times New Roman" w:eastAsia="Times New Roman" w:hAnsi="Times New Roman" w:cs="Times New Roman"/>
          <w:sz w:val="24"/>
          <w:szCs w:val="24"/>
          <w:lang w:eastAsia="ru-RU"/>
        </w:rPr>
        <w:t>ации</w:t>
      </w:r>
      <w:r w:rsidRPr="00CF528F">
        <w:rPr>
          <w:rFonts w:ascii="Times New Roman" w:eastAsia="Times New Roman" w:hAnsi="Times New Roman" w:cs="Times New Roman"/>
          <w:sz w:val="24"/>
          <w:szCs w:val="24"/>
          <w:lang w:eastAsia="ru-RU"/>
        </w:rPr>
        <w:t xml:space="preserve"> золота, прежде всего Pax Gold [6] и Tether Gold [7], демонстрирует схожую тенденцию. Эти инструменты обеспечены физическим золотом и могут свободно передаваться и использоваться в цифровой финансовой инфраструктуре. Их значение состоит не только в токенизации металла, но и в переводе золота в режим программируемости. Пользователь получает дробный, мобильный и технологически доступный инструмент, который может использоваться не только для хранения, но и как элемент более сложной финансовой архитектуры.</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Показателен и более широкий тренд токенизации реальных активов: облигаций, фондов денежного рынка, недвижимости и сырьевых инструментов [8, с. 35]. На этом фоне цифровое золото выступает частью общей тенденции платформенной реорганизации стоимости. При этом значимость токен</w:t>
      </w:r>
      <w:r w:rsidR="00D025B3">
        <w:rPr>
          <w:rFonts w:ascii="Times New Roman" w:eastAsia="Times New Roman" w:hAnsi="Times New Roman" w:cs="Times New Roman"/>
          <w:sz w:val="24"/>
          <w:szCs w:val="24"/>
          <w:lang w:eastAsia="ru-RU"/>
        </w:rPr>
        <w:t>-</w:t>
      </w:r>
      <w:r w:rsidRPr="00CF528F">
        <w:rPr>
          <w:rFonts w:ascii="Times New Roman" w:eastAsia="Times New Roman" w:hAnsi="Times New Roman" w:cs="Times New Roman"/>
          <w:sz w:val="24"/>
          <w:szCs w:val="24"/>
          <w:lang w:eastAsia="ru-RU"/>
        </w:rPr>
        <w:t>актива определяется не только цифровой записью, но и юридически понятными правами, механизмами подтверждения владения и институтами доверия.</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t>О</w:t>
      </w:r>
      <w:r w:rsidRPr="00CF528F">
        <w:rPr>
          <w:rFonts w:ascii="Times New Roman" w:eastAsia="Times New Roman" w:hAnsi="Times New Roman" w:cs="Times New Roman"/>
          <w:sz w:val="24"/>
          <w:szCs w:val="24"/>
          <w:lang w:eastAsia="ru-RU"/>
        </w:rPr>
        <w:t>беспеченные золотом цифровые финансовые активы в 2020–2026 гг. стали не просто технологической инновацией, а формой институционально опосредованной трансформации стоимости. Их развитие показывает, что цифровизация финансовых объектов сопровождается не исчезновением социальных оснований доверия, а их реорганизацией в новых инфраструктурных условиях.</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 xml:space="preserve">Золотой цифровой актив нельзя сводить к цифровому дублю физического металла. Он становится элементом платформенной среды, в которой стоимость существует как </w:t>
      </w:r>
      <w:r w:rsidRPr="00CF528F">
        <w:rPr>
          <w:rFonts w:ascii="Times New Roman" w:eastAsia="Times New Roman" w:hAnsi="Times New Roman" w:cs="Times New Roman"/>
          <w:sz w:val="24"/>
          <w:szCs w:val="24"/>
          <w:lang w:eastAsia="ru-RU"/>
        </w:rPr>
        <w:lastRenderedPageBreak/>
        <w:t>управляемый доступ к операциям, сервисам, механизмам лояльности и режимам участия.</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 xml:space="preserve"> Поэтому обеспеченность золотом остаётся важной, но не единственной характеристикой актива. Не меньшее значение приобретают правила платформы, архитектура допуска, сценарии использования и символические эффекты обладания.</w:t>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br/>
      </w:r>
      <w:r>
        <w:rPr>
          <w:rFonts w:ascii="Times New Roman" w:eastAsia="Times New Roman" w:hAnsi="Times New Roman" w:cs="Times New Roman"/>
          <w:sz w:val="24"/>
          <w:szCs w:val="24"/>
          <w:lang w:eastAsia="ru-RU"/>
        </w:rPr>
        <w:tab/>
      </w:r>
      <w:r w:rsidRPr="00CF528F">
        <w:rPr>
          <w:rFonts w:ascii="Times New Roman" w:eastAsia="Times New Roman" w:hAnsi="Times New Roman" w:cs="Times New Roman"/>
          <w:sz w:val="24"/>
          <w:szCs w:val="24"/>
          <w:lang w:eastAsia="ru-RU"/>
        </w:rPr>
        <w:t>Следовательно, цифровые активы, обеспеченные золотом, следует рассматривать как сложный социально-экономический феномен на пересечении инвестиционной логики, цифровой инфраструктуры и современной культуры потребления. Именно в этой точке проявляется их особая роль в цифровой экономике: они превращаются из инструмента пассивного хранения стоимости в механизм селективного, программируемого и символически нагруженного обращения.</w:t>
      </w:r>
      <w:r>
        <w:rPr>
          <w:rFonts w:ascii="Times New Roman" w:eastAsia="Times New Roman" w:hAnsi="Times New Roman" w:cs="Times New Roman"/>
          <w:sz w:val="24"/>
          <w:szCs w:val="24"/>
          <w:lang w:eastAsia="ru-RU"/>
        </w:rPr>
        <w:tab/>
      </w:r>
    </w:p>
    <w:p w14:paraId="727C1169" w14:textId="3726C116" w:rsidR="002E1784" w:rsidRDefault="00DE0067" w:rsidP="0068058F">
      <w:pPr>
        <w:spacing w:after="0" w:line="240" w:lineRule="auto"/>
        <w:ind w:firstLine="540"/>
        <w:jc w:val="both"/>
        <w:rPr>
          <w:rFonts w:ascii="Times New Roman" w:hAnsi="Times New Roman"/>
          <w:sz w:val="24"/>
          <w:szCs w:val="24"/>
          <w:shd w:val="clear" w:color="auto" w:fill="FFFFFF"/>
        </w:rPr>
      </w:pPr>
      <w:r w:rsidRPr="00D359CF">
        <w:rPr>
          <w:rFonts w:ascii="Times New Roman" w:hAnsi="Times New Roman"/>
          <w:sz w:val="24"/>
          <w:szCs w:val="24"/>
        </w:rPr>
        <w:t>Исследование выполнено в рамках государственного задания  УФИЦ РАН № 075-00576-26</w:t>
      </w:r>
      <w:r w:rsidR="0068058F">
        <w:rPr>
          <w:rFonts w:ascii="Times New Roman" w:hAnsi="Times New Roman"/>
          <w:sz w:val="24"/>
          <w:szCs w:val="24"/>
        </w:rPr>
        <w:t>-</w:t>
      </w:r>
      <w:r w:rsidRPr="00D359CF">
        <w:rPr>
          <w:rFonts w:ascii="Times New Roman" w:hAnsi="Times New Roman"/>
          <w:sz w:val="24"/>
          <w:szCs w:val="24"/>
        </w:rPr>
        <w:t>00 на 2026 год и на плановый период 2027 и 2028 годов</w:t>
      </w:r>
      <w:r w:rsidRPr="00D359CF">
        <w:rPr>
          <w:rFonts w:ascii="Times New Roman" w:hAnsi="Times New Roman"/>
          <w:sz w:val="24"/>
          <w:szCs w:val="24"/>
          <w:shd w:val="clear" w:color="auto" w:fill="FFFFFF"/>
        </w:rPr>
        <w:t>.</w:t>
      </w:r>
    </w:p>
    <w:p w14:paraId="58D9DEA3" w14:textId="77777777" w:rsidR="00B073EA" w:rsidRDefault="00B073EA" w:rsidP="002E1784">
      <w:pPr>
        <w:spacing w:after="0" w:line="240" w:lineRule="auto"/>
        <w:ind w:left="-540" w:firstLine="540"/>
        <w:jc w:val="right"/>
        <w:rPr>
          <w:rFonts w:ascii="Times New Roman" w:hAnsi="Times New Roman"/>
          <w:sz w:val="24"/>
          <w:szCs w:val="24"/>
          <w:shd w:val="clear" w:color="auto" w:fill="FFFFFF"/>
        </w:rPr>
      </w:pPr>
    </w:p>
    <w:p w14:paraId="76C2DFF5" w14:textId="46225856" w:rsidR="00B073EA" w:rsidRPr="00DF62E3" w:rsidRDefault="00B073EA" w:rsidP="00B073EA">
      <w:pPr>
        <w:spacing w:after="0" w:line="240" w:lineRule="auto"/>
        <w:ind w:left="-540" w:firstLine="540"/>
        <w:jc w:val="center"/>
        <w:rPr>
          <w:rFonts w:ascii="Times New Roman" w:eastAsia="Calibri" w:hAnsi="Times New Roman" w:cs="Times New Roman"/>
          <w:b/>
          <w:bCs/>
          <w:sz w:val="24"/>
        </w:rPr>
      </w:pPr>
      <w:r w:rsidRPr="00DF62E3">
        <w:rPr>
          <w:rFonts w:ascii="Times New Roman" w:hAnsi="Times New Roman"/>
          <w:b/>
          <w:bCs/>
          <w:sz w:val="24"/>
          <w:szCs w:val="24"/>
          <w:shd w:val="clear" w:color="auto" w:fill="FFFFFF"/>
        </w:rPr>
        <w:t>Библиографический список</w:t>
      </w:r>
    </w:p>
    <w:p w14:paraId="16C8AD52" w14:textId="77777777" w:rsidR="00B073EA" w:rsidRPr="00CF528F"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CF528F">
        <w:rPr>
          <w:rFonts w:ascii="Times New Roman" w:eastAsia="Times New Roman" w:hAnsi="Times New Roman" w:cs="Times New Roman"/>
          <w:sz w:val="24"/>
          <w:szCs w:val="24"/>
          <w:lang w:eastAsia="ru-RU"/>
        </w:rPr>
        <w:t>Поланьи К. Великая трансформация: политические и экономические истоки нашего времени. СПб.: Алетейя, 2002.</w:t>
      </w:r>
    </w:p>
    <w:p w14:paraId="2BADDFA2" w14:textId="77777777" w:rsidR="00B073EA" w:rsidRPr="00CF528F"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CF528F">
        <w:rPr>
          <w:rFonts w:ascii="Times New Roman" w:eastAsia="Times New Roman" w:hAnsi="Times New Roman" w:cs="Times New Roman"/>
          <w:sz w:val="24"/>
          <w:szCs w:val="24"/>
          <w:lang w:val="en-US" w:eastAsia="ru-RU"/>
        </w:rPr>
        <w:t xml:space="preserve">Granovetter M. Economic Action and Social Structure: The Problem of Embeddedness // American Journal of Sociology. </w:t>
      </w:r>
      <w:r w:rsidRPr="00CF528F">
        <w:rPr>
          <w:rFonts w:ascii="Times New Roman" w:eastAsia="Times New Roman" w:hAnsi="Times New Roman" w:cs="Times New Roman"/>
          <w:sz w:val="24"/>
          <w:szCs w:val="24"/>
          <w:lang w:eastAsia="ru-RU"/>
        </w:rPr>
        <w:t>1985. Vol. 91. No. 3. P. 481–510.</w:t>
      </w:r>
    </w:p>
    <w:p w14:paraId="48691036" w14:textId="77777777" w:rsidR="00B073EA" w:rsidRPr="00CF528F"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CF528F">
        <w:rPr>
          <w:rFonts w:ascii="Times New Roman" w:eastAsia="Times New Roman" w:hAnsi="Times New Roman" w:cs="Times New Roman"/>
          <w:sz w:val="24"/>
          <w:szCs w:val="24"/>
          <w:lang w:val="en-US" w:eastAsia="ru-RU"/>
        </w:rPr>
        <w:t xml:space="preserve">Zelizer V. A. The Social Meaning of Money. </w:t>
      </w:r>
      <w:r w:rsidRPr="00CF528F">
        <w:rPr>
          <w:rFonts w:ascii="Times New Roman" w:eastAsia="Times New Roman" w:hAnsi="Times New Roman" w:cs="Times New Roman"/>
          <w:sz w:val="24"/>
          <w:szCs w:val="24"/>
          <w:lang w:eastAsia="ru-RU"/>
        </w:rPr>
        <w:t>New York: Basic Books, 1994.</w:t>
      </w:r>
    </w:p>
    <w:p w14:paraId="019FB09A" w14:textId="77777777" w:rsidR="00B073EA" w:rsidRPr="00CF528F"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CF528F">
        <w:rPr>
          <w:rFonts w:ascii="Times New Roman" w:eastAsia="Times New Roman" w:hAnsi="Times New Roman" w:cs="Times New Roman"/>
          <w:sz w:val="24"/>
          <w:szCs w:val="24"/>
          <w:lang w:eastAsia="ru-RU"/>
        </w:rPr>
        <w:t>Бодрийяр Ж. Общество потребления. Его мифы и структуры. М.: Республика; Культурная революция, 2006.</w:t>
      </w:r>
    </w:p>
    <w:p w14:paraId="6646B446" w14:textId="77777777" w:rsidR="00B073EA" w:rsidRPr="00CF528F"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CF528F">
        <w:rPr>
          <w:rFonts w:ascii="Times New Roman" w:eastAsia="Times New Roman" w:hAnsi="Times New Roman" w:cs="Times New Roman"/>
          <w:sz w:val="24"/>
          <w:szCs w:val="24"/>
          <w:lang w:eastAsia="ru-RU"/>
        </w:rPr>
        <w:t>Банк России. Цифровые финансовые активы: нормативные материалы и аналитические обзоры. М., 2022–2026.</w:t>
      </w:r>
    </w:p>
    <w:p w14:paraId="417EC157" w14:textId="77777777" w:rsidR="00B073EA" w:rsidRPr="00CF528F"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CF528F">
        <w:rPr>
          <w:rFonts w:ascii="Times New Roman" w:eastAsia="Times New Roman" w:hAnsi="Times New Roman" w:cs="Times New Roman"/>
          <w:sz w:val="24"/>
          <w:szCs w:val="24"/>
          <w:lang w:val="en-US" w:eastAsia="ru-RU"/>
        </w:rPr>
        <w:t xml:space="preserve">Paxos Trust Company. Pax Gold (PAXG): official documentation and reserve information. </w:t>
      </w:r>
      <w:r w:rsidRPr="00CF528F">
        <w:rPr>
          <w:rFonts w:ascii="Times New Roman" w:eastAsia="Times New Roman" w:hAnsi="Times New Roman" w:cs="Times New Roman"/>
          <w:sz w:val="24"/>
          <w:szCs w:val="24"/>
          <w:lang w:eastAsia="ru-RU"/>
        </w:rPr>
        <w:t>2020–2026.</w:t>
      </w:r>
    </w:p>
    <w:p w14:paraId="36CBF8BA" w14:textId="77777777" w:rsidR="00B073EA" w:rsidRPr="00CF528F"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CF528F">
        <w:rPr>
          <w:rFonts w:ascii="Times New Roman" w:eastAsia="Times New Roman" w:hAnsi="Times New Roman" w:cs="Times New Roman"/>
          <w:sz w:val="24"/>
          <w:szCs w:val="24"/>
          <w:lang w:val="en-US" w:eastAsia="ru-RU"/>
        </w:rPr>
        <w:t xml:space="preserve">Tether. Tether Gold (XAUT): official documentation and reserve information. </w:t>
      </w:r>
      <w:r w:rsidRPr="00CF528F">
        <w:rPr>
          <w:rFonts w:ascii="Times New Roman" w:eastAsia="Times New Roman" w:hAnsi="Times New Roman" w:cs="Times New Roman"/>
          <w:sz w:val="24"/>
          <w:szCs w:val="24"/>
          <w:lang w:eastAsia="ru-RU"/>
        </w:rPr>
        <w:t>2020–2026.</w:t>
      </w:r>
    </w:p>
    <w:p w14:paraId="4A11D468" w14:textId="77777777" w:rsidR="00B073EA"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CF528F">
        <w:rPr>
          <w:rFonts w:ascii="Times New Roman" w:eastAsia="Times New Roman" w:hAnsi="Times New Roman" w:cs="Times New Roman"/>
          <w:sz w:val="24"/>
          <w:szCs w:val="24"/>
          <w:lang w:val="en-US" w:eastAsia="ru-RU"/>
        </w:rPr>
        <w:t xml:space="preserve">OECD. The Tokenisation of Assets in Financial Markets: regulatory and economic implications. </w:t>
      </w:r>
      <w:r w:rsidRPr="00CF528F">
        <w:rPr>
          <w:rFonts w:ascii="Times New Roman" w:eastAsia="Times New Roman" w:hAnsi="Times New Roman" w:cs="Times New Roman"/>
          <w:sz w:val="24"/>
          <w:szCs w:val="24"/>
          <w:lang w:eastAsia="ru-RU"/>
        </w:rPr>
        <w:t>Paris: OECD Publishing, 2023.</w:t>
      </w:r>
    </w:p>
    <w:p w14:paraId="290E75A5" w14:textId="77777777" w:rsidR="00B073EA" w:rsidRPr="00472FF3"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472FF3">
        <w:rPr>
          <w:rFonts w:ascii="Times New Roman" w:eastAsia="Times New Roman" w:hAnsi="Times New Roman" w:cs="Times New Roman"/>
          <w:sz w:val="24"/>
          <w:szCs w:val="24"/>
          <w:lang w:eastAsia="ru-RU"/>
        </w:rPr>
        <w:t>Актуальные проблемы нефтегазохимических регионов в условиях трансформации мировой экономики / И. У. Зулькарнай, Г. Р. Ислакаева, С. Г. Маричев [и др.]. – Уфа : УФИЦ РАН, 2025. – 196 с.</w:t>
      </w:r>
    </w:p>
    <w:p w14:paraId="2AC408F2" w14:textId="77777777" w:rsidR="00B073EA" w:rsidRPr="00472FF3"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472FF3">
        <w:rPr>
          <w:rFonts w:ascii="Times New Roman" w:eastAsia="Times New Roman" w:hAnsi="Times New Roman" w:cs="Times New Roman"/>
          <w:sz w:val="24"/>
          <w:szCs w:val="24"/>
          <w:lang w:eastAsia="ru-RU"/>
        </w:rPr>
        <w:t>Управление экономикой нефтехимического региона в условиях глобальных вызовов / И. У. Зулькарнай, Г. Р. Ислакаева, Л. Р. Колонских [и др.]. – Уфа : УФИЦ, 2024. – 320 с.</w:t>
      </w:r>
    </w:p>
    <w:p w14:paraId="3D97E2C3" w14:textId="77777777" w:rsidR="00B073EA" w:rsidRPr="00472FF3"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472FF3">
        <w:rPr>
          <w:rFonts w:ascii="Times New Roman" w:eastAsia="Times New Roman" w:hAnsi="Times New Roman" w:cs="Times New Roman"/>
          <w:sz w:val="24"/>
          <w:szCs w:val="24"/>
          <w:lang w:eastAsia="ru-RU"/>
        </w:rPr>
        <w:t>Основные направления социально-экономического развития России: обоснование и оценка последствий (по итогам модельных исследований ЦЭМИ РАН) / В. Л. Макаров, А. Р. Бахтизин, М. Ю. Афанасьев [и др.]. – Москва : Центральный экономико-математический институт РАН, 2023. – 116 с.</w:t>
      </w:r>
    </w:p>
    <w:p w14:paraId="06E32B2F" w14:textId="77777777" w:rsidR="00B073EA" w:rsidRPr="00472FF3"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472FF3">
        <w:rPr>
          <w:rFonts w:ascii="Times New Roman" w:eastAsia="Times New Roman" w:hAnsi="Times New Roman" w:cs="Times New Roman"/>
          <w:sz w:val="24"/>
          <w:szCs w:val="24"/>
          <w:lang w:eastAsia="ru-RU"/>
        </w:rPr>
        <w:t>Нефтехимическая зависимость Республики Башкортостан: Pro et contra диверсификации экономики / под ред. Р.Р.Ахунова, И.У. Зулькарная – Уфа: Принт+, 2021.</w:t>
      </w:r>
    </w:p>
    <w:p w14:paraId="53FC6378" w14:textId="77777777" w:rsidR="00B073EA" w:rsidRPr="00472FF3"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472FF3">
        <w:rPr>
          <w:rFonts w:ascii="Times New Roman" w:eastAsia="Times New Roman" w:hAnsi="Times New Roman" w:cs="Times New Roman"/>
          <w:sz w:val="24"/>
          <w:szCs w:val="24"/>
          <w:lang w:eastAsia="ru-RU"/>
        </w:rPr>
        <w:t>Институты эффективного трансфера инноваций в экономику / под ред. д.э.н. И.У. Зулькарная - Уфа: Принт+, 2021</w:t>
      </w:r>
    </w:p>
    <w:p w14:paraId="1480D1AE" w14:textId="77777777" w:rsidR="00B073EA" w:rsidRPr="00472FF3"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472FF3">
        <w:rPr>
          <w:rFonts w:ascii="Times New Roman" w:eastAsia="Times New Roman" w:hAnsi="Times New Roman" w:cs="Times New Roman"/>
          <w:sz w:val="24"/>
          <w:szCs w:val="24"/>
          <w:lang w:eastAsia="ru-RU"/>
        </w:rPr>
        <w:t>Маричев, С. Г. Количественная оценка бесплатных цифровых благ в составе ВВП / С. Г. Маричев // Вопросы экономики. – 2022. – № 1. – С. 126-146.</w:t>
      </w:r>
    </w:p>
    <w:p w14:paraId="7D8262FE" w14:textId="127364D7" w:rsidR="00B073EA" w:rsidRDefault="00B073EA" w:rsidP="00B073EA">
      <w:pPr>
        <w:numPr>
          <w:ilvl w:val="0"/>
          <w:numId w:val="2"/>
        </w:numPr>
        <w:spacing w:before="100" w:beforeAutospacing="1" w:after="100" w:afterAutospacing="1" w:line="240" w:lineRule="auto"/>
        <w:jc w:val="both"/>
        <w:rPr>
          <w:rFonts w:ascii="Times New Roman" w:eastAsia="Times New Roman" w:hAnsi="Times New Roman" w:cs="Times New Roman"/>
          <w:sz w:val="24"/>
          <w:szCs w:val="24"/>
          <w:lang w:eastAsia="ru-RU"/>
        </w:rPr>
      </w:pPr>
      <w:r w:rsidRPr="00472FF3">
        <w:rPr>
          <w:rFonts w:ascii="Times New Roman" w:eastAsia="Times New Roman" w:hAnsi="Times New Roman" w:cs="Times New Roman"/>
          <w:sz w:val="24"/>
          <w:szCs w:val="24"/>
          <w:lang w:eastAsia="ru-RU"/>
        </w:rPr>
        <w:t>Зулькарнай, И. У. Оздоровление экономических отношений: исламская модель (этический аспект) // Проблемы востоковедения. – 2013. – № 1(59). – С. 7-10.</w:t>
      </w:r>
    </w:p>
    <w:p w14:paraId="6FF04D84" w14:textId="5C8E4726" w:rsidR="00B073EA" w:rsidRDefault="00B073EA" w:rsidP="00B073EA">
      <w:pPr>
        <w:spacing w:before="100" w:beforeAutospacing="1" w:after="100" w:afterAutospacing="1" w:line="240" w:lineRule="auto"/>
        <w:ind w:left="720"/>
        <w:jc w:val="center"/>
        <w:rPr>
          <w:rFonts w:ascii="Times New Roman" w:eastAsia="Times New Roman" w:hAnsi="Times New Roman" w:cs="Times New Roman"/>
          <w:b/>
          <w:bCs/>
          <w:sz w:val="24"/>
          <w:szCs w:val="24"/>
          <w:lang w:eastAsia="ru-RU"/>
        </w:rPr>
      </w:pPr>
      <w:r w:rsidRPr="00B073EA">
        <w:rPr>
          <w:rFonts w:ascii="Times New Roman" w:eastAsia="Times New Roman" w:hAnsi="Times New Roman" w:cs="Times New Roman"/>
          <w:b/>
          <w:bCs/>
          <w:sz w:val="24"/>
          <w:szCs w:val="24"/>
          <w:lang w:eastAsia="ru-RU"/>
        </w:rPr>
        <w:t>Информация об авторе</w:t>
      </w:r>
    </w:p>
    <w:p w14:paraId="594C7669" w14:textId="71770BE7" w:rsidR="00B073EA" w:rsidRPr="00B073EA" w:rsidRDefault="00B073EA" w:rsidP="00DF62E3">
      <w:pPr>
        <w:spacing w:before="100" w:beforeAutospacing="1" w:after="100" w:afterAutospacing="1" w:line="240" w:lineRule="auto"/>
        <w:ind w:left="720"/>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lastRenderedPageBreak/>
        <w:t>Абдульманов Роман Альбертович (Росси</w:t>
      </w:r>
      <w:r w:rsidR="00D025B3">
        <w:rPr>
          <w:rFonts w:ascii="Times New Roman" w:eastAsia="Times New Roman" w:hAnsi="Times New Roman" w:cs="Times New Roman"/>
          <w:sz w:val="24"/>
          <w:szCs w:val="24"/>
          <w:lang w:eastAsia="ru-RU"/>
        </w:rPr>
        <w:t>йская Федерация</w:t>
      </w:r>
      <w:r>
        <w:rPr>
          <w:rFonts w:ascii="Times New Roman" w:eastAsia="Times New Roman" w:hAnsi="Times New Roman" w:cs="Times New Roman"/>
          <w:sz w:val="24"/>
          <w:szCs w:val="24"/>
          <w:lang w:eastAsia="ru-RU"/>
        </w:rPr>
        <w:t>, г. Уфа) – аспирант,</w:t>
      </w:r>
      <w:r w:rsidR="00DF62E3" w:rsidRPr="00DF62E3">
        <w:rPr>
          <w:rFonts w:ascii="Times New Roman" w:eastAsia="Times New Roman" w:hAnsi="Times New Roman" w:cs="Times New Roman"/>
          <w:sz w:val="24"/>
          <w:szCs w:val="24"/>
          <w:lang w:eastAsia="ru-RU"/>
        </w:rPr>
        <w:t xml:space="preserve"> </w:t>
      </w:r>
      <w:r w:rsidR="00DF62E3">
        <w:rPr>
          <w:rFonts w:ascii="Times New Roman" w:eastAsia="Times New Roman" w:hAnsi="Times New Roman" w:cs="Times New Roman"/>
          <w:sz w:val="24"/>
          <w:szCs w:val="24"/>
          <w:lang w:eastAsia="ru-RU"/>
        </w:rPr>
        <w:t>ФБГНУ</w:t>
      </w:r>
      <w:r>
        <w:rPr>
          <w:rFonts w:ascii="Times New Roman" w:eastAsia="Times New Roman" w:hAnsi="Times New Roman" w:cs="Times New Roman"/>
          <w:sz w:val="24"/>
          <w:szCs w:val="24"/>
          <w:lang w:eastAsia="ru-RU"/>
        </w:rPr>
        <w:t xml:space="preserve"> УФИЦ РАН ИСЭИ, </w:t>
      </w:r>
      <w:r>
        <w:rPr>
          <w:rFonts w:ascii="Times New Roman" w:eastAsia="Times New Roman" w:hAnsi="Times New Roman" w:cs="Times New Roman"/>
          <w:sz w:val="24"/>
          <w:szCs w:val="24"/>
          <w:lang w:val="en-US" w:eastAsia="ru-RU"/>
        </w:rPr>
        <w:t>roman</w:t>
      </w:r>
      <w:r w:rsidRPr="00B073EA">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en-US" w:eastAsia="ru-RU"/>
        </w:rPr>
        <w:t>abdulmanov</w:t>
      </w:r>
      <w:r w:rsidRPr="00B073EA">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en-US" w:eastAsia="ru-RU"/>
        </w:rPr>
        <w:t>aveng</w:t>
      </w:r>
      <w:r w:rsidRPr="00B073EA">
        <w:rPr>
          <w:rFonts w:ascii="Times New Roman" w:eastAsia="Times New Roman" w:hAnsi="Times New Roman" w:cs="Times New Roman"/>
          <w:sz w:val="24"/>
          <w:szCs w:val="24"/>
          <w:lang w:eastAsia="ru-RU"/>
        </w:rPr>
        <w:t>.</w:t>
      </w:r>
      <w:r>
        <w:rPr>
          <w:rFonts w:ascii="Times New Roman" w:eastAsia="Times New Roman" w:hAnsi="Times New Roman" w:cs="Times New Roman"/>
          <w:sz w:val="24"/>
          <w:szCs w:val="24"/>
          <w:lang w:val="en-US" w:eastAsia="ru-RU"/>
        </w:rPr>
        <w:t>ru</w:t>
      </w:r>
      <w:r w:rsidRPr="00B073EA">
        <w:rPr>
          <w:rFonts w:ascii="Times New Roman" w:eastAsia="Times New Roman" w:hAnsi="Times New Roman" w:cs="Times New Roman"/>
          <w:sz w:val="24"/>
          <w:szCs w:val="24"/>
          <w:lang w:eastAsia="ru-RU"/>
        </w:rPr>
        <w:t>)</w:t>
      </w:r>
    </w:p>
    <w:p w14:paraId="22630E53" w14:textId="393EF6B8" w:rsidR="006C00EB" w:rsidRPr="0068058F" w:rsidRDefault="003700BB" w:rsidP="002E1784">
      <w:pPr>
        <w:spacing w:after="0" w:line="240" w:lineRule="auto"/>
        <w:ind w:left="-540" w:firstLine="540"/>
        <w:jc w:val="right"/>
        <w:rPr>
          <w:rFonts w:ascii="Times New Roman" w:eastAsia="Calibri" w:hAnsi="Times New Roman" w:cs="Times New Roman"/>
          <w:b/>
          <w:sz w:val="24"/>
          <w:lang w:val="en-US"/>
        </w:rPr>
      </w:pPr>
      <w:r>
        <w:rPr>
          <w:rFonts w:ascii="Times New Roman" w:eastAsia="Calibri" w:hAnsi="Times New Roman" w:cs="Times New Roman"/>
          <w:b/>
          <w:sz w:val="24"/>
          <w:lang w:val="en-US"/>
        </w:rPr>
        <w:t>Abdulmanov</w:t>
      </w:r>
      <w:r w:rsidRPr="0068058F">
        <w:rPr>
          <w:rFonts w:ascii="Times New Roman" w:eastAsia="Calibri" w:hAnsi="Times New Roman" w:cs="Times New Roman"/>
          <w:b/>
          <w:sz w:val="24"/>
          <w:lang w:val="en-US"/>
        </w:rPr>
        <w:t xml:space="preserve"> </w:t>
      </w:r>
      <w:r>
        <w:rPr>
          <w:rFonts w:ascii="Times New Roman" w:eastAsia="Calibri" w:hAnsi="Times New Roman" w:cs="Times New Roman"/>
          <w:b/>
          <w:sz w:val="24"/>
          <w:lang w:val="en-US"/>
        </w:rPr>
        <w:t>R</w:t>
      </w:r>
      <w:r w:rsidRPr="0068058F">
        <w:rPr>
          <w:rFonts w:ascii="Times New Roman" w:eastAsia="Calibri" w:hAnsi="Times New Roman" w:cs="Times New Roman"/>
          <w:b/>
          <w:sz w:val="24"/>
          <w:lang w:val="en-US"/>
        </w:rPr>
        <w:t>.</w:t>
      </w:r>
      <w:r>
        <w:rPr>
          <w:rFonts w:ascii="Times New Roman" w:eastAsia="Calibri" w:hAnsi="Times New Roman" w:cs="Times New Roman"/>
          <w:b/>
          <w:sz w:val="24"/>
          <w:lang w:val="en-US"/>
        </w:rPr>
        <w:t>A</w:t>
      </w:r>
      <w:r w:rsidRPr="0068058F">
        <w:rPr>
          <w:rFonts w:ascii="Times New Roman" w:eastAsia="Calibri" w:hAnsi="Times New Roman" w:cs="Times New Roman"/>
          <w:b/>
          <w:sz w:val="24"/>
          <w:lang w:val="en-US"/>
        </w:rPr>
        <w:t>.</w:t>
      </w:r>
    </w:p>
    <w:p w14:paraId="1AE82FBB" w14:textId="77777777" w:rsidR="00472FF3" w:rsidRDefault="00472FF3" w:rsidP="002E1784">
      <w:pPr>
        <w:spacing w:after="0" w:line="240" w:lineRule="auto"/>
        <w:ind w:left="-540" w:firstLine="540"/>
        <w:jc w:val="both"/>
        <w:rPr>
          <w:rFonts w:ascii="Times New Roman" w:eastAsia="Calibri" w:hAnsi="Times New Roman" w:cs="Times New Roman"/>
          <w:b/>
          <w:sz w:val="24"/>
          <w:lang w:val="en-US"/>
        </w:rPr>
      </w:pPr>
      <w:r w:rsidRPr="00472FF3">
        <w:rPr>
          <w:rFonts w:ascii="Times New Roman" w:eastAsia="Calibri" w:hAnsi="Times New Roman" w:cs="Times New Roman"/>
          <w:b/>
          <w:sz w:val="24"/>
          <w:lang w:val="en-US"/>
        </w:rPr>
        <w:t xml:space="preserve">Platform‑Based Transformation of Value in the Digital Economy: Challenges and Opportunities for the Development of Gold‑Backed Digital Assets </w:t>
      </w:r>
    </w:p>
    <w:p w14:paraId="6ED0EFD1" w14:textId="77777777" w:rsidR="006C00EB" w:rsidRPr="00B073EA" w:rsidRDefault="006C00EB" w:rsidP="002E1784">
      <w:pPr>
        <w:spacing w:after="0" w:line="240" w:lineRule="auto"/>
        <w:ind w:left="-540" w:firstLine="540"/>
        <w:jc w:val="both"/>
        <w:rPr>
          <w:rFonts w:ascii="Times New Roman" w:eastAsia="Times New Roman" w:hAnsi="Times New Roman" w:cs="Times New Roman"/>
          <w:sz w:val="24"/>
          <w:lang w:val="en-US" w:eastAsia="ru-RU"/>
        </w:rPr>
      </w:pPr>
    </w:p>
    <w:p w14:paraId="60D3A177" w14:textId="369EEE52" w:rsidR="006C00EB" w:rsidRDefault="006C00EB" w:rsidP="00DE6A95">
      <w:pPr>
        <w:spacing w:after="0" w:line="240" w:lineRule="auto"/>
        <w:ind w:left="-540" w:firstLine="540"/>
        <w:jc w:val="both"/>
        <w:rPr>
          <w:rFonts w:ascii="Times New Roman" w:eastAsia="Times New Roman" w:hAnsi="Times New Roman" w:cs="Times New Roman"/>
          <w:bCs/>
          <w:sz w:val="24"/>
          <w:lang w:val="en-US" w:eastAsia="ru-RU"/>
        </w:rPr>
      </w:pPr>
      <w:r>
        <w:rPr>
          <w:rFonts w:ascii="Times New Roman" w:eastAsia="Times New Roman" w:hAnsi="Times New Roman" w:cs="Times New Roman"/>
          <w:b/>
          <w:sz w:val="24"/>
          <w:lang w:val="en-US" w:eastAsia="ru-RU"/>
        </w:rPr>
        <w:t xml:space="preserve">Annotation: </w:t>
      </w:r>
      <w:r w:rsidR="00DE6A95" w:rsidRPr="00DE6A95">
        <w:rPr>
          <w:rFonts w:ascii="Times New Roman" w:eastAsia="Times New Roman" w:hAnsi="Times New Roman" w:cs="Times New Roman"/>
          <w:bCs/>
          <w:sz w:val="24"/>
          <w:lang w:val="en-US" w:eastAsia="ru-RU"/>
        </w:rPr>
        <w:t>The article examines the transformation of gold’s role in the digital economy through the lens of gold‑backed digital financial assets (DFAs). It analyzes their new functions, institutional and social aspects, and reviews Russian and international experience (Pax Gold, Tether Gold). The study demonstrates a shift from passive value storage to active participation in ecosystems.</w:t>
      </w:r>
    </w:p>
    <w:p w14:paraId="0A29845A" w14:textId="77777777" w:rsidR="00DE6A95" w:rsidRDefault="00DE6A95" w:rsidP="00DE6A95">
      <w:pPr>
        <w:spacing w:after="0" w:line="240" w:lineRule="auto"/>
        <w:ind w:left="-540" w:firstLine="540"/>
        <w:jc w:val="both"/>
        <w:rPr>
          <w:rFonts w:ascii="Times New Roman" w:eastAsia="Times New Roman" w:hAnsi="Times New Roman" w:cs="Times New Roman"/>
          <w:bCs/>
          <w:sz w:val="24"/>
          <w:lang w:val="en-US" w:eastAsia="ru-RU"/>
        </w:rPr>
      </w:pPr>
    </w:p>
    <w:p w14:paraId="0923DFF8" w14:textId="2B842DA5" w:rsidR="00472FF3" w:rsidRDefault="00472FF3" w:rsidP="006C00EB">
      <w:pPr>
        <w:spacing w:after="0" w:line="240" w:lineRule="auto"/>
        <w:ind w:left="-540" w:firstLine="540"/>
        <w:jc w:val="both"/>
        <w:rPr>
          <w:rFonts w:ascii="Times New Roman" w:eastAsia="Times New Roman" w:hAnsi="Times New Roman" w:cs="Times New Roman"/>
          <w:b/>
          <w:sz w:val="24"/>
          <w:lang w:val="en-US" w:eastAsia="ru-RU"/>
        </w:rPr>
      </w:pPr>
      <w:r w:rsidRPr="00472FF3">
        <w:rPr>
          <w:rFonts w:ascii="Times New Roman" w:eastAsia="Times New Roman" w:hAnsi="Times New Roman" w:cs="Times New Roman"/>
          <w:b/>
          <w:sz w:val="24"/>
          <w:lang w:val="en-US" w:eastAsia="ru-RU"/>
        </w:rPr>
        <w:t xml:space="preserve">Keywords: </w:t>
      </w:r>
      <w:r w:rsidRPr="00472FF3">
        <w:rPr>
          <w:rFonts w:ascii="Times New Roman" w:eastAsia="Times New Roman" w:hAnsi="Times New Roman" w:cs="Times New Roman"/>
          <w:bCs/>
          <w:sz w:val="24"/>
          <w:lang w:val="en-US" w:eastAsia="ru-RU"/>
        </w:rPr>
        <w:t>digital financial assets, gold, tokenization, platform economy, digitalization of value, ecosystems, real assets.</w:t>
      </w:r>
    </w:p>
    <w:p w14:paraId="6A572FAD" w14:textId="77777777" w:rsidR="00472FF3" w:rsidRPr="006C00EB" w:rsidRDefault="00472FF3" w:rsidP="002E1784">
      <w:pPr>
        <w:spacing w:after="0" w:line="240" w:lineRule="auto"/>
        <w:ind w:left="-540" w:firstLine="540"/>
        <w:jc w:val="center"/>
        <w:rPr>
          <w:rFonts w:ascii="Times New Roman" w:eastAsia="Times New Roman" w:hAnsi="Times New Roman" w:cs="Times New Roman"/>
          <w:sz w:val="24"/>
          <w:u w:val="single"/>
          <w:lang w:val="en-US" w:eastAsia="ru-RU"/>
        </w:rPr>
      </w:pPr>
    </w:p>
    <w:p w14:paraId="673A6289" w14:textId="15463D78" w:rsidR="002E1784" w:rsidRPr="006C00EB" w:rsidRDefault="006C00EB" w:rsidP="002E1784">
      <w:pPr>
        <w:spacing w:after="0" w:line="240" w:lineRule="auto"/>
        <w:ind w:left="-540" w:firstLine="540"/>
        <w:jc w:val="center"/>
        <w:rPr>
          <w:rFonts w:ascii="Times New Roman" w:eastAsia="Times New Roman" w:hAnsi="Times New Roman" w:cs="Times New Roman"/>
          <w:b/>
          <w:sz w:val="24"/>
          <w:lang w:eastAsia="ru-RU"/>
        </w:rPr>
      </w:pPr>
      <w:r>
        <w:rPr>
          <w:rFonts w:ascii="Times New Roman" w:eastAsia="Times New Roman" w:hAnsi="Times New Roman" w:cs="Times New Roman"/>
          <w:b/>
          <w:sz w:val="24"/>
          <w:lang w:val="en-US" w:eastAsia="ru-RU"/>
        </w:rPr>
        <w:t>Information</w:t>
      </w:r>
      <w:r w:rsidRPr="006C00EB">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val="en-US" w:eastAsia="ru-RU"/>
        </w:rPr>
        <w:t>about</w:t>
      </w:r>
      <w:r w:rsidRPr="006C00EB">
        <w:rPr>
          <w:rFonts w:ascii="Times New Roman" w:eastAsia="Times New Roman" w:hAnsi="Times New Roman" w:cs="Times New Roman"/>
          <w:b/>
          <w:sz w:val="24"/>
          <w:lang w:eastAsia="ru-RU"/>
        </w:rPr>
        <w:t xml:space="preserve"> </w:t>
      </w:r>
      <w:r>
        <w:rPr>
          <w:rFonts w:ascii="Times New Roman" w:eastAsia="Times New Roman" w:hAnsi="Times New Roman" w:cs="Times New Roman"/>
          <w:b/>
          <w:sz w:val="24"/>
          <w:lang w:val="en-US" w:eastAsia="ru-RU"/>
        </w:rPr>
        <w:t>author</w:t>
      </w:r>
    </w:p>
    <w:p w14:paraId="2CD28109" w14:textId="3A881987" w:rsidR="00472FF3" w:rsidRPr="00D025B3" w:rsidRDefault="00DF62E3" w:rsidP="00DF62E3">
      <w:pPr>
        <w:spacing w:after="0" w:line="240" w:lineRule="auto"/>
        <w:ind w:left="-540" w:firstLine="540"/>
        <w:jc w:val="both"/>
        <w:rPr>
          <w:rFonts w:ascii="Times New Roman" w:eastAsia="Times New Roman" w:hAnsi="Times New Roman" w:cs="Times New Roman"/>
          <w:sz w:val="24"/>
          <w:szCs w:val="24"/>
          <w:lang w:val="en-US" w:eastAsia="ru-RU"/>
        </w:rPr>
      </w:pPr>
      <w:r w:rsidRPr="00D025B3">
        <w:rPr>
          <w:rFonts w:ascii="Times New Roman" w:eastAsia="Times New Roman" w:hAnsi="Times New Roman" w:cs="Times New Roman"/>
          <w:sz w:val="24"/>
          <w:szCs w:val="24"/>
          <w:lang w:val="en-US" w:eastAsia="ru-RU"/>
        </w:rPr>
        <w:t xml:space="preserve">Abdulmanov Roman Albertovich (Russia Federation, Ufa) - </w:t>
      </w:r>
      <w:r w:rsidRPr="00D025B3">
        <w:rPr>
          <w:rFonts w:ascii="Times New Roman" w:hAnsi="Times New Roman" w:cs="Times New Roman"/>
          <w:sz w:val="24"/>
          <w:szCs w:val="24"/>
          <w:lang w:val="en-US"/>
        </w:rPr>
        <w:t> </w:t>
      </w:r>
      <w:r w:rsidRPr="00D025B3">
        <w:rPr>
          <w:rStyle w:val="fontstyle01"/>
          <w:color w:val="auto"/>
          <w:sz w:val="24"/>
          <w:szCs w:val="24"/>
          <w:lang w:val="en-US"/>
        </w:rPr>
        <w:t xml:space="preserve">Postgraduate student, </w:t>
      </w:r>
      <w:r w:rsidRPr="00D025B3">
        <w:rPr>
          <w:rFonts w:ascii="Times New Roman" w:hAnsi="Times New Roman" w:cs="Times New Roman"/>
          <w:sz w:val="24"/>
          <w:szCs w:val="24"/>
          <w:lang w:val="en-US"/>
        </w:rPr>
        <w:t>Institute of Social and Economic Researches - Subdivision of the Ufa Federal Research Centre of the Russian Academy of Sciences</w:t>
      </w:r>
    </w:p>
    <w:p w14:paraId="4E1B5BAB" w14:textId="727CD0A5" w:rsidR="006C00EB" w:rsidRPr="00DF62E3" w:rsidRDefault="006C00EB" w:rsidP="002E1784">
      <w:pPr>
        <w:spacing w:after="0" w:line="240" w:lineRule="auto"/>
        <w:ind w:left="-540" w:firstLine="540"/>
        <w:jc w:val="center"/>
        <w:rPr>
          <w:rFonts w:ascii="Times New Roman" w:eastAsia="Times New Roman" w:hAnsi="Times New Roman" w:cs="Times New Roman"/>
          <w:b/>
          <w:sz w:val="24"/>
          <w:lang w:val="en-US" w:eastAsia="ru-RU"/>
        </w:rPr>
      </w:pPr>
      <w:r w:rsidRPr="00DF62E3">
        <w:rPr>
          <w:rFonts w:ascii="Times New Roman" w:eastAsia="Times New Roman" w:hAnsi="Times New Roman" w:cs="Times New Roman"/>
          <w:b/>
          <w:sz w:val="24"/>
          <w:lang w:val="en-US" w:eastAsia="ru-RU"/>
        </w:rPr>
        <w:t>List of References</w:t>
      </w:r>
    </w:p>
    <w:p w14:paraId="395D4640" w14:textId="77777777" w:rsidR="006C00EB" w:rsidRPr="00DF62E3" w:rsidRDefault="006C00EB" w:rsidP="002E1784">
      <w:pPr>
        <w:spacing w:after="0" w:line="240" w:lineRule="auto"/>
        <w:ind w:left="-540" w:firstLine="540"/>
        <w:jc w:val="center"/>
        <w:rPr>
          <w:rFonts w:ascii="Times New Roman" w:eastAsia="Times New Roman" w:hAnsi="Times New Roman" w:cs="Times New Roman"/>
          <w:b/>
          <w:sz w:val="24"/>
          <w:lang w:val="en-US" w:eastAsia="ru-RU"/>
        </w:rPr>
      </w:pPr>
    </w:p>
    <w:p w14:paraId="54E2AE3A"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val="en-US" w:eastAsia="ru-RU"/>
        </w:rPr>
      </w:pPr>
      <w:r w:rsidRPr="00472FF3">
        <w:rPr>
          <w:rFonts w:ascii="Times New Roman" w:eastAsia="Times New Roman" w:hAnsi="Times New Roman" w:cs="Times New Roman"/>
          <w:sz w:val="24"/>
          <w:lang w:val="en-US" w:eastAsia="ru-RU"/>
        </w:rPr>
        <w:t>Polanyi, K. </w:t>
      </w:r>
      <w:r w:rsidRPr="00472FF3">
        <w:rPr>
          <w:rFonts w:ascii="Times New Roman" w:eastAsia="Times New Roman" w:hAnsi="Times New Roman" w:cs="Times New Roman"/>
          <w:i/>
          <w:iCs/>
          <w:sz w:val="24"/>
          <w:lang w:val="en-US" w:eastAsia="ru-RU"/>
        </w:rPr>
        <w:t>The Great Transformation: The Political and Economic Origins of Our Time</w:t>
      </w:r>
      <w:r w:rsidRPr="00472FF3">
        <w:rPr>
          <w:rFonts w:ascii="Times New Roman" w:eastAsia="Times New Roman" w:hAnsi="Times New Roman" w:cs="Times New Roman"/>
          <w:sz w:val="24"/>
          <w:lang w:val="en-US" w:eastAsia="ru-RU"/>
        </w:rPr>
        <w:t>. St. Petersburg: Aleteya, 2002.</w:t>
      </w:r>
    </w:p>
    <w:p w14:paraId="1742C2DC"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Granovetter, M. (1985). Economic Action and Social Structure: The Problem of Embeddedness. </w:t>
      </w:r>
      <w:r w:rsidRPr="00472FF3">
        <w:rPr>
          <w:rFonts w:ascii="Times New Roman" w:eastAsia="Times New Roman" w:hAnsi="Times New Roman" w:cs="Times New Roman"/>
          <w:i/>
          <w:iCs/>
          <w:sz w:val="24"/>
          <w:lang w:eastAsia="ru-RU"/>
        </w:rPr>
        <w:t>American Journal of Sociology, 91</w:t>
      </w:r>
      <w:r w:rsidRPr="00472FF3">
        <w:rPr>
          <w:rFonts w:ascii="Times New Roman" w:eastAsia="Times New Roman" w:hAnsi="Times New Roman" w:cs="Times New Roman"/>
          <w:sz w:val="24"/>
          <w:lang w:eastAsia="ru-RU"/>
        </w:rPr>
        <w:t>(3), 481–510.</w:t>
      </w:r>
    </w:p>
    <w:p w14:paraId="773A38F3"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Zelizer, V. A. (1994). </w:t>
      </w:r>
      <w:r w:rsidRPr="00472FF3">
        <w:rPr>
          <w:rFonts w:ascii="Times New Roman" w:eastAsia="Times New Roman" w:hAnsi="Times New Roman" w:cs="Times New Roman"/>
          <w:i/>
          <w:iCs/>
          <w:sz w:val="24"/>
          <w:lang w:val="en-US" w:eastAsia="ru-RU"/>
        </w:rPr>
        <w:t>The Social Meaning of Money</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New York: Basic Books.</w:t>
      </w:r>
    </w:p>
    <w:p w14:paraId="0FA7C9FA"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Baudrillard, J. </w:t>
      </w:r>
      <w:r w:rsidRPr="00472FF3">
        <w:rPr>
          <w:rFonts w:ascii="Times New Roman" w:eastAsia="Times New Roman" w:hAnsi="Times New Roman" w:cs="Times New Roman"/>
          <w:i/>
          <w:iCs/>
          <w:sz w:val="24"/>
          <w:lang w:val="en-US" w:eastAsia="ru-RU"/>
        </w:rPr>
        <w:t>The Consumer Society: Myths and Structures</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Moscow: Respublika; Kulturnaya Revolyutsiya, 2006.</w:t>
      </w:r>
    </w:p>
    <w:p w14:paraId="32FC2D80"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Bank of Russia. </w:t>
      </w:r>
      <w:r w:rsidRPr="00472FF3">
        <w:rPr>
          <w:rFonts w:ascii="Times New Roman" w:eastAsia="Times New Roman" w:hAnsi="Times New Roman" w:cs="Times New Roman"/>
          <w:i/>
          <w:iCs/>
          <w:sz w:val="24"/>
          <w:lang w:val="en-US" w:eastAsia="ru-RU"/>
        </w:rPr>
        <w:t>Digital Financial Assets: Regulatory Materials and Analytical Reviews</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Moscow, 2022–2026.</w:t>
      </w:r>
    </w:p>
    <w:p w14:paraId="0F6A4B63"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Paxos Trust Company. </w:t>
      </w:r>
      <w:r w:rsidRPr="00472FF3">
        <w:rPr>
          <w:rFonts w:ascii="Times New Roman" w:eastAsia="Times New Roman" w:hAnsi="Times New Roman" w:cs="Times New Roman"/>
          <w:i/>
          <w:iCs/>
          <w:sz w:val="24"/>
          <w:lang w:val="en-US" w:eastAsia="ru-RU"/>
        </w:rPr>
        <w:t>Pax Gold (PAXG): Official Documentation and Reserve Information</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2020–2026.</w:t>
      </w:r>
    </w:p>
    <w:p w14:paraId="7BDADE2B"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Tether. </w:t>
      </w:r>
      <w:r w:rsidRPr="00472FF3">
        <w:rPr>
          <w:rFonts w:ascii="Times New Roman" w:eastAsia="Times New Roman" w:hAnsi="Times New Roman" w:cs="Times New Roman"/>
          <w:i/>
          <w:iCs/>
          <w:sz w:val="24"/>
          <w:lang w:val="en-US" w:eastAsia="ru-RU"/>
        </w:rPr>
        <w:t>Tether Gold (XAUT): Official Documentation and Reserve Information</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2020–2026.</w:t>
      </w:r>
    </w:p>
    <w:p w14:paraId="168A0339"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OECD. (2023). </w:t>
      </w:r>
      <w:r w:rsidRPr="00472FF3">
        <w:rPr>
          <w:rFonts w:ascii="Times New Roman" w:eastAsia="Times New Roman" w:hAnsi="Times New Roman" w:cs="Times New Roman"/>
          <w:i/>
          <w:iCs/>
          <w:sz w:val="24"/>
          <w:lang w:val="en-US" w:eastAsia="ru-RU"/>
        </w:rPr>
        <w:t>The Tokenisation of Assets in Financial Markets: Regulatory and Economic Implications</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Paris: OECD Publishing.</w:t>
      </w:r>
    </w:p>
    <w:p w14:paraId="47AA4EE3"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Zulkarnai, I. U., Islamkaeva, G. R., Marichev, S. G., et al. </w:t>
      </w:r>
      <w:r w:rsidRPr="00472FF3">
        <w:rPr>
          <w:rFonts w:ascii="Times New Roman" w:eastAsia="Times New Roman" w:hAnsi="Times New Roman" w:cs="Times New Roman"/>
          <w:i/>
          <w:iCs/>
          <w:sz w:val="24"/>
          <w:lang w:val="en-US" w:eastAsia="ru-RU"/>
        </w:rPr>
        <w:t>Current Challenges for Oil and Gas Chemical Regions in the Context of Global Economic Transformation</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Ufa: UFIC RAS, 2025. 196 p.</w:t>
      </w:r>
    </w:p>
    <w:p w14:paraId="6BA1489B"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Zulkarnai, I. U., Islamkaeva, G. R., Kolonskikh, L. R., et al. </w:t>
      </w:r>
      <w:r w:rsidRPr="00472FF3">
        <w:rPr>
          <w:rFonts w:ascii="Times New Roman" w:eastAsia="Times New Roman" w:hAnsi="Times New Roman" w:cs="Times New Roman"/>
          <w:i/>
          <w:iCs/>
          <w:sz w:val="24"/>
          <w:lang w:val="en-US" w:eastAsia="ru-RU"/>
        </w:rPr>
        <w:t>Economic Management of a Petrochemical Region under Global Challenges</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Ufa: UFIC, 2024. 320 p.</w:t>
      </w:r>
    </w:p>
    <w:p w14:paraId="256B62F6"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Makarov, V. L., Bakhtizin, A. R., Afanasiev, M. Yu., et al. </w:t>
      </w:r>
      <w:r w:rsidRPr="00472FF3">
        <w:rPr>
          <w:rFonts w:ascii="Times New Roman" w:eastAsia="Times New Roman" w:hAnsi="Times New Roman" w:cs="Times New Roman"/>
          <w:i/>
          <w:iCs/>
          <w:sz w:val="24"/>
          <w:lang w:val="en-US" w:eastAsia="ru-RU"/>
        </w:rPr>
        <w:t>Key Directions for Russia’s Socio</w:t>
      </w:r>
      <w:r w:rsidRPr="00472FF3">
        <w:rPr>
          <w:rFonts w:ascii="Times New Roman" w:eastAsia="Times New Roman" w:hAnsi="Times New Roman" w:cs="Times New Roman"/>
          <w:i/>
          <w:iCs/>
          <w:sz w:val="24"/>
          <w:lang w:val="en-US" w:eastAsia="ru-RU"/>
        </w:rPr>
        <w:noBreakHyphen/>
        <w:t>Economic Development: Justification and Impact Assessment (Based on CEMI RAS Model Research)</w:t>
      </w:r>
      <w:r w:rsidRPr="00472FF3">
        <w:rPr>
          <w:rFonts w:ascii="Times New Roman" w:eastAsia="Times New Roman" w:hAnsi="Times New Roman" w:cs="Times New Roman"/>
          <w:sz w:val="24"/>
          <w:lang w:val="en-US" w:eastAsia="ru-RU"/>
        </w:rPr>
        <w:t>. Moscow: Central Economics and Mathematics Institute of the Russian Academy of Sciences, 2023. </w:t>
      </w:r>
      <w:r w:rsidRPr="00472FF3">
        <w:rPr>
          <w:rFonts w:ascii="Times New Roman" w:eastAsia="Times New Roman" w:hAnsi="Times New Roman" w:cs="Times New Roman"/>
          <w:sz w:val="24"/>
          <w:lang w:eastAsia="ru-RU"/>
        </w:rPr>
        <w:t>116 p.</w:t>
      </w:r>
    </w:p>
    <w:p w14:paraId="23C04C90"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Akhunov, R. R., &amp; Zulkarnai, I. U. (Eds.). </w:t>
      </w:r>
      <w:r w:rsidRPr="00472FF3">
        <w:rPr>
          <w:rFonts w:ascii="Times New Roman" w:eastAsia="Times New Roman" w:hAnsi="Times New Roman" w:cs="Times New Roman"/>
          <w:i/>
          <w:iCs/>
          <w:sz w:val="24"/>
          <w:lang w:val="en-US" w:eastAsia="ru-RU"/>
        </w:rPr>
        <w:t>Petrochemical Dependence of the Republic of Bashkortostan: Pro et Contra of Economic Diversification</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Ufa: Print+, 2021.</w:t>
      </w:r>
    </w:p>
    <w:p w14:paraId="2345F7F2"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Zulkarnai, I. U. (Ed.). </w:t>
      </w:r>
      <w:r w:rsidRPr="00472FF3">
        <w:rPr>
          <w:rFonts w:ascii="Times New Roman" w:eastAsia="Times New Roman" w:hAnsi="Times New Roman" w:cs="Times New Roman"/>
          <w:i/>
          <w:iCs/>
          <w:sz w:val="24"/>
          <w:lang w:val="en-US" w:eastAsia="ru-RU"/>
        </w:rPr>
        <w:t>Institutions for Effective Innovation Transfer into the Economy</w:t>
      </w:r>
      <w:r w:rsidRPr="00472FF3">
        <w:rPr>
          <w:rFonts w:ascii="Times New Roman" w:eastAsia="Times New Roman" w:hAnsi="Times New Roman" w:cs="Times New Roman"/>
          <w:sz w:val="24"/>
          <w:lang w:val="en-US" w:eastAsia="ru-RU"/>
        </w:rPr>
        <w:t>. </w:t>
      </w:r>
      <w:r w:rsidRPr="00472FF3">
        <w:rPr>
          <w:rFonts w:ascii="Times New Roman" w:eastAsia="Times New Roman" w:hAnsi="Times New Roman" w:cs="Times New Roman"/>
          <w:sz w:val="24"/>
          <w:lang w:eastAsia="ru-RU"/>
        </w:rPr>
        <w:t>Ufa: Print+, 2021.</w:t>
      </w:r>
    </w:p>
    <w:p w14:paraId="4E45CB44"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Marichev, S. G. (2022). Quantitative Assessment of Free Digital Goods in GDP. </w:t>
      </w:r>
      <w:r w:rsidRPr="00472FF3">
        <w:rPr>
          <w:rFonts w:ascii="Times New Roman" w:eastAsia="Times New Roman" w:hAnsi="Times New Roman" w:cs="Times New Roman"/>
          <w:i/>
          <w:iCs/>
          <w:sz w:val="24"/>
          <w:lang w:eastAsia="ru-RU"/>
        </w:rPr>
        <w:t>Voprosy Ekonomiki</w:t>
      </w:r>
      <w:r w:rsidRPr="00472FF3">
        <w:rPr>
          <w:rFonts w:ascii="Times New Roman" w:eastAsia="Times New Roman" w:hAnsi="Times New Roman" w:cs="Times New Roman"/>
          <w:sz w:val="24"/>
          <w:lang w:eastAsia="ru-RU"/>
        </w:rPr>
        <w:t> [</w:t>
      </w:r>
      <w:r w:rsidRPr="00472FF3">
        <w:rPr>
          <w:rFonts w:ascii="Times New Roman" w:eastAsia="Times New Roman" w:hAnsi="Times New Roman" w:cs="Times New Roman"/>
          <w:i/>
          <w:iCs/>
          <w:sz w:val="24"/>
          <w:lang w:eastAsia="ru-RU"/>
        </w:rPr>
        <w:t>Issues of Economics</w:t>
      </w:r>
      <w:r w:rsidRPr="00472FF3">
        <w:rPr>
          <w:rFonts w:ascii="Times New Roman" w:eastAsia="Times New Roman" w:hAnsi="Times New Roman" w:cs="Times New Roman"/>
          <w:sz w:val="24"/>
          <w:lang w:eastAsia="ru-RU"/>
        </w:rPr>
        <w:t>], </w:t>
      </w:r>
      <w:r w:rsidRPr="00472FF3">
        <w:rPr>
          <w:rFonts w:ascii="Times New Roman" w:eastAsia="Times New Roman" w:hAnsi="Times New Roman" w:cs="Times New Roman"/>
          <w:i/>
          <w:iCs/>
          <w:sz w:val="24"/>
          <w:lang w:eastAsia="ru-RU"/>
        </w:rPr>
        <w:t>1</w:t>
      </w:r>
      <w:r w:rsidRPr="00472FF3">
        <w:rPr>
          <w:rFonts w:ascii="Times New Roman" w:eastAsia="Times New Roman" w:hAnsi="Times New Roman" w:cs="Times New Roman"/>
          <w:sz w:val="24"/>
          <w:lang w:eastAsia="ru-RU"/>
        </w:rPr>
        <w:t>, 126–146.</w:t>
      </w:r>
    </w:p>
    <w:p w14:paraId="6693CD10" w14:textId="77777777" w:rsidR="00472FF3" w:rsidRPr="00472FF3" w:rsidRDefault="00472FF3" w:rsidP="00472FF3">
      <w:pPr>
        <w:widowControl w:val="0"/>
        <w:numPr>
          <w:ilvl w:val="0"/>
          <w:numId w:val="3"/>
        </w:numPr>
        <w:suppressAutoHyphens/>
        <w:spacing w:after="0" w:line="240" w:lineRule="auto"/>
        <w:jc w:val="both"/>
        <w:rPr>
          <w:rFonts w:ascii="Times New Roman" w:eastAsia="Times New Roman" w:hAnsi="Times New Roman" w:cs="Times New Roman"/>
          <w:sz w:val="24"/>
          <w:lang w:eastAsia="ru-RU"/>
        </w:rPr>
      </w:pPr>
      <w:r w:rsidRPr="00472FF3">
        <w:rPr>
          <w:rFonts w:ascii="Times New Roman" w:eastAsia="Times New Roman" w:hAnsi="Times New Roman" w:cs="Times New Roman"/>
          <w:sz w:val="24"/>
          <w:lang w:val="en-US" w:eastAsia="ru-RU"/>
        </w:rPr>
        <w:t>Zulkarnai, I. U. (2013). Improving Economic Relations: Islamic Model (Ethical Aspect). </w:t>
      </w:r>
      <w:r w:rsidRPr="00472FF3">
        <w:rPr>
          <w:rFonts w:ascii="Times New Roman" w:eastAsia="Times New Roman" w:hAnsi="Times New Roman" w:cs="Times New Roman"/>
          <w:i/>
          <w:iCs/>
          <w:sz w:val="24"/>
          <w:lang w:eastAsia="ru-RU"/>
        </w:rPr>
        <w:t>Pr</w:t>
      </w:r>
      <w:r w:rsidRPr="00472FF3">
        <w:rPr>
          <w:rFonts w:ascii="Times New Roman" w:eastAsia="Times New Roman" w:hAnsi="Times New Roman" w:cs="Times New Roman"/>
          <w:i/>
          <w:iCs/>
          <w:sz w:val="24"/>
          <w:lang w:eastAsia="ru-RU"/>
        </w:rPr>
        <w:lastRenderedPageBreak/>
        <w:t>oblemy Vostokovedeniya</w:t>
      </w:r>
      <w:r w:rsidRPr="00472FF3">
        <w:rPr>
          <w:rFonts w:ascii="Times New Roman" w:eastAsia="Times New Roman" w:hAnsi="Times New Roman" w:cs="Times New Roman"/>
          <w:sz w:val="24"/>
          <w:lang w:eastAsia="ru-RU"/>
        </w:rPr>
        <w:t> [</w:t>
      </w:r>
      <w:r w:rsidRPr="00472FF3">
        <w:rPr>
          <w:rFonts w:ascii="Times New Roman" w:eastAsia="Times New Roman" w:hAnsi="Times New Roman" w:cs="Times New Roman"/>
          <w:i/>
          <w:iCs/>
          <w:sz w:val="24"/>
          <w:lang w:eastAsia="ru-RU"/>
        </w:rPr>
        <w:t>Oriental Studies</w:t>
      </w:r>
      <w:r w:rsidRPr="00472FF3">
        <w:rPr>
          <w:rFonts w:ascii="Times New Roman" w:eastAsia="Times New Roman" w:hAnsi="Times New Roman" w:cs="Times New Roman"/>
          <w:sz w:val="24"/>
          <w:lang w:eastAsia="ru-RU"/>
        </w:rPr>
        <w:t>], </w:t>
      </w:r>
      <w:r w:rsidRPr="00472FF3">
        <w:rPr>
          <w:rFonts w:ascii="Times New Roman" w:eastAsia="Times New Roman" w:hAnsi="Times New Roman" w:cs="Times New Roman"/>
          <w:i/>
          <w:iCs/>
          <w:sz w:val="24"/>
          <w:lang w:eastAsia="ru-RU"/>
        </w:rPr>
        <w:t>1</w:t>
      </w:r>
      <w:r w:rsidRPr="00472FF3">
        <w:rPr>
          <w:rFonts w:ascii="Times New Roman" w:eastAsia="Times New Roman" w:hAnsi="Times New Roman" w:cs="Times New Roman"/>
          <w:sz w:val="24"/>
          <w:lang w:eastAsia="ru-RU"/>
        </w:rPr>
        <w:t>(59), 7–10.</w:t>
      </w:r>
    </w:p>
    <w:p w14:paraId="52626D76" w14:textId="77777777" w:rsidR="002E1784" w:rsidRPr="002E1784" w:rsidRDefault="002E1784" w:rsidP="002E1784">
      <w:pPr>
        <w:widowControl w:val="0"/>
        <w:suppressAutoHyphens/>
        <w:spacing w:after="0" w:line="240" w:lineRule="auto"/>
        <w:jc w:val="both"/>
        <w:rPr>
          <w:rFonts w:ascii="Times New Roman" w:eastAsia="Times New Roman" w:hAnsi="Times New Roman" w:cs="Times New Roman"/>
          <w:sz w:val="24"/>
          <w:lang w:eastAsia="ru-RU"/>
        </w:rPr>
      </w:pPr>
    </w:p>
    <w:p w14:paraId="77F0B45A" w14:textId="77777777" w:rsidR="00854770" w:rsidRPr="002E1784" w:rsidRDefault="00854770" w:rsidP="00353244">
      <w:pPr>
        <w:spacing w:after="0" w:line="240" w:lineRule="auto"/>
        <w:ind w:firstLine="709"/>
        <w:rPr>
          <w:rFonts w:ascii="Times New Roman" w:hAnsi="Times New Roman" w:cs="Times New Roman"/>
          <w:sz w:val="24"/>
          <w:szCs w:val="24"/>
        </w:rPr>
      </w:pPr>
    </w:p>
    <w:sectPr w:rsidR="00854770" w:rsidRPr="002E1784" w:rsidSect="001B5953">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BF7C460" w14:textId="77777777" w:rsidR="00341E03" w:rsidRDefault="00341E03" w:rsidP="00827E82">
      <w:pPr>
        <w:spacing w:after="0" w:line="240" w:lineRule="auto"/>
      </w:pPr>
      <w:r>
        <w:separator/>
      </w:r>
    </w:p>
  </w:endnote>
  <w:endnote w:type="continuationSeparator" w:id="0">
    <w:p w14:paraId="4CBBE7F2" w14:textId="77777777" w:rsidR="00341E03" w:rsidRDefault="00341E03"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881423F" w14:textId="77777777" w:rsidR="00341E03" w:rsidRDefault="00341E03" w:rsidP="00827E82">
      <w:pPr>
        <w:spacing w:after="0" w:line="240" w:lineRule="auto"/>
      </w:pPr>
      <w:r>
        <w:separator/>
      </w:r>
    </w:p>
  </w:footnote>
  <w:footnote w:type="continuationSeparator" w:id="0">
    <w:p w14:paraId="16F94D56" w14:textId="77777777" w:rsidR="00341E03" w:rsidRDefault="00341E03" w:rsidP="00827E8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D79B7"/>
    <w:multiLevelType w:val="multilevel"/>
    <w:tmpl w:val="798A42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4E8E69C2"/>
    <w:multiLevelType w:val="multilevel"/>
    <w:tmpl w:val="28DCC9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27E82"/>
    <w:rsid w:val="00093BEC"/>
    <w:rsid w:val="00153A02"/>
    <w:rsid w:val="001B5953"/>
    <w:rsid w:val="00287F75"/>
    <w:rsid w:val="002E1784"/>
    <w:rsid w:val="00341E03"/>
    <w:rsid w:val="00353244"/>
    <w:rsid w:val="003700BB"/>
    <w:rsid w:val="0044325D"/>
    <w:rsid w:val="00472FF3"/>
    <w:rsid w:val="00510966"/>
    <w:rsid w:val="00587C5E"/>
    <w:rsid w:val="00590F6E"/>
    <w:rsid w:val="005F5AF9"/>
    <w:rsid w:val="0068058F"/>
    <w:rsid w:val="006C00EB"/>
    <w:rsid w:val="00787640"/>
    <w:rsid w:val="007C5690"/>
    <w:rsid w:val="007D79E0"/>
    <w:rsid w:val="00827E82"/>
    <w:rsid w:val="00854770"/>
    <w:rsid w:val="00877476"/>
    <w:rsid w:val="008C75C1"/>
    <w:rsid w:val="00904C48"/>
    <w:rsid w:val="00916BF7"/>
    <w:rsid w:val="009F2412"/>
    <w:rsid w:val="00B073EA"/>
    <w:rsid w:val="00BC155A"/>
    <w:rsid w:val="00D025B3"/>
    <w:rsid w:val="00D106A6"/>
    <w:rsid w:val="00D359CF"/>
    <w:rsid w:val="00D713A3"/>
    <w:rsid w:val="00DE0067"/>
    <w:rsid w:val="00DE6A95"/>
    <w:rsid w:val="00DF62E3"/>
    <w:rsid w:val="00E85B27"/>
    <w:rsid w:val="00EA4672"/>
    <w:rsid w:val="00EB7CAA"/>
    <w:rsid w:val="00EE1E1A"/>
    <w:rsid w:val="00FB6764"/>
  </w:rsids>
  <m:mathPr>
    <m:mathFont m:val="Cambria Math"/>
    <m:brkBin m:val="before"/>
    <m:brkBinSub m:val="--"/>
    <m:smallFrac m:val="0"/>
    <m:dispDef/>
    <m:lMargin m:val="0"/>
    <m:rMargin m:val="0"/>
    <m:defJc m:val="centerGroup"/>
    <m:wrapIndent m:val="1440"/>
    <m:intLim m:val="subSup"/>
    <m:naryLim m:val="undOvr"/>
  </m:mathPr>
  <w:themeFontLang w:val="ru-RU"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6952112"/>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2E1784"/>
    <w:rPr>
      <w:color w:val="0563C1" w:themeColor="hyperlink"/>
      <w:u w:val="single"/>
    </w:rPr>
  </w:style>
  <w:style w:type="character" w:styleId="a5">
    <w:name w:val="Unresolved Mention"/>
    <w:basedOn w:val="a0"/>
    <w:uiPriority w:val="99"/>
    <w:semiHidden/>
    <w:unhideWhenUsed/>
    <w:rsid w:val="002E1784"/>
    <w:rPr>
      <w:color w:val="605E5C"/>
      <w:shd w:val="clear" w:color="auto" w:fill="E1DFDD"/>
    </w:rPr>
  </w:style>
  <w:style w:type="character" w:customStyle="1" w:styleId="fontstyle01">
    <w:name w:val="fontstyle01"/>
    <w:basedOn w:val="a0"/>
    <w:rsid w:val="00DF62E3"/>
    <w:rPr>
      <w:rFonts w:ascii="Times New Roman" w:hAnsi="Times New Roman" w:cs="Times New Roman" w:hint="default"/>
      <w:b w:val="0"/>
      <w:bCs w:val="0"/>
      <w:i w:val="0"/>
      <w:iCs w:val="0"/>
      <w:color w:val="201F1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0106171">
      <w:bodyDiv w:val="1"/>
      <w:marLeft w:val="0"/>
      <w:marRight w:val="0"/>
      <w:marTop w:val="0"/>
      <w:marBottom w:val="0"/>
      <w:divBdr>
        <w:top w:val="none" w:sz="0" w:space="0" w:color="auto"/>
        <w:left w:val="none" w:sz="0" w:space="0" w:color="auto"/>
        <w:bottom w:val="none" w:sz="0" w:space="0" w:color="auto"/>
        <w:right w:val="none" w:sz="0" w:space="0" w:color="auto"/>
      </w:divBdr>
    </w:div>
    <w:div w:id="845362267">
      <w:bodyDiv w:val="1"/>
      <w:marLeft w:val="0"/>
      <w:marRight w:val="0"/>
      <w:marTop w:val="0"/>
      <w:marBottom w:val="0"/>
      <w:divBdr>
        <w:top w:val="none" w:sz="0" w:space="0" w:color="auto"/>
        <w:left w:val="none" w:sz="0" w:space="0" w:color="auto"/>
        <w:bottom w:val="none" w:sz="0" w:space="0" w:color="auto"/>
        <w:right w:val="none" w:sz="0" w:space="0" w:color="auto"/>
      </w:divBdr>
    </w:div>
    <w:div w:id="2004971951">
      <w:bodyDiv w:val="1"/>
      <w:marLeft w:val="0"/>
      <w:marRight w:val="0"/>
      <w:marTop w:val="0"/>
      <w:marBottom w:val="0"/>
      <w:divBdr>
        <w:top w:val="none" w:sz="0" w:space="0" w:color="auto"/>
        <w:left w:val="none" w:sz="0" w:space="0" w:color="auto"/>
        <w:bottom w:val="none" w:sz="0" w:space="0" w:color="auto"/>
        <w:right w:val="none" w:sz="0" w:space="0" w:color="auto"/>
      </w:divBdr>
    </w:div>
    <w:div w:id="2067216064">
      <w:bodyDiv w:val="1"/>
      <w:marLeft w:val="0"/>
      <w:marRight w:val="0"/>
      <w:marTop w:val="0"/>
      <w:marBottom w:val="0"/>
      <w:divBdr>
        <w:top w:val="none" w:sz="0" w:space="0" w:color="auto"/>
        <w:left w:val="none" w:sz="0" w:space="0" w:color="auto"/>
        <w:bottom w:val="none" w:sz="0" w:space="0" w:color="auto"/>
        <w:right w:val="none" w:sz="0" w:space="0" w:color="auto"/>
      </w:divBdr>
    </w:div>
    <w:div w:id="21292030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5</Pages>
  <Words>2028</Words>
  <Characters>11566</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Роман Абдульманов</cp:lastModifiedBy>
  <cp:revision>7</cp:revision>
  <dcterms:created xsi:type="dcterms:W3CDTF">2026-05-14T11:47:00Z</dcterms:created>
  <dcterms:modified xsi:type="dcterms:W3CDTF">2026-05-15T06:16:00Z</dcterms:modified>
</cp:coreProperties>
</file>