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5772D8" w:rsidRDefault="00000000">
      <w:pPr>
        <w:pStyle w:val="2"/>
        <w:rPr>
          <w:rFonts w:ascii="Times New Roman" w:hAnsi="Times New Roman" w:cs="Times New Roman"/>
          <w:b/>
          <w:sz w:val="24"/>
          <w:szCs w:val="24"/>
        </w:rPr>
      </w:pPr>
      <w:r>
        <w:rPr>
          <w:rFonts w:ascii="Times New Roman" w:hAnsi="Times New Roman" w:cs="Times New Roman"/>
          <w:b/>
          <w:sz w:val="24"/>
          <w:szCs w:val="24"/>
        </w:rPr>
        <w:t>УДК 3</w:t>
      </w:r>
      <w:r w:rsidR="00A07826">
        <w:rPr>
          <w:rFonts w:ascii="Times New Roman" w:hAnsi="Times New Roman" w:cs="Times New Roman"/>
          <w:b/>
          <w:sz w:val="24"/>
          <w:szCs w:val="24"/>
        </w:rPr>
        <w:t>16</w:t>
      </w:r>
      <w:r>
        <w:rPr>
          <w:rFonts w:ascii="Times New Roman" w:hAnsi="Times New Roman" w:cs="Times New Roman"/>
          <w:b/>
          <w:sz w:val="24"/>
          <w:szCs w:val="24"/>
        </w:rPr>
        <w:t>.</w:t>
      </w:r>
      <w:r w:rsidR="00A07826">
        <w:rPr>
          <w:rFonts w:ascii="Times New Roman" w:hAnsi="Times New Roman" w:cs="Times New Roman"/>
          <w:b/>
          <w:sz w:val="24"/>
          <w:szCs w:val="24"/>
        </w:rPr>
        <w:t>4</w:t>
      </w:r>
      <w:r>
        <w:rPr>
          <w:rFonts w:ascii="Times New Roman" w:hAnsi="Times New Roman" w:cs="Times New Roman"/>
          <w:b/>
          <w:sz w:val="24"/>
          <w:szCs w:val="24"/>
        </w:rPr>
        <w:t xml:space="preserve"> / ББК 6</w:t>
      </w:r>
      <w:r w:rsidR="00A07826">
        <w:rPr>
          <w:rFonts w:ascii="Times New Roman" w:hAnsi="Times New Roman" w:cs="Times New Roman"/>
          <w:b/>
          <w:sz w:val="24"/>
          <w:szCs w:val="24"/>
        </w:rPr>
        <w:t>0</w:t>
      </w:r>
      <w:r>
        <w:rPr>
          <w:rFonts w:ascii="Times New Roman" w:hAnsi="Times New Roman" w:cs="Times New Roman"/>
          <w:b/>
          <w:sz w:val="24"/>
          <w:szCs w:val="24"/>
        </w:rPr>
        <w:t>.</w:t>
      </w:r>
      <w:r w:rsidR="00A07826">
        <w:rPr>
          <w:rFonts w:ascii="Times New Roman" w:hAnsi="Times New Roman" w:cs="Times New Roman"/>
          <w:b/>
          <w:sz w:val="24"/>
          <w:szCs w:val="24"/>
        </w:rPr>
        <w:t>5</w:t>
      </w:r>
    </w:p>
    <w:p w:rsidR="005772D8" w:rsidRDefault="008D166E">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Агафонова</w:t>
      </w:r>
      <w:r w:rsidR="00000000">
        <w:rPr>
          <w:rFonts w:ascii="Times New Roman" w:hAnsi="Times New Roman" w:cs="Times New Roman"/>
          <w:b/>
          <w:sz w:val="24"/>
          <w:szCs w:val="24"/>
        </w:rPr>
        <w:t xml:space="preserve"> </w:t>
      </w:r>
      <w:r>
        <w:rPr>
          <w:rFonts w:ascii="Times New Roman" w:hAnsi="Times New Roman" w:cs="Times New Roman"/>
          <w:b/>
          <w:sz w:val="24"/>
          <w:szCs w:val="24"/>
        </w:rPr>
        <w:t>Д</w:t>
      </w:r>
      <w:r w:rsidR="00000000">
        <w:rPr>
          <w:rFonts w:ascii="Times New Roman" w:hAnsi="Times New Roman" w:cs="Times New Roman"/>
          <w:b/>
          <w:sz w:val="24"/>
          <w:szCs w:val="24"/>
        </w:rPr>
        <w:t>.</w:t>
      </w:r>
      <w:r>
        <w:rPr>
          <w:rFonts w:ascii="Times New Roman" w:hAnsi="Times New Roman" w:cs="Times New Roman"/>
          <w:b/>
          <w:sz w:val="24"/>
          <w:szCs w:val="24"/>
        </w:rPr>
        <w:t>Ю</w:t>
      </w:r>
      <w:r w:rsidR="00000000">
        <w:rPr>
          <w:rFonts w:ascii="Times New Roman" w:hAnsi="Times New Roman" w:cs="Times New Roman"/>
          <w:b/>
          <w:sz w:val="24"/>
          <w:szCs w:val="24"/>
        </w:rPr>
        <w:t>.</w:t>
      </w:r>
    </w:p>
    <w:p w:rsidR="005772D8" w:rsidRDefault="008D166E">
      <w:pPr>
        <w:spacing w:after="0" w:line="240" w:lineRule="auto"/>
        <w:jc w:val="center"/>
        <w:rPr>
          <w:rFonts w:ascii="Times New Roman" w:hAnsi="Times New Roman" w:cs="Times New Roman"/>
          <w:b/>
          <w:bCs/>
          <w:sz w:val="24"/>
          <w:szCs w:val="24"/>
        </w:rPr>
      </w:pPr>
      <w:bookmarkStart w:id="0" w:name="_Hlk129337751"/>
      <w:r>
        <w:rPr>
          <w:rFonts w:ascii="Times New Roman" w:hAnsi="Times New Roman" w:cs="Times New Roman"/>
          <w:b/>
          <w:bCs/>
          <w:sz w:val="24"/>
          <w:szCs w:val="24"/>
        </w:rPr>
        <w:t>СОЦИАЛЬНЫЙ КАПИТАЛ ОБЩЕСТВЕННОГО УЧАСТИЯ: КЕЙС ТЮМЕНСКОЙ ОБЛАСТИ</w:t>
      </w:r>
    </w:p>
    <w:p w:rsidR="005772D8" w:rsidRPr="00A07826" w:rsidRDefault="005772D8">
      <w:pPr>
        <w:spacing w:after="0" w:line="240" w:lineRule="auto"/>
        <w:ind w:firstLine="709"/>
        <w:jc w:val="both"/>
        <w:rPr>
          <w:rFonts w:ascii="Times New Roman" w:hAnsi="Times New Roman" w:cs="Times New Roman"/>
          <w:b/>
          <w:bCs/>
          <w:iCs/>
          <w:sz w:val="24"/>
          <w:szCs w:val="24"/>
        </w:rPr>
      </w:pPr>
    </w:p>
    <w:p w:rsidR="00A07826" w:rsidRDefault="00000000">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Аннотация.</w:t>
      </w:r>
      <w:r>
        <w:rPr>
          <w:rFonts w:ascii="Times New Roman" w:hAnsi="Times New Roman" w:cs="Times New Roman"/>
          <w:bCs/>
          <w:sz w:val="24"/>
          <w:szCs w:val="24"/>
        </w:rPr>
        <w:t xml:space="preserve"> В настоящем исследовании</w:t>
      </w:r>
      <w:r>
        <w:rPr>
          <w:rFonts w:ascii="Times New Roman" w:hAnsi="Times New Roman" w:cs="Times New Roman"/>
          <w:sz w:val="24"/>
          <w:szCs w:val="24"/>
        </w:rPr>
        <w:t xml:space="preserve"> пр</w:t>
      </w:r>
      <w:r w:rsidR="00910E9D">
        <w:rPr>
          <w:rFonts w:ascii="Times New Roman" w:hAnsi="Times New Roman" w:cs="Times New Roman"/>
          <w:sz w:val="24"/>
          <w:szCs w:val="24"/>
        </w:rPr>
        <w:t>оанализирована взаимосвязь компонентов социального капитала, а именно обобщенного и институционального доверия, закрытых и открытых социальных сетей</w:t>
      </w:r>
      <w:r w:rsidR="00A07826">
        <w:rPr>
          <w:rFonts w:ascii="Times New Roman" w:hAnsi="Times New Roman" w:cs="Times New Roman"/>
          <w:sz w:val="24"/>
          <w:szCs w:val="24"/>
        </w:rPr>
        <w:t xml:space="preserve">, </w:t>
      </w:r>
      <w:r w:rsidR="00910E9D">
        <w:rPr>
          <w:rFonts w:ascii="Times New Roman" w:hAnsi="Times New Roman" w:cs="Times New Roman"/>
          <w:sz w:val="24"/>
          <w:szCs w:val="24"/>
        </w:rPr>
        <w:t>и формами общественной активности</w:t>
      </w:r>
      <w:r w:rsidR="00A07826">
        <w:rPr>
          <w:rFonts w:ascii="Times New Roman" w:hAnsi="Times New Roman" w:cs="Times New Roman"/>
          <w:sz w:val="24"/>
          <w:szCs w:val="24"/>
        </w:rPr>
        <w:t xml:space="preserve"> в Тюменской области.</w:t>
      </w:r>
      <w:r w:rsidR="00910E9D">
        <w:rPr>
          <w:rFonts w:ascii="Times New Roman" w:hAnsi="Times New Roman" w:cs="Times New Roman"/>
          <w:sz w:val="24"/>
          <w:szCs w:val="24"/>
        </w:rPr>
        <w:t xml:space="preserve"> </w:t>
      </w:r>
      <w:r w:rsidR="00A07826">
        <w:rPr>
          <w:rFonts w:ascii="Times New Roman" w:hAnsi="Times New Roman" w:cs="Times New Roman"/>
          <w:sz w:val="24"/>
          <w:szCs w:val="24"/>
        </w:rPr>
        <w:t>В</w:t>
      </w:r>
      <w:r w:rsidR="00A07826" w:rsidRPr="00A07826">
        <w:rPr>
          <w:rFonts w:ascii="Times New Roman" w:hAnsi="Times New Roman" w:cs="Times New Roman"/>
          <w:sz w:val="24"/>
          <w:szCs w:val="24"/>
        </w:rPr>
        <w:t xml:space="preserve">ыявлены основные препятствия и перспективы развития </w:t>
      </w:r>
      <w:r w:rsidR="00A07826">
        <w:rPr>
          <w:rFonts w:ascii="Times New Roman" w:hAnsi="Times New Roman" w:cs="Times New Roman"/>
          <w:sz w:val="24"/>
          <w:szCs w:val="24"/>
        </w:rPr>
        <w:t>общественного участия</w:t>
      </w:r>
      <w:r w:rsidR="00A07826" w:rsidRPr="00A07826">
        <w:rPr>
          <w:rFonts w:ascii="Times New Roman" w:hAnsi="Times New Roman" w:cs="Times New Roman"/>
          <w:sz w:val="24"/>
          <w:szCs w:val="24"/>
        </w:rPr>
        <w:t>.</w:t>
      </w:r>
    </w:p>
    <w:p w:rsidR="005772D8" w:rsidRDefault="00000000">
      <w:pPr>
        <w:spacing w:after="0" w:line="240" w:lineRule="auto"/>
        <w:ind w:firstLine="709"/>
        <w:jc w:val="both"/>
        <w:rPr>
          <w:rFonts w:ascii="Times New Roman" w:hAnsi="Times New Roman" w:cs="Times New Roman"/>
          <w:bCs/>
          <w:sz w:val="24"/>
          <w:szCs w:val="24"/>
        </w:rPr>
      </w:pPr>
      <w:r>
        <w:rPr>
          <w:rFonts w:ascii="Times New Roman" w:hAnsi="Times New Roman" w:cs="Times New Roman"/>
          <w:b/>
          <w:bCs/>
          <w:sz w:val="24"/>
          <w:szCs w:val="24"/>
        </w:rPr>
        <w:t>Ключевые слова:</w:t>
      </w:r>
      <w:r>
        <w:rPr>
          <w:rFonts w:ascii="Times New Roman" w:hAnsi="Times New Roman" w:cs="Times New Roman"/>
          <w:bCs/>
          <w:sz w:val="24"/>
          <w:szCs w:val="24"/>
        </w:rPr>
        <w:t xml:space="preserve"> </w:t>
      </w:r>
      <w:r w:rsidR="008D166E">
        <w:rPr>
          <w:rFonts w:ascii="Times New Roman" w:hAnsi="Times New Roman" w:cs="Times New Roman"/>
          <w:bCs/>
          <w:sz w:val="24"/>
          <w:szCs w:val="24"/>
        </w:rPr>
        <w:t>социальный капитал, общественное участия, доверие, волонтерство</w:t>
      </w:r>
      <w:r>
        <w:rPr>
          <w:rFonts w:ascii="Times New Roman" w:hAnsi="Times New Roman" w:cs="Times New Roman"/>
          <w:bCs/>
          <w:sz w:val="24"/>
          <w:szCs w:val="24"/>
        </w:rPr>
        <w:t>.</w:t>
      </w:r>
    </w:p>
    <w:bookmarkEnd w:id="0"/>
    <w:p w:rsidR="008D166E" w:rsidRDefault="008D166E" w:rsidP="007A40BC">
      <w:pPr>
        <w:spacing w:after="0" w:line="240" w:lineRule="auto"/>
        <w:jc w:val="both"/>
        <w:rPr>
          <w:rFonts w:ascii="Times New Roman" w:hAnsi="Times New Roman" w:cs="Times New Roman"/>
          <w:sz w:val="24"/>
          <w:szCs w:val="24"/>
        </w:rPr>
      </w:pPr>
    </w:p>
    <w:p w:rsidR="001A0A57" w:rsidRPr="001A0A57" w:rsidRDefault="008D166E" w:rsidP="001A0A57">
      <w:pPr>
        <w:spacing w:after="0" w:line="240" w:lineRule="auto"/>
        <w:ind w:firstLine="708"/>
        <w:jc w:val="both"/>
        <w:rPr>
          <w:rFonts w:ascii="Times New Roman" w:hAnsi="Times New Roman" w:cs="Times New Roman"/>
          <w:sz w:val="24"/>
          <w:szCs w:val="24"/>
        </w:rPr>
      </w:pPr>
      <w:r w:rsidRPr="008D166E">
        <w:rPr>
          <w:rFonts w:ascii="Times New Roman" w:hAnsi="Times New Roman" w:cs="Times New Roman"/>
          <w:sz w:val="24"/>
          <w:szCs w:val="24"/>
        </w:rPr>
        <w:t>Социальный капитал рассматривается как один из ключевых ресурсов развития общества, позволяющий людям совместно решать проблемы и повышать качество жизни​. Социальный капитал охватывает систему социальных связей, доверия и норм, которые облегчают координацию и сотрудничество между людьми</w:t>
      </w:r>
      <w:r>
        <w:rPr>
          <w:rFonts w:ascii="Times New Roman" w:hAnsi="Times New Roman" w:cs="Times New Roman"/>
          <w:sz w:val="24"/>
          <w:szCs w:val="24"/>
        </w:rPr>
        <w:t xml:space="preserve">. </w:t>
      </w:r>
      <w:r w:rsidRPr="008D166E">
        <w:rPr>
          <w:rFonts w:ascii="Times New Roman" w:hAnsi="Times New Roman" w:cs="Times New Roman"/>
          <w:sz w:val="24"/>
          <w:szCs w:val="24"/>
        </w:rPr>
        <w:t>Накопленный социальный капитал способен обеспечивать стабильность и согласованность общественных отношений, служит основой для достижения коллективных целей</w:t>
      </w:r>
      <w:r w:rsidR="00C5014F">
        <w:rPr>
          <w:rFonts w:ascii="Times New Roman" w:hAnsi="Times New Roman" w:cs="Times New Roman"/>
          <w:sz w:val="24"/>
          <w:szCs w:val="24"/>
        </w:rPr>
        <w:t xml:space="preserve"> </w:t>
      </w:r>
      <w:r w:rsidRPr="008D166E">
        <w:rPr>
          <w:rFonts w:ascii="Times New Roman" w:hAnsi="Times New Roman" w:cs="Times New Roman"/>
          <w:sz w:val="24"/>
          <w:szCs w:val="24"/>
        </w:rPr>
        <w:t>и экономического развити</w:t>
      </w:r>
      <w:r w:rsidR="00E81537">
        <w:rPr>
          <w:rFonts w:ascii="Times New Roman" w:hAnsi="Times New Roman" w:cs="Times New Roman"/>
          <w:sz w:val="24"/>
          <w:szCs w:val="24"/>
        </w:rPr>
        <w:t>я.</w:t>
      </w:r>
      <w:r w:rsidR="00C5014F">
        <w:rPr>
          <w:rFonts w:ascii="Times New Roman" w:hAnsi="Times New Roman" w:cs="Times New Roman"/>
          <w:sz w:val="24"/>
          <w:szCs w:val="24"/>
        </w:rPr>
        <w:t xml:space="preserve"> </w:t>
      </w:r>
      <w:r w:rsidR="00C5014F" w:rsidRPr="00C5014F">
        <w:rPr>
          <w:rFonts w:ascii="Times New Roman" w:hAnsi="Times New Roman" w:cs="Times New Roman"/>
          <w:sz w:val="24"/>
          <w:szCs w:val="24"/>
        </w:rPr>
        <w:t>Практика показывает, что общественное участие выступает своего рода «</w:t>
      </w:r>
      <w:proofErr w:type="spellStart"/>
      <w:r w:rsidR="00C5014F" w:rsidRPr="00C5014F">
        <w:rPr>
          <w:rFonts w:ascii="Times New Roman" w:hAnsi="Times New Roman" w:cs="Times New Roman"/>
          <w:sz w:val="24"/>
          <w:szCs w:val="24"/>
        </w:rPr>
        <w:t>экстерналией</w:t>
      </w:r>
      <w:proofErr w:type="spellEnd"/>
      <w:r w:rsidR="00C5014F" w:rsidRPr="00C5014F">
        <w:rPr>
          <w:rFonts w:ascii="Times New Roman" w:hAnsi="Times New Roman" w:cs="Times New Roman"/>
          <w:sz w:val="24"/>
          <w:szCs w:val="24"/>
        </w:rPr>
        <w:t>» социального капитала – проявлением его положительных эффектов: различные формы участия населения способствуют укреплению гражданского общества и выполняют роль механизма обратной связи между обществом и государством</w:t>
      </w:r>
      <w:r w:rsidR="00C5014F">
        <w:rPr>
          <w:rFonts w:ascii="Times New Roman" w:hAnsi="Times New Roman" w:cs="Times New Roman"/>
          <w:sz w:val="24"/>
          <w:szCs w:val="24"/>
        </w:rPr>
        <w:t xml:space="preserve"> </w:t>
      </w:r>
      <w:r w:rsidR="00C5014F" w:rsidRPr="00C5014F">
        <w:rPr>
          <w:rFonts w:ascii="Times New Roman" w:hAnsi="Times New Roman" w:cs="Times New Roman"/>
          <w:sz w:val="24"/>
          <w:szCs w:val="24"/>
        </w:rPr>
        <w:t>[</w:t>
      </w:r>
      <w:r w:rsidR="007A40BC">
        <w:rPr>
          <w:rFonts w:ascii="Times New Roman" w:hAnsi="Times New Roman" w:cs="Times New Roman"/>
          <w:sz w:val="24"/>
          <w:szCs w:val="24"/>
        </w:rPr>
        <w:t>2</w:t>
      </w:r>
      <w:r w:rsidR="00C5014F" w:rsidRPr="00C5014F">
        <w:rPr>
          <w:rFonts w:ascii="Times New Roman" w:hAnsi="Times New Roman" w:cs="Times New Roman"/>
          <w:sz w:val="24"/>
          <w:szCs w:val="24"/>
        </w:rPr>
        <w:t>]</w:t>
      </w:r>
      <w:r w:rsidR="00C5014F" w:rsidRPr="00C5014F">
        <w:rPr>
          <w:rFonts w:ascii="Times New Roman" w:hAnsi="Times New Roman" w:cs="Times New Roman"/>
          <w:sz w:val="24"/>
          <w:szCs w:val="24"/>
        </w:rPr>
        <w:t>. Накопление социального капитала рассматривается как один из ресурсов развития гражданского общества, в то время как дефицит доверия и горизонтальных связей часто называется причиной слабой активности.</w:t>
      </w:r>
      <w:r w:rsidR="002B79FA" w:rsidRPr="002B79FA">
        <w:rPr>
          <w:rFonts w:ascii="Times New Roman" w:hAnsi="Times New Roman" w:cs="Times New Roman"/>
          <w:sz w:val="24"/>
          <w:szCs w:val="24"/>
        </w:rPr>
        <w:t xml:space="preserve"> </w:t>
      </w:r>
      <w:r w:rsidR="002B79FA" w:rsidRPr="002B79FA">
        <w:rPr>
          <w:rFonts w:ascii="Times New Roman" w:hAnsi="Times New Roman" w:cs="Times New Roman"/>
          <w:sz w:val="24"/>
          <w:szCs w:val="24"/>
        </w:rPr>
        <w:t>В российском обществе с его исторически низким уровнем межличностного доверия и преобладанием «закрытых» сетей родственных и дружеских связей (партикуляризм) данная тема особенно актуальна</w:t>
      </w:r>
      <w:r w:rsidR="002B79FA" w:rsidRPr="002B79FA">
        <w:rPr>
          <w:rFonts w:ascii="Times New Roman" w:hAnsi="Times New Roman" w:cs="Times New Roman"/>
          <w:sz w:val="24"/>
          <w:szCs w:val="24"/>
        </w:rPr>
        <w:t xml:space="preserve"> [</w:t>
      </w:r>
      <w:r w:rsidR="007A40BC">
        <w:rPr>
          <w:rFonts w:ascii="Times New Roman" w:hAnsi="Times New Roman" w:cs="Times New Roman"/>
          <w:sz w:val="24"/>
          <w:szCs w:val="24"/>
        </w:rPr>
        <w:t>1</w:t>
      </w:r>
      <w:r w:rsidR="002B79FA" w:rsidRPr="002B79FA">
        <w:rPr>
          <w:rFonts w:ascii="Times New Roman" w:hAnsi="Times New Roman" w:cs="Times New Roman"/>
          <w:sz w:val="24"/>
          <w:szCs w:val="24"/>
        </w:rPr>
        <w:t>]</w:t>
      </w:r>
      <w:r w:rsidR="002B79FA">
        <w:rPr>
          <w:rFonts w:ascii="Times New Roman" w:hAnsi="Times New Roman" w:cs="Times New Roman"/>
          <w:sz w:val="24"/>
          <w:szCs w:val="24"/>
        </w:rPr>
        <w:t>.</w:t>
      </w:r>
    </w:p>
    <w:p w:rsidR="001A0A57" w:rsidRDefault="00C97B53" w:rsidP="001A0A57">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С</w:t>
      </w:r>
      <w:r w:rsidR="001A0A57" w:rsidRPr="001A0A57">
        <w:rPr>
          <w:rFonts w:ascii="Times New Roman" w:hAnsi="Times New Roman" w:cs="Times New Roman"/>
          <w:sz w:val="24"/>
          <w:szCs w:val="24"/>
        </w:rPr>
        <w:t xml:space="preserve">оциальный капитал </w:t>
      </w:r>
      <w:r>
        <w:rPr>
          <w:rFonts w:ascii="Times New Roman" w:hAnsi="Times New Roman" w:cs="Times New Roman"/>
          <w:sz w:val="24"/>
          <w:szCs w:val="24"/>
        </w:rPr>
        <w:t xml:space="preserve">рассматривается </w:t>
      </w:r>
      <w:r w:rsidR="001A0A57" w:rsidRPr="001A0A57">
        <w:rPr>
          <w:rFonts w:ascii="Times New Roman" w:hAnsi="Times New Roman" w:cs="Times New Roman"/>
          <w:sz w:val="24"/>
          <w:szCs w:val="24"/>
        </w:rPr>
        <w:t xml:space="preserve">как совокупность ресурсов, которые индивид накапливает посредством установления контактов и принадлежности к различным группам. Такой подход подчёркивает, что чем шире и прочнее социальные связи, тем эффективнее человек может мобилизовать их для получения личных и коллективных выгод. Классические исследования </w:t>
      </w:r>
      <w:r w:rsidR="007A40BC" w:rsidRPr="007A40BC">
        <w:rPr>
          <w:rFonts w:ascii="Times New Roman" w:hAnsi="Times New Roman" w:cs="Times New Roman"/>
          <w:sz w:val="24"/>
          <w:szCs w:val="24"/>
        </w:rPr>
        <w:t>[</w:t>
      </w:r>
      <w:r w:rsidR="007A40BC">
        <w:rPr>
          <w:rFonts w:ascii="Times New Roman" w:hAnsi="Times New Roman" w:cs="Times New Roman"/>
          <w:sz w:val="24"/>
          <w:szCs w:val="24"/>
        </w:rPr>
        <w:t>4;5</w:t>
      </w:r>
      <w:r w:rsidR="001A0A57" w:rsidRPr="001A0A57">
        <w:rPr>
          <w:rFonts w:ascii="Times New Roman" w:hAnsi="Times New Roman" w:cs="Times New Roman"/>
          <w:sz w:val="24"/>
          <w:szCs w:val="24"/>
        </w:rPr>
        <w:t>;</w:t>
      </w:r>
      <w:r w:rsidR="007A40BC">
        <w:rPr>
          <w:rFonts w:ascii="Times New Roman" w:hAnsi="Times New Roman" w:cs="Times New Roman"/>
          <w:sz w:val="24"/>
          <w:szCs w:val="24"/>
        </w:rPr>
        <w:t>6</w:t>
      </w:r>
      <w:r w:rsidR="007A40BC" w:rsidRPr="007A40BC">
        <w:rPr>
          <w:rFonts w:ascii="Times New Roman" w:hAnsi="Times New Roman" w:cs="Times New Roman"/>
          <w:sz w:val="24"/>
          <w:szCs w:val="24"/>
        </w:rPr>
        <w:t>]</w:t>
      </w:r>
      <w:r w:rsidR="001A0A57" w:rsidRPr="001A0A57">
        <w:rPr>
          <w:rFonts w:ascii="Times New Roman" w:hAnsi="Times New Roman" w:cs="Times New Roman"/>
          <w:sz w:val="24"/>
          <w:szCs w:val="24"/>
        </w:rPr>
        <w:t xml:space="preserve"> демонстрируют, что социальный капитал способствует расширению информационных потоков, усилению влияния в обществе, укреплению сетей солидарности, а также снижению транзакционных издержек, что благоприятно сказывается на сотрудничестве и кооперации.</w:t>
      </w:r>
      <w:r w:rsidR="001A0A57">
        <w:rPr>
          <w:rFonts w:ascii="Times New Roman" w:hAnsi="Times New Roman" w:cs="Times New Roman"/>
          <w:sz w:val="24"/>
          <w:szCs w:val="24"/>
        </w:rPr>
        <w:t xml:space="preserve"> </w:t>
      </w:r>
      <w:r w:rsidR="001A0A57" w:rsidRPr="001A0A57">
        <w:rPr>
          <w:rFonts w:ascii="Times New Roman" w:hAnsi="Times New Roman" w:cs="Times New Roman"/>
          <w:sz w:val="24"/>
          <w:szCs w:val="24"/>
        </w:rPr>
        <w:t>Разделение доверия на обобщённое (направленное на незнакомых людей) и институциональное позволяет детально проследить, как различные аспекты социального капитала влияют на вовлечённость граждан в общественную жизнь и индивидуальные успехи</w:t>
      </w:r>
      <w:r w:rsidR="007A40BC">
        <w:rPr>
          <w:rFonts w:ascii="Times New Roman" w:hAnsi="Times New Roman" w:cs="Times New Roman"/>
          <w:sz w:val="24"/>
          <w:szCs w:val="24"/>
        </w:rPr>
        <w:t>.</w:t>
      </w:r>
    </w:p>
    <w:p w:rsidR="001A0A57" w:rsidRPr="007A40BC" w:rsidRDefault="001A0A57" w:rsidP="001A0A57">
      <w:pPr>
        <w:spacing w:after="0" w:line="240" w:lineRule="auto"/>
        <w:ind w:firstLine="708"/>
        <w:jc w:val="both"/>
        <w:rPr>
          <w:rFonts w:ascii="Times New Roman" w:hAnsi="Times New Roman" w:cs="Times New Roman"/>
          <w:sz w:val="24"/>
          <w:szCs w:val="24"/>
        </w:rPr>
      </w:pPr>
      <w:r w:rsidRPr="001A0A57">
        <w:rPr>
          <w:rFonts w:ascii="Times New Roman" w:hAnsi="Times New Roman" w:cs="Times New Roman"/>
          <w:sz w:val="24"/>
          <w:szCs w:val="24"/>
        </w:rPr>
        <w:t xml:space="preserve"> Цель данного исследования заключалась в анализе взаимосвязи компонентов социального капитала и уровня общественной активности в Тюменской области, опираясь на данные мониторинга за 2013–2023 годы </w:t>
      </w:r>
      <w:r w:rsidR="007A40BC" w:rsidRPr="007A40BC">
        <w:rPr>
          <w:rFonts w:ascii="Times New Roman" w:hAnsi="Times New Roman" w:cs="Times New Roman"/>
          <w:sz w:val="24"/>
          <w:szCs w:val="24"/>
        </w:rPr>
        <w:t>[3]</w:t>
      </w:r>
      <w:r w:rsidR="007A40BC">
        <w:rPr>
          <w:rFonts w:ascii="Times New Roman" w:hAnsi="Times New Roman" w:cs="Times New Roman"/>
          <w:sz w:val="24"/>
          <w:szCs w:val="24"/>
        </w:rPr>
        <w:t>.</w:t>
      </w:r>
    </w:p>
    <w:p w:rsidR="007A40BC" w:rsidRDefault="001A0A57" w:rsidP="001A0A57">
      <w:pPr>
        <w:spacing w:after="0" w:line="240" w:lineRule="auto"/>
        <w:ind w:firstLine="708"/>
        <w:jc w:val="both"/>
        <w:rPr>
          <w:rFonts w:ascii="Times New Roman" w:hAnsi="Times New Roman" w:cs="Times New Roman"/>
          <w:sz w:val="24"/>
          <w:szCs w:val="24"/>
        </w:rPr>
      </w:pPr>
      <w:r w:rsidRPr="001A0A57">
        <w:rPr>
          <w:rFonts w:ascii="Times New Roman" w:hAnsi="Times New Roman" w:cs="Times New Roman"/>
          <w:sz w:val="24"/>
          <w:szCs w:val="24"/>
        </w:rPr>
        <w:t>Анализ эмпирической базы выявил следующие тенденции. Динамика изменения обобщённого доверия характеризуется крайне медленным развитием: большинство жителей Тюменской области склонны не доверять незнакомым людям</w:t>
      </w:r>
      <w:r>
        <w:rPr>
          <w:rFonts w:ascii="Times New Roman" w:hAnsi="Times New Roman" w:cs="Times New Roman"/>
          <w:sz w:val="24"/>
          <w:szCs w:val="24"/>
        </w:rPr>
        <w:t xml:space="preserve"> (рис. 1)</w:t>
      </w:r>
      <w:r w:rsidRPr="001A0A57">
        <w:rPr>
          <w:rFonts w:ascii="Times New Roman" w:hAnsi="Times New Roman" w:cs="Times New Roman"/>
          <w:sz w:val="24"/>
          <w:szCs w:val="24"/>
        </w:rPr>
        <w:t xml:space="preserve">. </w:t>
      </w:r>
    </w:p>
    <w:p w:rsidR="007A40BC" w:rsidRPr="00E11C6A" w:rsidRDefault="007A40BC" w:rsidP="00910E9D">
      <w:pPr>
        <w:widowControl w:val="0"/>
        <w:spacing w:before="120" w:after="0" w:line="240" w:lineRule="auto"/>
        <w:ind w:firstLine="709"/>
        <w:jc w:val="center"/>
        <w:rPr>
          <w:rFonts w:ascii="Times New Roman" w:hAnsi="Times New Roman" w:cs="Times New Roman"/>
          <w:sz w:val="24"/>
          <w:szCs w:val="24"/>
        </w:rPr>
      </w:pPr>
      <w:r>
        <w:rPr>
          <w:noProof/>
        </w:rPr>
        <w:lastRenderedPageBreak/>
        <w:drawing>
          <wp:inline distT="0" distB="0" distL="0" distR="0" wp14:anchorId="486928DB" wp14:editId="0551308E">
            <wp:extent cx="4826747" cy="3375635"/>
            <wp:effectExtent l="0" t="0" r="0" b="3175"/>
            <wp:docPr id="71172304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1723046" name=""/>
                    <pic:cNvPicPr/>
                  </pic:nvPicPr>
                  <pic:blipFill>
                    <a:blip r:embed="rId8"/>
                    <a:stretch>
                      <a:fillRect/>
                    </a:stretch>
                  </pic:blipFill>
                  <pic:spPr>
                    <a:xfrm>
                      <a:off x="0" y="0"/>
                      <a:ext cx="4856716" cy="3396594"/>
                    </a:xfrm>
                    <a:prstGeom prst="rect">
                      <a:avLst/>
                    </a:prstGeom>
                  </pic:spPr>
                </pic:pic>
              </a:graphicData>
            </a:graphic>
          </wp:inline>
        </w:drawing>
      </w:r>
    </w:p>
    <w:p w:rsidR="007A40BC" w:rsidRDefault="007A40BC" w:rsidP="007A40BC">
      <w:pPr>
        <w:spacing w:after="0" w:line="240" w:lineRule="auto"/>
        <w:jc w:val="center"/>
        <w:rPr>
          <w:rFonts w:ascii="Times New Roman" w:hAnsi="Times New Roman" w:cs="Times New Roman"/>
          <w:spacing w:val="-6"/>
          <w:sz w:val="20"/>
          <w:szCs w:val="20"/>
        </w:rPr>
      </w:pPr>
      <w:r>
        <w:rPr>
          <w:rFonts w:ascii="Times New Roman" w:hAnsi="Times New Roman" w:cs="Times New Roman"/>
          <w:sz w:val="24"/>
          <w:szCs w:val="24"/>
        </w:rPr>
        <w:t xml:space="preserve">Рис. 1. </w:t>
      </w:r>
      <w:r w:rsidRPr="00E11C6A">
        <w:rPr>
          <w:rFonts w:ascii="Times New Roman" w:hAnsi="Times New Roman" w:cs="Times New Roman"/>
          <w:bCs/>
          <w:iCs/>
          <w:sz w:val="24"/>
          <w:szCs w:val="24"/>
        </w:rPr>
        <w:t>Динамика составляющих индекса институционального доверия региональным органам управления, институтам, организациям и обобщенного доверия, 2013–2023 гг.</w:t>
      </w:r>
    </w:p>
    <w:p w:rsidR="007A40BC" w:rsidRDefault="007A40BC" w:rsidP="001A0A57">
      <w:pPr>
        <w:spacing w:after="0" w:line="240" w:lineRule="auto"/>
        <w:ind w:firstLine="708"/>
        <w:jc w:val="both"/>
        <w:rPr>
          <w:rFonts w:ascii="Times New Roman" w:hAnsi="Times New Roman" w:cs="Times New Roman"/>
          <w:sz w:val="24"/>
          <w:szCs w:val="24"/>
        </w:rPr>
      </w:pPr>
    </w:p>
    <w:p w:rsidR="001A0A57" w:rsidRPr="001A0A57" w:rsidRDefault="001A0A57" w:rsidP="007A40BC">
      <w:pPr>
        <w:spacing w:after="0" w:line="240" w:lineRule="auto"/>
        <w:ind w:firstLine="708"/>
        <w:jc w:val="both"/>
        <w:rPr>
          <w:rFonts w:ascii="Times New Roman" w:hAnsi="Times New Roman" w:cs="Times New Roman"/>
          <w:sz w:val="24"/>
          <w:szCs w:val="24"/>
        </w:rPr>
      </w:pPr>
      <w:r w:rsidRPr="001A0A57">
        <w:rPr>
          <w:rFonts w:ascii="Times New Roman" w:hAnsi="Times New Roman" w:cs="Times New Roman"/>
          <w:sz w:val="24"/>
          <w:szCs w:val="24"/>
        </w:rPr>
        <w:t>В то же время уровень институционального доверия демонстрирует определённые колебания с заметной, хоть и слабой, положительной тенденцией. Примечательно, что доверие к органам власти и управления существенно выше, чем к институтам политической и общественной жизни.</w:t>
      </w:r>
      <w:r w:rsidR="007A40BC">
        <w:rPr>
          <w:rFonts w:ascii="Times New Roman" w:hAnsi="Times New Roman" w:cs="Times New Roman"/>
          <w:sz w:val="24"/>
          <w:szCs w:val="24"/>
        </w:rPr>
        <w:t xml:space="preserve"> </w:t>
      </w:r>
      <w:r w:rsidR="007A40BC" w:rsidRPr="007A40BC">
        <w:rPr>
          <w:rFonts w:ascii="Times New Roman" w:hAnsi="Times New Roman" w:cs="Times New Roman"/>
          <w:sz w:val="24"/>
          <w:szCs w:val="24"/>
        </w:rPr>
        <w:t>Несмотря на постепенное усиление доверия к федеральным институтам власти в России, региональные властные структуры по-прежнему вызывают существенно меньшее доверие.</w:t>
      </w:r>
    </w:p>
    <w:p w:rsidR="001A0A57" w:rsidRDefault="001A0A57" w:rsidP="001A0A57">
      <w:pPr>
        <w:spacing w:after="0" w:line="240" w:lineRule="auto"/>
        <w:ind w:firstLine="708"/>
        <w:jc w:val="both"/>
        <w:rPr>
          <w:rFonts w:ascii="Times New Roman" w:hAnsi="Times New Roman" w:cs="Times New Roman"/>
          <w:sz w:val="24"/>
          <w:szCs w:val="24"/>
        </w:rPr>
      </w:pPr>
      <w:r w:rsidRPr="001A0A57">
        <w:rPr>
          <w:rFonts w:ascii="Times New Roman" w:hAnsi="Times New Roman" w:cs="Times New Roman"/>
          <w:sz w:val="24"/>
          <w:szCs w:val="24"/>
        </w:rPr>
        <w:t>По выборке исследования 58% опрошенных находятся в рамках закрытых социальных сетей, тогда как 42% активно взаимодействуют в открытых сетях. Общественная активность в регионе проявляется значительно сильнее, чем прямое участие в деятельности политических партий – 62% респондентов регулярно участвуют в общественной жизни. Так, в 2023 году участие в местных выборах зафиксировало наивысший показатель – около трети граждан отнесены к активным участникам. При этом женщины, составляющие 57% активной аудитории по сравнению с 43% мужчин, и лица с высоким уровнем образования демонстрируют большую склонность к общественному участию. Среди основных препятствий, по мнению 32% опрошенных, выделяются безразличие к общественным делам и проявление индивидуализма.</w:t>
      </w:r>
      <w:r>
        <w:rPr>
          <w:rFonts w:ascii="Times New Roman" w:hAnsi="Times New Roman" w:cs="Times New Roman"/>
          <w:sz w:val="24"/>
          <w:szCs w:val="24"/>
        </w:rPr>
        <w:t xml:space="preserve"> </w:t>
      </w:r>
    </w:p>
    <w:p w:rsidR="001A0A57" w:rsidRPr="001A0A57" w:rsidRDefault="001A0A57" w:rsidP="001A0A57">
      <w:pPr>
        <w:spacing w:after="0" w:line="240" w:lineRule="auto"/>
        <w:ind w:firstLine="708"/>
        <w:jc w:val="both"/>
        <w:rPr>
          <w:rFonts w:ascii="Times New Roman" w:hAnsi="Times New Roman" w:cs="Times New Roman"/>
          <w:sz w:val="24"/>
          <w:szCs w:val="24"/>
        </w:rPr>
      </w:pPr>
      <w:r w:rsidRPr="001A0A57">
        <w:rPr>
          <w:rFonts w:ascii="Times New Roman" w:hAnsi="Times New Roman" w:cs="Times New Roman"/>
          <w:sz w:val="24"/>
          <w:szCs w:val="24"/>
        </w:rPr>
        <w:t xml:space="preserve">Люди, чаще всего участвующие в общественной активности, примерно в равной степени распределены между открытыми и закрытыми социальными сетями. Чем старше люди, тем они более склонны к закрытым социальным сетям. Доля открытых сетей выше в сельских районах, чем в городе. Люди чаще всего участвующие в политических акциях ассоциируются с закрытыми социальными сетями. </w:t>
      </w:r>
    </w:p>
    <w:p w:rsidR="001A0A57" w:rsidRPr="001A0A57" w:rsidRDefault="001A0A57" w:rsidP="001A0A57">
      <w:pPr>
        <w:spacing w:after="0" w:line="240" w:lineRule="auto"/>
        <w:ind w:firstLine="708"/>
        <w:jc w:val="both"/>
        <w:rPr>
          <w:rFonts w:ascii="Times New Roman" w:hAnsi="Times New Roman" w:cs="Times New Roman"/>
          <w:sz w:val="24"/>
          <w:szCs w:val="24"/>
        </w:rPr>
      </w:pPr>
      <w:r w:rsidRPr="001A0A57">
        <w:rPr>
          <w:rFonts w:ascii="Times New Roman" w:hAnsi="Times New Roman" w:cs="Times New Roman"/>
          <w:sz w:val="24"/>
          <w:szCs w:val="24"/>
        </w:rPr>
        <w:t>Формы и ресурсы участия граждан в общественной жизни в значительной мере определяются социальными условиями, в рамках которых они функционируют, что подчеркивает их роль в качестве носителей социального капитала. Одной из ключевых характеристик социального контекста, в котором существуют индивиды, является уровень доверия. Средние значения обобщенного доверия в открытых сетях выше при меньшем стандартном отклонении, чем в закрытых сетях. Наиболее склонны доверять незнакомым людям самые социальные активные люди в нашей выборке, они же наибольшим образом склонны доверять институтам.</w:t>
      </w:r>
    </w:p>
    <w:p w:rsidR="001A0A57" w:rsidRDefault="001A0A57" w:rsidP="001A0A57">
      <w:pPr>
        <w:spacing w:after="0" w:line="240" w:lineRule="auto"/>
        <w:ind w:firstLine="708"/>
        <w:jc w:val="both"/>
        <w:rPr>
          <w:rFonts w:ascii="Times New Roman" w:hAnsi="Times New Roman" w:cs="Times New Roman"/>
          <w:sz w:val="24"/>
          <w:szCs w:val="24"/>
        </w:rPr>
      </w:pPr>
      <w:r w:rsidRPr="001A0A57">
        <w:rPr>
          <w:rFonts w:ascii="Times New Roman" w:hAnsi="Times New Roman" w:cs="Times New Roman"/>
          <w:sz w:val="24"/>
          <w:szCs w:val="24"/>
        </w:rPr>
        <w:lastRenderedPageBreak/>
        <w:t>Подводя итоги исследования, можно отметить, что социальный капитал, аккумулируемый через разнообразные социальные сети, играет значимую роль в формировании общественной активности. Несмотря на медленные темпы изменения обобщённого доверия, положительная динамика институционального доверия указывает на влияние структурных и социокультурных факторов. Результаты демонстрируют, что открытые</w:t>
      </w:r>
      <w:r>
        <w:rPr>
          <w:rFonts w:ascii="Times New Roman" w:hAnsi="Times New Roman" w:cs="Times New Roman"/>
          <w:sz w:val="24"/>
          <w:szCs w:val="24"/>
        </w:rPr>
        <w:t xml:space="preserve"> </w:t>
      </w:r>
      <w:r w:rsidRPr="001A0A57">
        <w:rPr>
          <w:rFonts w:ascii="Times New Roman" w:hAnsi="Times New Roman" w:cs="Times New Roman"/>
          <w:sz w:val="24"/>
          <w:szCs w:val="24"/>
        </w:rPr>
        <w:t xml:space="preserve">социальные </w:t>
      </w:r>
      <w:r>
        <w:rPr>
          <w:rFonts w:ascii="Times New Roman" w:hAnsi="Times New Roman" w:cs="Times New Roman"/>
          <w:sz w:val="24"/>
          <w:szCs w:val="24"/>
        </w:rPr>
        <w:t xml:space="preserve">сети и обобщенное доверие </w:t>
      </w:r>
      <w:r w:rsidRPr="001A0A57">
        <w:rPr>
          <w:rFonts w:ascii="Times New Roman" w:hAnsi="Times New Roman" w:cs="Times New Roman"/>
          <w:sz w:val="24"/>
          <w:szCs w:val="24"/>
        </w:rPr>
        <w:t>способствуют активному участию граждан в общественной и политической жизни, причём женщины и образованные граждане выступают в качестве наиболее активных участников.</w:t>
      </w:r>
    </w:p>
    <w:p w:rsidR="007A40BC" w:rsidRPr="007A40BC" w:rsidRDefault="001A0A57" w:rsidP="007A40B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Таким образом, с</w:t>
      </w:r>
      <w:r w:rsidRPr="001A0A57">
        <w:rPr>
          <w:rFonts w:ascii="Times New Roman" w:hAnsi="Times New Roman" w:cs="Times New Roman"/>
          <w:sz w:val="24"/>
          <w:szCs w:val="24"/>
        </w:rPr>
        <w:t>оциальный капитал, накапливаемый через сеть знакомств и групповые связи, является важным ресурсом для достижения личных и коллективных целей.</w:t>
      </w:r>
      <w:r>
        <w:rPr>
          <w:rFonts w:ascii="Times New Roman" w:hAnsi="Times New Roman" w:cs="Times New Roman"/>
          <w:sz w:val="24"/>
          <w:szCs w:val="24"/>
        </w:rPr>
        <w:t xml:space="preserve"> </w:t>
      </w:r>
      <w:r w:rsidRPr="001A0A57">
        <w:rPr>
          <w:rFonts w:ascii="Times New Roman" w:hAnsi="Times New Roman" w:cs="Times New Roman"/>
          <w:sz w:val="24"/>
          <w:szCs w:val="24"/>
        </w:rPr>
        <w:t>Разграничение обобщённого и институционального доверия позволяет точнее оценить роль социальных сетей в общественной активности.</w:t>
      </w:r>
      <w:r>
        <w:rPr>
          <w:rFonts w:ascii="Times New Roman" w:hAnsi="Times New Roman" w:cs="Times New Roman"/>
          <w:sz w:val="24"/>
          <w:szCs w:val="24"/>
        </w:rPr>
        <w:t xml:space="preserve"> </w:t>
      </w:r>
      <w:r w:rsidRPr="001A0A57">
        <w:rPr>
          <w:rFonts w:ascii="Times New Roman" w:hAnsi="Times New Roman" w:cs="Times New Roman"/>
          <w:sz w:val="24"/>
          <w:szCs w:val="24"/>
        </w:rPr>
        <w:t>Основными препятствиями для активного участия остаются безразличие к общественным делам и выраженный индивидуализм.</w:t>
      </w:r>
      <w:r w:rsidR="007A40BC">
        <w:rPr>
          <w:rFonts w:ascii="Times New Roman" w:hAnsi="Times New Roman" w:cs="Times New Roman"/>
          <w:sz w:val="24"/>
          <w:szCs w:val="24"/>
        </w:rPr>
        <w:t xml:space="preserve"> </w:t>
      </w:r>
      <w:r w:rsidR="007A40BC" w:rsidRPr="007A40BC">
        <w:rPr>
          <w:rFonts w:ascii="Times New Roman" w:hAnsi="Times New Roman" w:cs="Times New Roman"/>
          <w:bCs/>
          <w:sz w:val="24"/>
          <w:szCs w:val="24"/>
        </w:rPr>
        <w:t>Одним из ключевых механизмов формирования</w:t>
      </w:r>
      <w:r w:rsidR="007A40BC">
        <w:rPr>
          <w:rFonts w:ascii="Times New Roman" w:hAnsi="Times New Roman" w:cs="Times New Roman"/>
          <w:bCs/>
          <w:sz w:val="24"/>
          <w:szCs w:val="24"/>
        </w:rPr>
        <w:t xml:space="preserve"> общественной активности</w:t>
      </w:r>
      <w:r w:rsidR="007A40BC" w:rsidRPr="007A40BC">
        <w:rPr>
          <w:rFonts w:ascii="Times New Roman" w:hAnsi="Times New Roman" w:cs="Times New Roman"/>
          <w:bCs/>
          <w:sz w:val="24"/>
          <w:szCs w:val="24"/>
        </w:rPr>
        <w:t xml:space="preserve"> является расширение открытых социальных сетей и развитие </w:t>
      </w:r>
      <w:r w:rsidR="007A40BC">
        <w:rPr>
          <w:rFonts w:ascii="Times New Roman" w:hAnsi="Times New Roman" w:cs="Times New Roman"/>
          <w:bCs/>
          <w:sz w:val="24"/>
          <w:szCs w:val="24"/>
        </w:rPr>
        <w:t>доверия</w:t>
      </w:r>
      <w:r w:rsidR="007A40BC" w:rsidRPr="007A40BC">
        <w:rPr>
          <w:rFonts w:ascii="Times New Roman" w:hAnsi="Times New Roman" w:cs="Times New Roman"/>
          <w:bCs/>
          <w:sz w:val="24"/>
          <w:szCs w:val="24"/>
        </w:rPr>
        <w:t>.</w:t>
      </w:r>
      <w:r w:rsidR="007A40BC">
        <w:rPr>
          <w:rFonts w:ascii="Times New Roman" w:hAnsi="Times New Roman" w:cs="Times New Roman"/>
          <w:sz w:val="24"/>
          <w:szCs w:val="24"/>
        </w:rPr>
        <w:t xml:space="preserve"> </w:t>
      </w:r>
      <w:r w:rsidR="007A40BC" w:rsidRPr="007A40BC">
        <w:rPr>
          <w:rFonts w:ascii="Times New Roman" w:hAnsi="Times New Roman" w:cs="Times New Roman"/>
          <w:bCs/>
          <w:sz w:val="24"/>
          <w:szCs w:val="24"/>
        </w:rPr>
        <w:t>В то же время активное вовлечение граждан в жизнь общества способствует укреплению их социальных связей и росту уровня доверия, что, в конечном итоге, приводит к развитию социального капитала. Выявленная взаимосвязь между этими переменными полностью подтверждает выдвинутую гипотезу о том, что доверие и социальный капитал взаимно усиливают общественную активность.</w:t>
      </w:r>
    </w:p>
    <w:p w:rsidR="007A40BC" w:rsidRPr="007A40BC" w:rsidRDefault="007A40BC" w:rsidP="007A40BC">
      <w:pPr>
        <w:widowControl w:val="0"/>
        <w:spacing w:after="0" w:line="240" w:lineRule="auto"/>
        <w:ind w:firstLine="709"/>
        <w:jc w:val="both"/>
        <w:rPr>
          <w:rFonts w:ascii="Times New Roman" w:hAnsi="Times New Roman" w:cs="Times New Roman"/>
          <w:bCs/>
          <w:sz w:val="24"/>
          <w:szCs w:val="24"/>
        </w:rPr>
      </w:pPr>
    </w:p>
    <w:p w:rsidR="005772D8" w:rsidRDefault="00000000">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rsidR="007A40BC" w:rsidRDefault="007A40BC" w:rsidP="007A40BC">
      <w:pPr>
        <w:pStyle w:val="a3"/>
        <w:numPr>
          <w:ilvl w:val="0"/>
          <w:numId w:val="7"/>
        </w:numPr>
        <w:spacing w:after="0" w:line="240" w:lineRule="auto"/>
        <w:ind w:left="0" w:firstLine="709"/>
        <w:jc w:val="both"/>
        <w:rPr>
          <w:rFonts w:ascii="Times New Roman" w:hAnsi="Times New Roman" w:cs="Times New Roman"/>
          <w:sz w:val="24"/>
          <w:szCs w:val="24"/>
        </w:rPr>
      </w:pPr>
      <w:proofErr w:type="spellStart"/>
      <w:r w:rsidRPr="007A40BC">
        <w:rPr>
          <w:rFonts w:ascii="Times New Roman" w:hAnsi="Times New Roman" w:cs="Times New Roman"/>
          <w:sz w:val="24"/>
          <w:szCs w:val="24"/>
        </w:rPr>
        <w:t>Алмакаева</w:t>
      </w:r>
      <w:proofErr w:type="spellEnd"/>
      <w:r w:rsidRPr="007A40BC">
        <w:rPr>
          <w:rFonts w:ascii="Times New Roman" w:hAnsi="Times New Roman" w:cs="Times New Roman"/>
          <w:sz w:val="24"/>
          <w:szCs w:val="24"/>
        </w:rPr>
        <w:t xml:space="preserve"> А. М., Волченко О. В. Динамика социального капитала в России // Мониторинг общественного мнения: Экономические и социальные перемены</w:t>
      </w:r>
      <w:r w:rsidRPr="007A40BC">
        <w:rPr>
          <w:rFonts w:ascii="Times New Roman" w:hAnsi="Times New Roman" w:cs="Times New Roman"/>
          <w:sz w:val="24"/>
          <w:szCs w:val="24"/>
        </w:rPr>
        <w:t>.</w:t>
      </w:r>
      <w:r w:rsidRPr="007A40BC">
        <w:rPr>
          <w:rFonts w:ascii="Times New Roman" w:hAnsi="Times New Roman" w:cs="Times New Roman"/>
          <w:sz w:val="24"/>
          <w:szCs w:val="24"/>
        </w:rPr>
        <w:t xml:space="preserve"> 2018. </w:t>
      </w:r>
      <w:r>
        <w:rPr>
          <w:rFonts w:ascii="Times New Roman" w:hAnsi="Times New Roman" w:cs="Times New Roman"/>
          <w:sz w:val="24"/>
          <w:szCs w:val="24"/>
        </w:rPr>
        <w:t>№</w:t>
      </w:r>
      <w:r w:rsidRPr="007A40BC">
        <w:rPr>
          <w:rFonts w:ascii="Times New Roman" w:hAnsi="Times New Roman" w:cs="Times New Roman"/>
          <w:sz w:val="24"/>
          <w:szCs w:val="24"/>
        </w:rPr>
        <w:t xml:space="preserve"> 4 (146).  С. 273‒292. </w:t>
      </w:r>
    </w:p>
    <w:p w:rsidR="007A40BC" w:rsidRDefault="007A40BC" w:rsidP="001508E8">
      <w:pPr>
        <w:pStyle w:val="a3"/>
        <w:numPr>
          <w:ilvl w:val="0"/>
          <w:numId w:val="7"/>
        </w:numPr>
        <w:spacing w:after="0" w:line="240" w:lineRule="auto"/>
        <w:ind w:left="0" w:firstLine="709"/>
        <w:jc w:val="both"/>
        <w:rPr>
          <w:rFonts w:ascii="Times New Roman" w:hAnsi="Times New Roman" w:cs="Times New Roman"/>
          <w:sz w:val="24"/>
          <w:szCs w:val="24"/>
        </w:rPr>
      </w:pPr>
      <w:proofErr w:type="spellStart"/>
      <w:r w:rsidRPr="007A40BC">
        <w:rPr>
          <w:rFonts w:ascii="Times New Roman" w:hAnsi="Times New Roman" w:cs="Times New Roman"/>
          <w:sz w:val="24"/>
          <w:szCs w:val="24"/>
        </w:rPr>
        <w:t>Гужавина</w:t>
      </w:r>
      <w:proofErr w:type="spellEnd"/>
      <w:r w:rsidRPr="007A40BC">
        <w:rPr>
          <w:rFonts w:ascii="Times New Roman" w:hAnsi="Times New Roman" w:cs="Times New Roman"/>
          <w:sz w:val="24"/>
          <w:szCs w:val="24"/>
        </w:rPr>
        <w:t xml:space="preserve">, Т. А. Гражданское участие как </w:t>
      </w:r>
      <w:proofErr w:type="spellStart"/>
      <w:r w:rsidRPr="007A40BC">
        <w:rPr>
          <w:rFonts w:ascii="Times New Roman" w:hAnsi="Times New Roman" w:cs="Times New Roman"/>
          <w:sz w:val="24"/>
          <w:szCs w:val="24"/>
        </w:rPr>
        <w:t>экстерналия</w:t>
      </w:r>
      <w:proofErr w:type="spellEnd"/>
      <w:r w:rsidRPr="007A40BC">
        <w:rPr>
          <w:rFonts w:ascii="Times New Roman" w:hAnsi="Times New Roman" w:cs="Times New Roman"/>
          <w:sz w:val="24"/>
          <w:szCs w:val="24"/>
        </w:rPr>
        <w:t xml:space="preserve"> социального </w:t>
      </w:r>
      <w:r w:rsidRPr="007A40BC">
        <w:rPr>
          <w:rFonts w:ascii="Times New Roman" w:hAnsi="Times New Roman" w:cs="Times New Roman"/>
          <w:sz w:val="24"/>
          <w:szCs w:val="24"/>
        </w:rPr>
        <w:t xml:space="preserve">капитала </w:t>
      </w:r>
      <w:r w:rsidRPr="007A40BC">
        <w:rPr>
          <w:rFonts w:ascii="Times New Roman" w:hAnsi="Times New Roman" w:cs="Times New Roman"/>
          <w:sz w:val="24"/>
          <w:szCs w:val="24"/>
        </w:rPr>
        <w:t xml:space="preserve">// Социологическая наука и социальная практика.  2019. –Т. 7, № 1(25).  С. 37-54. – </w:t>
      </w:r>
      <w:r w:rsidRPr="007A40BC">
        <w:rPr>
          <w:rFonts w:ascii="Times New Roman" w:hAnsi="Times New Roman" w:cs="Times New Roman"/>
          <w:sz w:val="24"/>
          <w:szCs w:val="24"/>
          <w:lang w:val="en-US"/>
        </w:rPr>
        <w:t>DOI</w:t>
      </w:r>
      <w:r w:rsidRPr="007A40BC">
        <w:rPr>
          <w:rFonts w:ascii="Times New Roman" w:hAnsi="Times New Roman" w:cs="Times New Roman"/>
          <w:sz w:val="24"/>
          <w:szCs w:val="24"/>
        </w:rPr>
        <w:t xml:space="preserve"> 10.19181/</w:t>
      </w:r>
      <w:proofErr w:type="spellStart"/>
      <w:r w:rsidRPr="007A40BC">
        <w:rPr>
          <w:rFonts w:ascii="Times New Roman" w:hAnsi="Times New Roman" w:cs="Times New Roman"/>
          <w:sz w:val="24"/>
          <w:szCs w:val="24"/>
          <w:lang w:val="en-US"/>
        </w:rPr>
        <w:t>snsp</w:t>
      </w:r>
      <w:proofErr w:type="spellEnd"/>
      <w:r w:rsidRPr="007A40BC">
        <w:rPr>
          <w:rFonts w:ascii="Times New Roman" w:hAnsi="Times New Roman" w:cs="Times New Roman"/>
          <w:sz w:val="24"/>
          <w:szCs w:val="24"/>
        </w:rPr>
        <w:t xml:space="preserve">.2019.7.1.6268. </w:t>
      </w:r>
    </w:p>
    <w:p w:rsidR="007A40BC" w:rsidRDefault="007A40BC" w:rsidP="001508E8">
      <w:pPr>
        <w:pStyle w:val="a3"/>
        <w:numPr>
          <w:ilvl w:val="0"/>
          <w:numId w:val="7"/>
        </w:numPr>
        <w:spacing w:after="0" w:line="240" w:lineRule="auto"/>
        <w:ind w:left="0" w:firstLine="709"/>
        <w:jc w:val="both"/>
        <w:rPr>
          <w:rFonts w:ascii="Times New Roman" w:hAnsi="Times New Roman" w:cs="Times New Roman"/>
          <w:sz w:val="24"/>
          <w:szCs w:val="24"/>
        </w:rPr>
      </w:pPr>
      <w:r w:rsidRPr="007A40BC">
        <w:rPr>
          <w:rFonts w:ascii="Times New Roman" w:hAnsi="Times New Roman" w:cs="Times New Roman"/>
          <w:sz w:val="24"/>
          <w:szCs w:val="24"/>
        </w:rPr>
        <w:t>Новая индустриализация: возможности, ограничения социокультурного пространства. Монография / Научные редакторы: В. А. Давыденко, Г.Ф. Ромашкина. Тюмень: Тюменской областной Дума. 2018.</w:t>
      </w:r>
      <w:r>
        <w:rPr>
          <w:rFonts w:ascii="Times New Roman" w:hAnsi="Times New Roman" w:cs="Times New Roman"/>
          <w:sz w:val="24"/>
          <w:szCs w:val="24"/>
          <w:lang w:val="en-US"/>
        </w:rPr>
        <w:t xml:space="preserve"> 226 c</w:t>
      </w:r>
      <w:r>
        <w:rPr>
          <w:rFonts w:ascii="Times New Roman" w:hAnsi="Times New Roman" w:cs="Times New Roman"/>
          <w:sz w:val="24"/>
          <w:szCs w:val="24"/>
        </w:rPr>
        <w:t>.</w:t>
      </w:r>
    </w:p>
    <w:p w:rsidR="007A40BC" w:rsidRPr="00910E9D" w:rsidRDefault="007A40BC" w:rsidP="001508E8">
      <w:pPr>
        <w:pStyle w:val="a3"/>
        <w:numPr>
          <w:ilvl w:val="0"/>
          <w:numId w:val="7"/>
        </w:numPr>
        <w:spacing w:after="0" w:line="240" w:lineRule="auto"/>
        <w:ind w:left="0" w:firstLine="709"/>
        <w:jc w:val="both"/>
        <w:rPr>
          <w:rFonts w:ascii="Times New Roman" w:hAnsi="Times New Roman" w:cs="Times New Roman"/>
          <w:sz w:val="24"/>
          <w:szCs w:val="24"/>
          <w:lang w:val="en-US"/>
        </w:rPr>
      </w:pPr>
      <w:r w:rsidRPr="007A40BC">
        <w:rPr>
          <w:rFonts w:ascii="Times New Roman" w:hAnsi="Times New Roman" w:cs="Times New Roman"/>
          <w:sz w:val="24"/>
          <w:szCs w:val="24"/>
          <w:lang w:val="en-US"/>
        </w:rPr>
        <w:t>Coleman J. Social capital in the creation of human capital. The American Journal of Sociology. Supplement: Organizations and Institutions: Sociological and Economic Approaches to the Analysis of Social Structure</w:t>
      </w:r>
      <w:r w:rsidR="00910E9D" w:rsidRPr="00910E9D">
        <w:rPr>
          <w:rFonts w:ascii="Times New Roman" w:hAnsi="Times New Roman" w:cs="Times New Roman"/>
          <w:sz w:val="24"/>
          <w:szCs w:val="24"/>
          <w:lang w:val="en-US"/>
        </w:rPr>
        <w:t xml:space="preserve">, </w:t>
      </w:r>
      <w:r w:rsidR="00910E9D" w:rsidRPr="00910E9D">
        <w:rPr>
          <w:rFonts w:ascii="Times New Roman" w:hAnsi="Times New Roman" w:cs="Times New Roman"/>
          <w:sz w:val="24"/>
          <w:szCs w:val="24"/>
          <w:lang w:val="en-US"/>
        </w:rPr>
        <w:t>1988</w:t>
      </w:r>
      <w:r w:rsidR="00910E9D">
        <w:rPr>
          <w:rFonts w:ascii="Times New Roman" w:hAnsi="Times New Roman" w:cs="Times New Roman"/>
          <w:sz w:val="24"/>
          <w:szCs w:val="24"/>
          <w:lang w:val="en-US"/>
        </w:rPr>
        <w:t>, v</w:t>
      </w:r>
      <w:r w:rsidRPr="00910E9D">
        <w:rPr>
          <w:rFonts w:ascii="Times New Roman" w:hAnsi="Times New Roman" w:cs="Times New Roman"/>
          <w:sz w:val="24"/>
          <w:szCs w:val="24"/>
          <w:lang w:val="en-US"/>
        </w:rPr>
        <w:t>ol. 94</w:t>
      </w:r>
      <w:r w:rsidR="00910E9D">
        <w:rPr>
          <w:rFonts w:ascii="Times New Roman" w:hAnsi="Times New Roman" w:cs="Times New Roman"/>
          <w:sz w:val="24"/>
          <w:szCs w:val="24"/>
          <w:lang w:val="en-US"/>
        </w:rPr>
        <w:t>, pp.</w:t>
      </w:r>
      <w:r w:rsidRPr="00910E9D">
        <w:rPr>
          <w:rFonts w:ascii="Times New Roman" w:hAnsi="Times New Roman" w:cs="Times New Roman"/>
          <w:sz w:val="24"/>
          <w:szCs w:val="24"/>
          <w:lang w:val="en-US"/>
        </w:rPr>
        <w:t xml:space="preserve"> 95–120.</w:t>
      </w:r>
    </w:p>
    <w:p w:rsidR="007A40BC" w:rsidRPr="00910E9D" w:rsidRDefault="007A40BC" w:rsidP="001508E8">
      <w:pPr>
        <w:pStyle w:val="a3"/>
        <w:numPr>
          <w:ilvl w:val="0"/>
          <w:numId w:val="7"/>
        </w:numPr>
        <w:spacing w:after="0" w:line="240" w:lineRule="auto"/>
        <w:ind w:left="0" w:firstLine="709"/>
        <w:jc w:val="both"/>
        <w:rPr>
          <w:rFonts w:ascii="Times New Roman" w:hAnsi="Times New Roman" w:cs="Times New Roman"/>
          <w:sz w:val="24"/>
          <w:szCs w:val="24"/>
          <w:lang w:val="en-US"/>
        </w:rPr>
      </w:pPr>
      <w:r w:rsidRPr="007A40BC">
        <w:rPr>
          <w:rFonts w:ascii="Times New Roman" w:hAnsi="Times New Roman" w:cs="Times New Roman"/>
          <w:sz w:val="24"/>
          <w:szCs w:val="24"/>
          <w:lang w:val="en-US"/>
        </w:rPr>
        <w:t xml:space="preserve">Fukuyama F. Social capital, civil society, and development. </w:t>
      </w:r>
      <w:r w:rsidRPr="00910E9D">
        <w:rPr>
          <w:rFonts w:ascii="Times New Roman" w:hAnsi="Times New Roman" w:cs="Times New Roman"/>
          <w:sz w:val="24"/>
          <w:szCs w:val="24"/>
          <w:lang w:val="en-US"/>
        </w:rPr>
        <w:t>Third World Quarterly</w:t>
      </w:r>
      <w:r w:rsidR="00910E9D">
        <w:rPr>
          <w:rFonts w:ascii="Times New Roman" w:hAnsi="Times New Roman" w:cs="Times New Roman"/>
          <w:sz w:val="24"/>
          <w:szCs w:val="24"/>
          <w:lang w:val="en-US"/>
        </w:rPr>
        <w:t xml:space="preserve">, </w:t>
      </w:r>
      <w:r w:rsidR="00910E9D" w:rsidRPr="00910E9D">
        <w:rPr>
          <w:rFonts w:ascii="Times New Roman" w:hAnsi="Times New Roman" w:cs="Times New Roman"/>
          <w:sz w:val="24"/>
          <w:szCs w:val="24"/>
          <w:lang w:val="en-US"/>
        </w:rPr>
        <w:t>2001</w:t>
      </w:r>
      <w:r w:rsidR="00910E9D">
        <w:rPr>
          <w:rFonts w:ascii="Times New Roman" w:hAnsi="Times New Roman" w:cs="Times New Roman"/>
          <w:sz w:val="24"/>
          <w:szCs w:val="24"/>
          <w:lang w:val="en-US"/>
        </w:rPr>
        <w:t>,</w:t>
      </w:r>
      <w:r w:rsidR="00910E9D" w:rsidRPr="00910E9D">
        <w:rPr>
          <w:rFonts w:ascii="Times New Roman" w:hAnsi="Times New Roman" w:cs="Times New Roman"/>
          <w:sz w:val="24"/>
          <w:szCs w:val="24"/>
          <w:lang w:val="en-US"/>
        </w:rPr>
        <w:t xml:space="preserve"> </w:t>
      </w:r>
      <w:r w:rsidR="00910E9D">
        <w:rPr>
          <w:rFonts w:ascii="Times New Roman" w:hAnsi="Times New Roman" w:cs="Times New Roman"/>
          <w:sz w:val="24"/>
          <w:szCs w:val="24"/>
          <w:lang w:val="en-US"/>
        </w:rPr>
        <w:t>v</w:t>
      </w:r>
      <w:r w:rsidRPr="00910E9D">
        <w:rPr>
          <w:rFonts w:ascii="Times New Roman" w:hAnsi="Times New Roman" w:cs="Times New Roman"/>
          <w:sz w:val="24"/>
          <w:szCs w:val="24"/>
          <w:lang w:val="en-US"/>
        </w:rPr>
        <w:t>ol. 22. No. 1</w:t>
      </w:r>
      <w:r w:rsidR="00910E9D">
        <w:rPr>
          <w:rFonts w:ascii="Times New Roman" w:hAnsi="Times New Roman" w:cs="Times New Roman"/>
          <w:sz w:val="24"/>
          <w:szCs w:val="24"/>
          <w:lang w:val="en-US"/>
        </w:rPr>
        <w:t xml:space="preserve">, pp. </w:t>
      </w:r>
      <w:r w:rsidRPr="00910E9D">
        <w:rPr>
          <w:rFonts w:ascii="Times New Roman" w:hAnsi="Times New Roman" w:cs="Times New Roman"/>
          <w:sz w:val="24"/>
          <w:szCs w:val="24"/>
          <w:lang w:val="en-US"/>
        </w:rPr>
        <w:t>7-20. DOI: 10.1080/713701144.</w:t>
      </w:r>
    </w:p>
    <w:p w:rsidR="007A40BC" w:rsidRPr="007A40BC" w:rsidRDefault="007A40BC" w:rsidP="001508E8">
      <w:pPr>
        <w:pStyle w:val="a3"/>
        <w:numPr>
          <w:ilvl w:val="0"/>
          <w:numId w:val="7"/>
        </w:numPr>
        <w:spacing w:after="0" w:line="240" w:lineRule="auto"/>
        <w:ind w:left="0" w:firstLine="709"/>
        <w:jc w:val="both"/>
        <w:rPr>
          <w:rFonts w:ascii="Times New Roman" w:hAnsi="Times New Roman" w:cs="Times New Roman"/>
          <w:sz w:val="24"/>
          <w:szCs w:val="24"/>
          <w:lang w:val="en-US"/>
        </w:rPr>
      </w:pPr>
      <w:proofErr w:type="spellStart"/>
      <w:r w:rsidRPr="007A40BC">
        <w:rPr>
          <w:rFonts w:ascii="Times New Roman" w:hAnsi="Times New Roman" w:cs="Times New Roman"/>
          <w:sz w:val="24"/>
          <w:szCs w:val="24"/>
          <w:lang w:val="en-US"/>
        </w:rPr>
        <w:t>Uslaner</w:t>
      </w:r>
      <w:proofErr w:type="spellEnd"/>
      <w:r w:rsidRPr="007A40BC">
        <w:rPr>
          <w:rFonts w:ascii="Times New Roman" w:hAnsi="Times New Roman" w:cs="Times New Roman"/>
          <w:sz w:val="24"/>
          <w:szCs w:val="24"/>
          <w:lang w:val="en-US"/>
        </w:rPr>
        <w:t xml:space="preserve"> E. M. Trust as an Alternative to Risk. </w:t>
      </w:r>
      <w:r w:rsidRPr="00910E9D">
        <w:rPr>
          <w:rFonts w:ascii="Times New Roman" w:hAnsi="Times New Roman" w:cs="Times New Roman"/>
          <w:sz w:val="24"/>
          <w:szCs w:val="24"/>
          <w:lang w:val="en-US"/>
        </w:rPr>
        <w:t>Public Choice</w:t>
      </w:r>
      <w:r w:rsidR="00910E9D">
        <w:rPr>
          <w:rFonts w:ascii="Times New Roman" w:hAnsi="Times New Roman" w:cs="Times New Roman"/>
          <w:sz w:val="24"/>
          <w:szCs w:val="24"/>
          <w:lang w:val="en-US"/>
        </w:rPr>
        <w:t xml:space="preserve">, </w:t>
      </w:r>
      <w:r w:rsidR="00910E9D" w:rsidRPr="00910E9D">
        <w:rPr>
          <w:rFonts w:ascii="Times New Roman" w:hAnsi="Times New Roman" w:cs="Times New Roman"/>
          <w:sz w:val="24"/>
          <w:szCs w:val="24"/>
          <w:lang w:val="en-US"/>
        </w:rPr>
        <w:t>2013</w:t>
      </w:r>
      <w:r w:rsidR="00910E9D">
        <w:rPr>
          <w:rFonts w:ascii="Times New Roman" w:hAnsi="Times New Roman" w:cs="Times New Roman"/>
          <w:sz w:val="24"/>
          <w:szCs w:val="24"/>
          <w:lang w:val="en-US"/>
        </w:rPr>
        <w:t>,</w:t>
      </w:r>
      <w:r w:rsidR="00910E9D" w:rsidRPr="00910E9D">
        <w:rPr>
          <w:rFonts w:ascii="Times New Roman" w:hAnsi="Times New Roman" w:cs="Times New Roman"/>
          <w:sz w:val="24"/>
          <w:szCs w:val="24"/>
          <w:lang w:val="en-US"/>
        </w:rPr>
        <w:t xml:space="preserve"> </w:t>
      </w:r>
      <w:r w:rsidR="00910E9D">
        <w:rPr>
          <w:rFonts w:ascii="Times New Roman" w:hAnsi="Times New Roman" w:cs="Times New Roman"/>
          <w:sz w:val="24"/>
          <w:szCs w:val="24"/>
          <w:lang w:val="en-US"/>
        </w:rPr>
        <w:t>v</w:t>
      </w:r>
      <w:r w:rsidRPr="00910E9D">
        <w:rPr>
          <w:rFonts w:ascii="Times New Roman" w:hAnsi="Times New Roman" w:cs="Times New Roman"/>
          <w:sz w:val="24"/>
          <w:szCs w:val="24"/>
          <w:lang w:val="en-US"/>
        </w:rPr>
        <w:t>ol. 157</w:t>
      </w:r>
      <w:r w:rsidR="00910E9D">
        <w:rPr>
          <w:rFonts w:ascii="Times New Roman" w:hAnsi="Times New Roman" w:cs="Times New Roman"/>
          <w:sz w:val="24"/>
          <w:szCs w:val="24"/>
          <w:lang w:val="en-US"/>
        </w:rPr>
        <w:t xml:space="preserve">, </w:t>
      </w:r>
      <w:r w:rsidRPr="00910E9D">
        <w:rPr>
          <w:rFonts w:ascii="Times New Roman" w:hAnsi="Times New Roman" w:cs="Times New Roman"/>
          <w:sz w:val="24"/>
          <w:szCs w:val="24"/>
          <w:lang w:val="en-US"/>
        </w:rPr>
        <w:t>No. 3</w:t>
      </w:r>
      <w:r w:rsidR="00910E9D">
        <w:rPr>
          <w:rFonts w:ascii="Times New Roman" w:hAnsi="Times New Roman" w:cs="Times New Roman"/>
          <w:sz w:val="24"/>
          <w:szCs w:val="24"/>
          <w:lang w:val="en-US"/>
        </w:rPr>
        <w:t>, pp.</w:t>
      </w:r>
      <w:r w:rsidRPr="00910E9D">
        <w:rPr>
          <w:rFonts w:ascii="Times New Roman" w:hAnsi="Times New Roman" w:cs="Times New Roman"/>
          <w:sz w:val="24"/>
          <w:szCs w:val="24"/>
          <w:lang w:val="en-US"/>
        </w:rPr>
        <w:t xml:space="preserve"> 629-639.</w:t>
      </w:r>
    </w:p>
    <w:p w:rsidR="005772D8" w:rsidRDefault="005772D8" w:rsidP="007A40BC">
      <w:pPr>
        <w:spacing w:after="0" w:line="240" w:lineRule="auto"/>
        <w:ind w:firstLine="709"/>
        <w:jc w:val="both"/>
        <w:rPr>
          <w:rFonts w:ascii="Times New Roman" w:hAnsi="Times New Roman" w:cs="Times New Roman"/>
          <w:sz w:val="24"/>
          <w:szCs w:val="24"/>
          <w:lang w:val="en-US"/>
        </w:rPr>
      </w:pPr>
    </w:p>
    <w:p w:rsidR="007A40BC" w:rsidRPr="007A40BC" w:rsidRDefault="007A40BC" w:rsidP="007A40BC">
      <w:pPr>
        <w:spacing w:after="0" w:line="240" w:lineRule="auto"/>
        <w:ind w:firstLine="709"/>
        <w:jc w:val="both"/>
        <w:rPr>
          <w:rFonts w:ascii="Times New Roman" w:hAnsi="Times New Roman" w:cs="Times New Roman"/>
          <w:sz w:val="24"/>
          <w:szCs w:val="24"/>
          <w:lang w:val="en-US"/>
        </w:rPr>
      </w:pPr>
    </w:p>
    <w:p w:rsidR="005772D8" w:rsidRDefault="00000000">
      <w:pPr>
        <w:spacing w:after="0" w:line="240" w:lineRule="auto"/>
        <w:jc w:val="center"/>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Информация об авторе</w:t>
      </w:r>
    </w:p>
    <w:p w:rsidR="008D166E" w:rsidRPr="008D166E" w:rsidRDefault="007A40BC" w:rsidP="008D166E">
      <w:pPr>
        <w:widowControl w:val="0"/>
        <w:shd w:val="clear" w:color="auto" w:fill="FFFFFF"/>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Агафонова Дарья Юрьевна</w:t>
      </w:r>
      <w:r w:rsidR="00000000">
        <w:rPr>
          <w:rFonts w:ascii="Times New Roman" w:hAnsi="Times New Roman" w:cs="Times New Roman"/>
          <w:b/>
          <w:bCs/>
          <w:sz w:val="24"/>
          <w:szCs w:val="24"/>
        </w:rPr>
        <w:t xml:space="preserve"> (Россия, </w:t>
      </w:r>
      <w:r w:rsidR="008D166E">
        <w:rPr>
          <w:rFonts w:ascii="Times New Roman" w:hAnsi="Times New Roman" w:cs="Times New Roman"/>
          <w:b/>
          <w:bCs/>
          <w:sz w:val="24"/>
          <w:szCs w:val="24"/>
        </w:rPr>
        <w:t>Тюмень</w:t>
      </w:r>
      <w:r w:rsidR="00000000">
        <w:rPr>
          <w:rFonts w:ascii="Times New Roman" w:hAnsi="Times New Roman" w:cs="Times New Roman"/>
          <w:b/>
          <w:bCs/>
          <w:sz w:val="24"/>
          <w:szCs w:val="24"/>
        </w:rPr>
        <w:t>)</w:t>
      </w:r>
      <w:r w:rsidR="00000000">
        <w:rPr>
          <w:rFonts w:ascii="Times New Roman" w:hAnsi="Times New Roman" w:cs="Times New Roman"/>
          <w:sz w:val="24"/>
          <w:szCs w:val="24"/>
        </w:rPr>
        <w:t xml:space="preserve"> – </w:t>
      </w:r>
      <w:r w:rsidR="008D166E">
        <w:rPr>
          <w:rFonts w:ascii="Times New Roman" w:hAnsi="Times New Roman" w:cs="Times New Roman"/>
          <w:sz w:val="24"/>
          <w:szCs w:val="24"/>
        </w:rPr>
        <w:t xml:space="preserve">ассистент, аспирант кафедры общей и экономической социологии, </w:t>
      </w:r>
      <w:r w:rsidR="008D166E" w:rsidRPr="008D166E">
        <w:rPr>
          <w:rFonts w:ascii="Times New Roman" w:hAnsi="Times New Roman" w:cs="Times New Roman"/>
          <w:sz w:val="24"/>
          <w:szCs w:val="24"/>
        </w:rPr>
        <w:t>ФГАОУ ВО «Тюменский государственный университет»</w:t>
      </w:r>
      <w:r w:rsidR="008D166E">
        <w:rPr>
          <w:rFonts w:ascii="Times New Roman" w:hAnsi="Times New Roman" w:cs="Times New Roman"/>
          <w:sz w:val="24"/>
          <w:szCs w:val="24"/>
        </w:rPr>
        <w:t xml:space="preserve"> (</w:t>
      </w:r>
      <w:r w:rsidR="008D166E" w:rsidRPr="008D166E">
        <w:rPr>
          <w:rFonts w:ascii="Times New Roman" w:hAnsi="Times New Roman" w:cs="Times New Roman"/>
          <w:sz w:val="24"/>
          <w:szCs w:val="24"/>
        </w:rPr>
        <w:t xml:space="preserve">625003, г. Тюмень ул. Володарского, 6, </w:t>
      </w:r>
      <w:proofErr w:type="spellStart"/>
      <w:r w:rsidR="008D166E" w:rsidRPr="008D166E">
        <w:rPr>
          <w:rFonts w:ascii="Times New Roman" w:hAnsi="Times New Roman" w:cs="Times New Roman"/>
          <w:sz w:val="24"/>
          <w:szCs w:val="24"/>
        </w:rPr>
        <w:t>e-mail</w:t>
      </w:r>
      <w:proofErr w:type="spellEnd"/>
      <w:r w:rsidR="008D166E" w:rsidRPr="008D166E">
        <w:rPr>
          <w:rFonts w:ascii="Times New Roman" w:hAnsi="Times New Roman" w:cs="Times New Roman"/>
          <w:sz w:val="24"/>
          <w:szCs w:val="24"/>
        </w:rPr>
        <w:t>: d.y.agafonova@utmn.ru</w:t>
      </w:r>
      <w:r w:rsidR="008D166E">
        <w:rPr>
          <w:rFonts w:ascii="Times New Roman" w:hAnsi="Times New Roman" w:cs="Times New Roman"/>
          <w:sz w:val="24"/>
          <w:szCs w:val="24"/>
        </w:rPr>
        <w:t>)</w:t>
      </w:r>
    </w:p>
    <w:p w:rsidR="005772D8" w:rsidRDefault="005772D8">
      <w:pPr>
        <w:spacing w:after="0" w:line="240" w:lineRule="auto"/>
        <w:ind w:firstLine="709"/>
        <w:jc w:val="both"/>
        <w:rPr>
          <w:rFonts w:ascii="Times New Roman" w:hAnsi="Times New Roman" w:cs="Times New Roman"/>
          <w:sz w:val="24"/>
          <w:szCs w:val="24"/>
        </w:rPr>
      </w:pPr>
    </w:p>
    <w:p w:rsidR="00A07826" w:rsidRPr="00A07826" w:rsidRDefault="00A07826" w:rsidP="00A07826">
      <w:pPr>
        <w:spacing w:after="0" w:line="240" w:lineRule="auto"/>
        <w:ind w:firstLine="709"/>
        <w:jc w:val="right"/>
        <w:rPr>
          <w:rFonts w:ascii="Times New Roman" w:hAnsi="Times New Roman" w:cs="Times New Roman"/>
          <w:b/>
          <w:sz w:val="24"/>
          <w:szCs w:val="24"/>
          <w:shd w:val="clear" w:color="auto" w:fill="FFFFFF"/>
          <w:lang w:val="en-US"/>
        </w:rPr>
      </w:pPr>
      <w:r w:rsidRPr="00A07826">
        <w:rPr>
          <w:rFonts w:ascii="Times New Roman" w:hAnsi="Times New Roman" w:cs="Times New Roman"/>
          <w:b/>
          <w:sz w:val="24"/>
          <w:szCs w:val="24"/>
          <w:shd w:val="clear" w:color="auto" w:fill="FFFFFF"/>
          <w:lang w:val="en-US"/>
        </w:rPr>
        <w:t xml:space="preserve">Agafonova </w:t>
      </w:r>
      <w:proofErr w:type="spellStart"/>
      <w:r w:rsidRPr="00A07826">
        <w:rPr>
          <w:rFonts w:ascii="Times New Roman" w:hAnsi="Times New Roman" w:cs="Times New Roman"/>
          <w:b/>
          <w:sz w:val="24"/>
          <w:szCs w:val="24"/>
          <w:shd w:val="clear" w:color="auto" w:fill="FFFFFF"/>
          <w:lang w:val="en-US"/>
        </w:rPr>
        <w:t>D.Yu</w:t>
      </w:r>
      <w:proofErr w:type="spellEnd"/>
      <w:r w:rsidRPr="00A07826">
        <w:rPr>
          <w:rFonts w:ascii="Times New Roman" w:hAnsi="Times New Roman" w:cs="Times New Roman"/>
          <w:b/>
          <w:sz w:val="24"/>
          <w:szCs w:val="24"/>
          <w:shd w:val="clear" w:color="auto" w:fill="FFFFFF"/>
          <w:lang w:val="en-US"/>
        </w:rPr>
        <w:t>.</w:t>
      </w:r>
    </w:p>
    <w:p w:rsidR="005772D8" w:rsidRPr="00227E98" w:rsidRDefault="00A07826">
      <w:pPr>
        <w:spacing w:after="0" w:line="240" w:lineRule="auto"/>
        <w:ind w:firstLine="709"/>
        <w:jc w:val="center"/>
        <w:rPr>
          <w:rFonts w:ascii="Times New Roman" w:hAnsi="Times New Roman" w:cs="Times New Roman"/>
          <w:b/>
          <w:bCs/>
          <w:sz w:val="24"/>
          <w:szCs w:val="24"/>
          <w:lang w:val="en-US"/>
        </w:rPr>
      </w:pPr>
      <w:r w:rsidRPr="00A07826">
        <w:rPr>
          <w:rFonts w:ascii="Times New Roman" w:hAnsi="Times New Roman" w:cs="Times New Roman"/>
          <w:b/>
          <w:bCs/>
          <w:sz w:val="24"/>
          <w:szCs w:val="24"/>
          <w:lang w:val="en-US"/>
        </w:rPr>
        <w:t>SOCIAL CAPITAL OF PUBLIC PARTICIPATION: THE CASE OF TYUMEN REGION</w:t>
      </w:r>
    </w:p>
    <w:p w:rsidR="00A07826" w:rsidRPr="00227E98" w:rsidRDefault="00A07826">
      <w:pPr>
        <w:spacing w:after="0" w:line="240" w:lineRule="auto"/>
        <w:ind w:firstLine="709"/>
        <w:jc w:val="center"/>
        <w:rPr>
          <w:rFonts w:ascii="Times New Roman" w:hAnsi="Times New Roman" w:cs="Times New Roman"/>
          <w:b/>
          <w:bCs/>
          <w:sz w:val="24"/>
          <w:szCs w:val="24"/>
          <w:lang w:val="en-US"/>
        </w:rPr>
      </w:pPr>
    </w:p>
    <w:p w:rsidR="00A07826" w:rsidRDefault="00000000">
      <w:pPr>
        <w:spacing w:after="0" w:line="240" w:lineRule="auto"/>
        <w:ind w:firstLine="709"/>
        <w:jc w:val="both"/>
        <w:rPr>
          <w:rFonts w:ascii="Times New Roman" w:hAnsi="Times New Roman" w:cs="Times New Roman"/>
          <w:sz w:val="24"/>
          <w:szCs w:val="24"/>
        </w:rPr>
      </w:pPr>
      <w:r>
        <w:rPr>
          <w:rFonts w:ascii="Times New Roman" w:hAnsi="Times New Roman" w:cs="Times New Roman"/>
          <w:b/>
          <w:sz w:val="24"/>
          <w:szCs w:val="24"/>
          <w:lang w:val="en-US"/>
        </w:rPr>
        <w:t xml:space="preserve">Abstract. </w:t>
      </w:r>
      <w:r w:rsidR="00A07826" w:rsidRPr="00A07826">
        <w:rPr>
          <w:rFonts w:ascii="Times New Roman" w:hAnsi="Times New Roman" w:cs="Times New Roman"/>
          <w:sz w:val="24"/>
          <w:szCs w:val="24"/>
          <w:lang w:val="en-US"/>
        </w:rPr>
        <w:t>This study analyzes the relationship between the components of social capital, namely generalized and institutional trust, closed and open social networks, and forms of public activity in the Tyumen region. The main obstacles and prospects for the development of public participation are identified.</w:t>
      </w:r>
    </w:p>
    <w:p w:rsidR="005772D8" w:rsidRPr="00227E98" w:rsidRDefault="00000000">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b/>
          <w:sz w:val="24"/>
          <w:szCs w:val="24"/>
          <w:lang w:val="en-US"/>
        </w:rPr>
        <w:lastRenderedPageBreak/>
        <w:t>Keywords:</w:t>
      </w:r>
      <w:r>
        <w:rPr>
          <w:rFonts w:ascii="Times New Roman" w:hAnsi="Times New Roman" w:cs="Times New Roman"/>
          <w:sz w:val="24"/>
          <w:szCs w:val="24"/>
          <w:lang w:val="en-US"/>
        </w:rPr>
        <w:t xml:space="preserve"> </w:t>
      </w:r>
      <w:r w:rsidR="00A07826" w:rsidRPr="00A07826">
        <w:rPr>
          <w:rFonts w:ascii="Times New Roman" w:hAnsi="Times New Roman" w:cs="Times New Roman"/>
          <w:sz w:val="24"/>
          <w:szCs w:val="24"/>
          <w:lang w:val="en-US"/>
        </w:rPr>
        <w:t xml:space="preserve">social capital, public participation, trust, </w:t>
      </w:r>
      <w:r w:rsidR="00227E98" w:rsidRPr="00227E98">
        <w:rPr>
          <w:rFonts w:ascii="Times New Roman" w:hAnsi="Times New Roman" w:cs="Times New Roman"/>
          <w:sz w:val="24"/>
          <w:szCs w:val="24"/>
          <w:lang w:val="en-US"/>
        </w:rPr>
        <w:t>volunteering</w:t>
      </w:r>
      <w:r w:rsidR="00227E98" w:rsidRPr="00227E98">
        <w:rPr>
          <w:rFonts w:ascii="Times New Roman" w:hAnsi="Times New Roman" w:cs="Times New Roman"/>
          <w:sz w:val="24"/>
          <w:szCs w:val="24"/>
          <w:lang w:val="en-US"/>
        </w:rPr>
        <w:t>.</w:t>
      </w:r>
    </w:p>
    <w:p w:rsidR="005772D8" w:rsidRDefault="00000000">
      <w:pPr>
        <w:spacing w:after="0" w:line="240" w:lineRule="auto"/>
        <w:ind w:firstLine="709"/>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About the author</w:t>
      </w:r>
    </w:p>
    <w:p w:rsidR="005772D8" w:rsidRPr="00A07826" w:rsidRDefault="00A07826" w:rsidP="00A07826">
      <w:pPr>
        <w:spacing w:after="0" w:line="240" w:lineRule="auto"/>
        <w:ind w:firstLine="709"/>
        <w:jc w:val="both"/>
        <w:rPr>
          <w:rFonts w:ascii="Times New Roman" w:hAnsi="Times New Roman" w:cs="Times New Roman"/>
          <w:sz w:val="24"/>
          <w:szCs w:val="24"/>
        </w:rPr>
      </w:pPr>
      <w:r w:rsidRPr="00A07826">
        <w:rPr>
          <w:rFonts w:ascii="Times New Roman" w:hAnsi="Times New Roman" w:cs="Times New Roman"/>
          <w:b/>
          <w:bCs/>
          <w:sz w:val="24"/>
          <w:szCs w:val="24"/>
          <w:lang w:val="en-US"/>
        </w:rPr>
        <w:t xml:space="preserve">Agafonova Darya </w:t>
      </w:r>
      <w:proofErr w:type="spellStart"/>
      <w:r w:rsidRPr="00A07826">
        <w:rPr>
          <w:rFonts w:ascii="Times New Roman" w:hAnsi="Times New Roman" w:cs="Times New Roman"/>
          <w:b/>
          <w:bCs/>
          <w:sz w:val="24"/>
          <w:szCs w:val="24"/>
          <w:lang w:val="en-US"/>
        </w:rPr>
        <w:t>Yuryevna</w:t>
      </w:r>
      <w:proofErr w:type="spellEnd"/>
      <w:r w:rsidRPr="00A07826">
        <w:rPr>
          <w:rFonts w:ascii="Times New Roman" w:hAnsi="Times New Roman" w:cs="Times New Roman"/>
          <w:b/>
          <w:bCs/>
          <w:sz w:val="24"/>
          <w:szCs w:val="24"/>
          <w:lang w:val="en-US"/>
        </w:rPr>
        <w:t xml:space="preserve"> (Russia</w:t>
      </w:r>
      <w:r w:rsidRPr="00A07826">
        <w:rPr>
          <w:rFonts w:ascii="Times New Roman" w:hAnsi="Times New Roman" w:cs="Times New Roman"/>
          <w:b/>
          <w:bCs/>
          <w:sz w:val="24"/>
          <w:szCs w:val="24"/>
          <w:lang w:val="en-US"/>
        </w:rPr>
        <w:t xml:space="preserve">, </w:t>
      </w:r>
      <w:r w:rsidRPr="00A07826">
        <w:rPr>
          <w:rFonts w:ascii="Times New Roman" w:hAnsi="Times New Roman" w:cs="Times New Roman"/>
          <w:b/>
          <w:bCs/>
          <w:sz w:val="24"/>
          <w:szCs w:val="24"/>
          <w:lang w:val="en-US"/>
        </w:rPr>
        <w:t>Tyumen)</w:t>
      </w:r>
      <w:r>
        <w:rPr>
          <w:rFonts w:ascii="Times New Roman" w:hAnsi="Times New Roman" w:cs="Times New Roman"/>
          <w:sz w:val="24"/>
          <w:szCs w:val="24"/>
          <w:lang w:val="en-US"/>
        </w:rPr>
        <w:t>–</w:t>
      </w:r>
      <w:r w:rsidR="00000000">
        <w:rPr>
          <w:rFonts w:ascii="Times New Roman" w:hAnsi="Times New Roman" w:cs="Times New Roman"/>
          <w:sz w:val="24"/>
          <w:szCs w:val="24"/>
          <w:lang w:val="en-US"/>
        </w:rPr>
        <w:t xml:space="preserve"> </w:t>
      </w:r>
      <w:r w:rsidRPr="00A07826">
        <w:rPr>
          <w:rFonts w:ascii="Times New Roman" w:hAnsi="Times New Roman" w:cs="Times New Roman"/>
          <w:sz w:val="24"/>
          <w:szCs w:val="24"/>
          <w:lang w:val="en-US"/>
        </w:rPr>
        <w:t>Assistant</w:t>
      </w:r>
      <w:r w:rsidRPr="00A07826">
        <w:rPr>
          <w:rFonts w:ascii="Times New Roman" w:hAnsi="Times New Roman" w:cs="Times New Roman"/>
          <w:sz w:val="24"/>
          <w:szCs w:val="24"/>
          <w:lang w:val="en-US"/>
        </w:rPr>
        <w:t xml:space="preserve">, </w:t>
      </w:r>
      <w:r w:rsidRPr="00A07826">
        <w:rPr>
          <w:rFonts w:ascii="Times New Roman" w:hAnsi="Times New Roman" w:cs="Times New Roman"/>
          <w:sz w:val="24"/>
          <w:szCs w:val="24"/>
          <w:lang w:val="en-US"/>
        </w:rPr>
        <w:t xml:space="preserve">PhD Student at the Department of General and Economic Sociology, Tyumen State University, 6 </w:t>
      </w:r>
      <w:proofErr w:type="spellStart"/>
      <w:r w:rsidRPr="00A07826">
        <w:rPr>
          <w:rFonts w:ascii="Times New Roman" w:hAnsi="Times New Roman" w:cs="Times New Roman"/>
          <w:sz w:val="24"/>
          <w:szCs w:val="24"/>
          <w:lang w:val="en-US"/>
        </w:rPr>
        <w:t>Volodarsky</w:t>
      </w:r>
      <w:proofErr w:type="spellEnd"/>
      <w:r w:rsidRPr="00A07826">
        <w:rPr>
          <w:rFonts w:ascii="Times New Roman" w:hAnsi="Times New Roman" w:cs="Times New Roman"/>
          <w:sz w:val="24"/>
          <w:szCs w:val="24"/>
          <w:lang w:val="en-US"/>
        </w:rPr>
        <w:t xml:space="preserve"> str., Tyumen, 625003, e-mail: d.y.agafonova@utmn.ru</w:t>
      </w:r>
    </w:p>
    <w:p w:rsidR="005772D8" w:rsidRDefault="00000000">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rsidR="005772D8" w:rsidRDefault="00000000">
      <w:pPr>
        <w:spacing w:after="0" w:line="240" w:lineRule="auto"/>
        <w:ind w:firstLine="709"/>
        <w:jc w:val="both"/>
        <w:rPr>
          <w:rFonts w:ascii="Times New Roman" w:hAnsi="Times New Roman" w:cs="Times New Roman"/>
          <w:bCs/>
          <w:iCs/>
          <w:sz w:val="24"/>
          <w:szCs w:val="24"/>
          <w:shd w:val="clear" w:color="auto" w:fill="FFFFFF"/>
          <w:lang w:val="en-US"/>
        </w:rPr>
      </w:pPr>
      <w:r>
        <w:rPr>
          <w:rFonts w:ascii="Times New Roman" w:hAnsi="Times New Roman" w:cs="Times New Roman"/>
          <w:bCs/>
          <w:iCs/>
          <w:sz w:val="24"/>
          <w:szCs w:val="24"/>
          <w:shd w:val="clear" w:color="auto" w:fill="FFFFFF"/>
          <w:lang w:val="en-US"/>
        </w:rPr>
        <w:t xml:space="preserve">1. </w:t>
      </w:r>
      <w:proofErr w:type="spellStart"/>
      <w:r w:rsidR="00604A4D" w:rsidRPr="00604A4D">
        <w:rPr>
          <w:rFonts w:ascii="Times New Roman" w:hAnsi="Times New Roman" w:cs="Times New Roman"/>
          <w:bCs/>
          <w:iCs/>
          <w:sz w:val="24"/>
          <w:szCs w:val="24"/>
          <w:shd w:val="clear" w:color="auto" w:fill="FFFFFF"/>
          <w:lang w:val="en-US"/>
        </w:rPr>
        <w:t>Almakayeva</w:t>
      </w:r>
      <w:proofErr w:type="spellEnd"/>
      <w:r w:rsidR="00604A4D" w:rsidRPr="00604A4D">
        <w:rPr>
          <w:rFonts w:ascii="Times New Roman" w:hAnsi="Times New Roman" w:cs="Times New Roman"/>
          <w:bCs/>
          <w:iCs/>
          <w:sz w:val="24"/>
          <w:szCs w:val="24"/>
          <w:shd w:val="clear" w:color="auto" w:fill="FFFFFF"/>
          <w:lang w:val="en-US"/>
        </w:rPr>
        <w:t xml:space="preserve"> A.M., </w:t>
      </w:r>
      <w:proofErr w:type="spellStart"/>
      <w:r w:rsidR="00604A4D" w:rsidRPr="00604A4D">
        <w:rPr>
          <w:rFonts w:ascii="Times New Roman" w:hAnsi="Times New Roman" w:cs="Times New Roman"/>
          <w:bCs/>
          <w:iCs/>
          <w:sz w:val="24"/>
          <w:szCs w:val="24"/>
          <w:shd w:val="clear" w:color="auto" w:fill="FFFFFF"/>
          <w:lang w:val="en-US"/>
        </w:rPr>
        <w:t>Volchenko</w:t>
      </w:r>
      <w:proofErr w:type="spellEnd"/>
      <w:r w:rsidR="00604A4D" w:rsidRPr="00604A4D">
        <w:rPr>
          <w:rFonts w:ascii="Times New Roman" w:hAnsi="Times New Roman" w:cs="Times New Roman"/>
          <w:bCs/>
          <w:iCs/>
          <w:sz w:val="24"/>
          <w:szCs w:val="24"/>
          <w:shd w:val="clear" w:color="auto" w:fill="FFFFFF"/>
          <w:lang w:val="en-US"/>
        </w:rPr>
        <w:t xml:space="preserve"> O.V. Dynamics of Social Capital in Russia // Monitoring of Public Opinion: Economic and Social Changes. 2018. No. 4 (146). pp. 273–292.</w:t>
      </w:r>
    </w:p>
    <w:p w:rsidR="00604A4D" w:rsidRDefault="00000000" w:rsidP="00A07826">
      <w:pPr>
        <w:spacing w:after="0" w:line="240" w:lineRule="auto"/>
        <w:ind w:firstLine="709"/>
        <w:jc w:val="both"/>
        <w:rPr>
          <w:rFonts w:ascii="Times New Roman" w:hAnsi="Times New Roman" w:cs="Times New Roman"/>
          <w:bCs/>
          <w:iCs/>
          <w:sz w:val="24"/>
          <w:szCs w:val="24"/>
          <w:shd w:val="clear" w:color="auto" w:fill="FFFFFF"/>
        </w:rPr>
      </w:pPr>
      <w:r>
        <w:rPr>
          <w:rFonts w:ascii="Times New Roman" w:hAnsi="Times New Roman" w:cs="Times New Roman"/>
          <w:bCs/>
          <w:iCs/>
          <w:sz w:val="24"/>
          <w:szCs w:val="24"/>
          <w:shd w:val="clear" w:color="auto" w:fill="FFFFFF"/>
          <w:lang w:val="en-US"/>
        </w:rPr>
        <w:t xml:space="preserve">2. </w:t>
      </w:r>
      <w:proofErr w:type="spellStart"/>
      <w:r w:rsidR="00604A4D" w:rsidRPr="00604A4D">
        <w:rPr>
          <w:rFonts w:ascii="Times New Roman" w:hAnsi="Times New Roman" w:cs="Times New Roman"/>
          <w:bCs/>
          <w:iCs/>
          <w:sz w:val="24"/>
          <w:szCs w:val="24"/>
          <w:shd w:val="clear" w:color="auto" w:fill="FFFFFF"/>
          <w:lang w:val="en-US"/>
        </w:rPr>
        <w:t>Guzhavina</w:t>
      </w:r>
      <w:proofErr w:type="spellEnd"/>
      <w:r w:rsidR="00604A4D" w:rsidRPr="00604A4D">
        <w:rPr>
          <w:rFonts w:ascii="Times New Roman" w:hAnsi="Times New Roman" w:cs="Times New Roman"/>
          <w:bCs/>
          <w:iCs/>
          <w:sz w:val="24"/>
          <w:szCs w:val="24"/>
          <w:shd w:val="clear" w:color="auto" w:fill="FFFFFF"/>
          <w:lang w:val="en-US"/>
        </w:rPr>
        <w:t xml:space="preserve"> T.A. Civic Participation as an Externality of Social Capital // Sociological Science and Social Practice. 2019. Vol. 7, No. 1 (25). pp. 37–54. DOI 10.19181/snsp.2019.7.1.6268.</w:t>
      </w:r>
    </w:p>
    <w:p w:rsidR="00A07826" w:rsidRPr="00A07826" w:rsidRDefault="00A07826" w:rsidP="00A07826">
      <w:pPr>
        <w:spacing w:after="0" w:line="240" w:lineRule="auto"/>
        <w:ind w:firstLine="709"/>
        <w:jc w:val="both"/>
        <w:rPr>
          <w:rFonts w:ascii="Times New Roman" w:hAnsi="Times New Roman" w:cs="Times New Roman"/>
          <w:bCs/>
          <w:iCs/>
          <w:sz w:val="24"/>
          <w:szCs w:val="24"/>
          <w:shd w:val="clear" w:color="auto" w:fill="FFFFFF"/>
        </w:rPr>
      </w:pPr>
      <w:r w:rsidRPr="00604A4D">
        <w:rPr>
          <w:rFonts w:ascii="Times New Roman" w:hAnsi="Times New Roman" w:cs="Times New Roman"/>
          <w:bCs/>
          <w:iCs/>
          <w:sz w:val="24"/>
          <w:szCs w:val="24"/>
          <w:shd w:val="clear" w:color="auto" w:fill="FFFFFF"/>
          <w:lang w:val="en-US"/>
        </w:rPr>
        <w:t>3.</w:t>
      </w:r>
      <w:r w:rsidR="00604A4D" w:rsidRPr="00604A4D">
        <w:rPr>
          <w:rFonts w:ascii="Times New Roman" w:hAnsi="Times New Roman" w:cs="Times New Roman"/>
          <w:bCs/>
          <w:iCs/>
          <w:sz w:val="24"/>
          <w:szCs w:val="24"/>
          <w:shd w:val="clear" w:color="auto" w:fill="FFFFFF"/>
          <w:lang w:val="en-US"/>
        </w:rPr>
        <w:t xml:space="preserve"> </w:t>
      </w:r>
      <w:r w:rsidR="00604A4D" w:rsidRPr="00604A4D">
        <w:rPr>
          <w:rFonts w:ascii="Times New Roman" w:hAnsi="Times New Roman" w:cs="Times New Roman"/>
          <w:bCs/>
          <w:iCs/>
          <w:sz w:val="24"/>
          <w:szCs w:val="24"/>
          <w:shd w:val="clear" w:color="auto" w:fill="FFFFFF"/>
          <w:lang w:val="en-US"/>
        </w:rPr>
        <w:t xml:space="preserve">New Industrialization: Opportunities, Limitations of the Socio-Cultural Space. Monograph / Scientific Editors: V.A. Davydenko, G.F. </w:t>
      </w:r>
      <w:proofErr w:type="spellStart"/>
      <w:r w:rsidR="00604A4D" w:rsidRPr="00604A4D">
        <w:rPr>
          <w:rFonts w:ascii="Times New Roman" w:hAnsi="Times New Roman" w:cs="Times New Roman"/>
          <w:bCs/>
          <w:iCs/>
          <w:sz w:val="24"/>
          <w:szCs w:val="24"/>
          <w:shd w:val="clear" w:color="auto" w:fill="FFFFFF"/>
          <w:lang w:val="en-US"/>
        </w:rPr>
        <w:t>Romashkina</w:t>
      </w:r>
      <w:proofErr w:type="spellEnd"/>
      <w:r w:rsidR="00604A4D" w:rsidRPr="00604A4D">
        <w:rPr>
          <w:rFonts w:ascii="Times New Roman" w:hAnsi="Times New Roman" w:cs="Times New Roman"/>
          <w:bCs/>
          <w:iCs/>
          <w:sz w:val="24"/>
          <w:szCs w:val="24"/>
          <w:shd w:val="clear" w:color="auto" w:fill="FFFFFF"/>
          <w:lang w:val="en-US"/>
        </w:rPr>
        <w:t xml:space="preserve">. Tyumen: Tyumen Regional Duma, 2018. </w:t>
      </w:r>
      <w:r w:rsidR="00604A4D" w:rsidRPr="00604A4D">
        <w:rPr>
          <w:rFonts w:ascii="Times New Roman" w:hAnsi="Times New Roman" w:cs="Times New Roman"/>
          <w:bCs/>
          <w:iCs/>
          <w:sz w:val="24"/>
          <w:szCs w:val="24"/>
          <w:shd w:val="clear" w:color="auto" w:fill="FFFFFF"/>
        </w:rPr>
        <w:t>226 p.</w:t>
      </w:r>
    </w:p>
    <w:p w:rsidR="00A07826" w:rsidRPr="00A07826" w:rsidRDefault="00A07826" w:rsidP="00A07826">
      <w:pPr>
        <w:spacing w:after="0" w:line="240" w:lineRule="auto"/>
        <w:ind w:firstLine="709"/>
        <w:jc w:val="both"/>
        <w:rPr>
          <w:rFonts w:ascii="Times New Roman" w:hAnsi="Times New Roman" w:cs="Times New Roman"/>
          <w:bCs/>
          <w:iCs/>
          <w:sz w:val="24"/>
          <w:szCs w:val="24"/>
          <w:shd w:val="clear" w:color="auto" w:fill="FFFFFF"/>
          <w:lang w:val="en-US"/>
        </w:rPr>
      </w:pPr>
      <w:r w:rsidRPr="00A07826">
        <w:rPr>
          <w:rFonts w:ascii="Times New Roman" w:hAnsi="Times New Roman" w:cs="Times New Roman"/>
          <w:bCs/>
          <w:iCs/>
          <w:sz w:val="24"/>
          <w:szCs w:val="24"/>
          <w:shd w:val="clear" w:color="auto" w:fill="FFFFFF"/>
          <w:lang w:val="en-US"/>
        </w:rPr>
        <w:t>4.</w:t>
      </w:r>
      <w:r w:rsidRPr="00A07826">
        <w:rPr>
          <w:rFonts w:ascii="Times New Roman" w:hAnsi="Times New Roman" w:cs="Times New Roman"/>
          <w:sz w:val="24"/>
          <w:szCs w:val="24"/>
          <w:lang w:val="en-US"/>
        </w:rPr>
        <w:t xml:space="preserve"> </w:t>
      </w:r>
      <w:r w:rsidRPr="00A07826">
        <w:rPr>
          <w:rFonts w:ascii="Times New Roman" w:hAnsi="Times New Roman" w:cs="Times New Roman"/>
          <w:bCs/>
          <w:iCs/>
          <w:sz w:val="24"/>
          <w:szCs w:val="24"/>
          <w:shd w:val="clear" w:color="auto" w:fill="FFFFFF"/>
          <w:lang w:val="en-US"/>
        </w:rPr>
        <w:t>Coleman J. Social capital in the creation of human capital. The American Journal of Sociology. Supplement: Organizations and Institutions: Sociological and Economic Approaches to the Analysis of Social Structure, 1988, vol. 94, pp. 95–120.</w:t>
      </w:r>
    </w:p>
    <w:p w:rsidR="00A07826" w:rsidRPr="00A07826" w:rsidRDefault="00A07826" w:rsidP="00A07826">
      <w:pPr>
        <w:spacing w:after="0" w:line="240" w:lineRule="auto"/>
        <w:ind w:firstLine="709"/>
        <w:jc w:val="both"/>
        <w:rPr>
          <w:rFonts w:ascii="Times New Roman" w:hAnsi="Times New Roman" w:cs="Times New Roman"/>
          <w:bCs/>
          <w:iCs/>
          <w:sz w:val="24"/>
          <w:szCs w:val="24"/>
          <w:shd w:val="clear" w:color="auto" w:fill="FFFFFF"/>
          <w:lang w:val="en-US"/>
        </w:rPr>
      </w:pPr>
      <w:r w:rsidRPr="00A07826">
        <w:rPr>
          <w:rFonts w:ascii="Times New Roman" w:hAnsi="Times New Roman" w:cs="Times New Roman"/>
          <w:bCs/>
          <w:iCs/>
          <w:sz w:val="24"/>
          <w:szCs w:val="24"/>
          <w:shd w:val="clear" w:color="auto" w:fill="FFFFFF"/>
          <w:lang w:val="en-US"/>
        </w:rPr>
        <w:t xml:space="preserve">5. </w:t>
      </w:r>
      <w:r w:rsidRPr="00A07826">
        <w:rPr>
          <w:rFonts w:ascii="Times New Roman" w:hAnsi="Times New Roman" w:cs="Times New Roman"/>
          <w:bCs/>
          <w:iCs/>
          <w:sz w:val="24"/>
          <w:szCs w:val="24"/>
          <w:shd w:val="clear" w:color="auto" w:fill="FFFFFF"/>
          <w:lang w:val="en-US"/>
        </w:rPr>
        <w:t>Fukuyama F. Social capital, civil society, and development. Third World Quarterly, 2001, vol. 22. No. 1, pp. 7-20. DOI: 10.1080/713701144.</w:t>
      </w:r>
    </w:p>
    <w:p w:rsidR="00A07826" w:rsidRPr="00A07826" w:rsidRDefault="00A07826" w:rsidP="00A07826">
      <w:pPr>
        <w:spacing w:after="0" w:line="240" w:lineRule="auto"/>
        <w:ind w:firstLine="709"/>
        <w:jc w:val="both"/>
        <w:rPr>
          <w:rFonts w:ascii="Times New Roman" w:hAnsi="Times New Roman" w:cs="Times New Roman"/>
          <w:bCs/>
          <w:iCs/>
          <w:sz w:val="24"/>
          <w:szCs w:val="24"/>
          <w:shd w:val="clear" w:color="auto" w:fill="FFFFFF"/>
          <w:lang w:val="en-US"/>
        </w:rPr>
      </w:pPr>
      <w:r w:rsidRPr="00A07826">
        <w:rPr>
          <w:rFonts w:ascii="Times New Roman" w:hAnsi="Times New Roman" w:cs="Times New Roman"/>
          <w:bCs/>
          <w:iCs/>
          <w:sz w:val="24"/>
          <w:szCs w:val="24"/>
          <w:shd w:val="clear" w:color="auto" w:fill="FFFFFF"/>
          <w:lang w:val="en-US"/>
        </w:rPr>
        <w:t xml:space="preserve">6. </w:t>
      </w:r>
      <w:proofErr w:type="spellStart"/>
      <w:r w:rsidRPr="00A07826">
        <w:rPr>
          <w:rFonts w:ascii="Times New Roman" w:hAnsi="Times New Roman" w:cs="Times New Roman"/>
          <w:bCs/>
          <w:iCs/>
          <w:sz w:val="24"/>
          <w:szCs w:val="24"/>
          <w:shd w:val="clear" w:color="auto" w:fill="FFFFFF"/>
          <w:lang w:val="en-US"/>
        </w:rPr>
        <w:t>Uslaner</w:t>
      </w:r>
      <w:proofErr w:type="spellEnd"/>
      <w:r w:rsidRPr="00A07826">
        <w:rPr>
          <w:rFonts w:ascii="Times New Roman" w:hAnsi="Times New Roman" w:cs="Times New Roman"/>
          <w:bCs/>
          <w:iCs/>
          <w:sz w:val="24"/>
          <w:szCs w:val="24"/>
          <w:shd w:val="clear" w:color="auto" w:fill="FFFFFF"/>
          <w:lang w:val="en-US"/>
        </w:rPr>
        <w:t xml:space="preserve"> E. M. Trust as an Alternative to Risk. Public Choice, 2013, vol. 157, No. 3, pp. 629-639.</w:t>
      </w:r>
    </w:p>
    <w:p w:rsidR="00E81537" w:rsidRPr="00A07826" w:rsidRDefault="00E81537">
      <w:pPr>
        <w:spacing w:after="0" w:line="240" w:lineRule="auto"/>
        <w:ind w:firstLine="709"/>
        <w:jc w:val="both"/>
        <w:rPr>
          <w:rFonts w:ascii="Times New Roman" w:hAnsi="Times New Roman" w:cs="Times New Roman"/>
          <w:bCs/>
          <w:iCs/>
          <w:sz w:val="24"/>
          <w:szCs w:val="24"/>
          <w:shd w:val="clear" w:color="auto" w:fill="FFFFFF"/>
          <w:lang w:val="en-US"/>
        </w:rPr>
      </w:pPr>
    </w:p>
    <w:p w:rsidR="00E81537" w:rsidRPr="00A07826" w:rsidRDefault="00E81537">
      <w:pPr>
        <w:spacing w:after="0" w:line="240" w:lineRule="auto"/>
        <w:ind w:firstLine="709"/>
        <w:jc w:val="both"/>
        <w:rPr>
          <w:lang w:val="en-US"/>
        </w:rPr>
      </w:pPr>
    </w:p>
    <w:sectPr w:rsidR="00E81537" w:rsidRPr="00A0782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F05B8" w:rsidRDefault="00FF05B8">
      <w:pPr>
        <w:spacing w:after="0" w:line="240" w:lineRule="auto"/>
      </w:pPr>
      <w:r>
        <w:separator/>
      </w:r>
    </w:p>
  </w:endnote>
  <w:endnote w:type="continuationSeparator" w:id="0">
    <w:p w:rsidR="00FF05B8" w:rsidRDefault="00FF05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F05B8" w:rsidRDefault="00FF05B8">
      <w:pPr>
        <w:spacing w:after="0" w:line="240" w:lineRule="auto"/>
      </w:pPr>
      <w:r>
        <w:separator/>
      </w:r>
    </w:p>
  </w:footnote>
  <w:footnote w:type="continuationSeparator" w:id="0">
    <w:p w:rsidR="00FF05B8" w:rsidRDefault="00FF05B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A6DD1"/>
    <w:multiLevelType w:val="hybridMultilevel"/>
    <w:tmpl w:val="7100821A"/>
    <w:lvl w:ilvl="0" w:tplc="AF7CDDC0">
      <w:start w:val="1"/>
      <w:numFmt w:val="decimal"/>
      <w:lvlText w:val="%1."/>
      <w:lvlJc w:val="left"/>
      <w:pPr>
        <w:ind w:left="1418" w:hanging="360"/>
      </w:pPr>
    </w:lvl>
    <w:lvl w:ilvl="1" w:tplc="A19EB476">
      <w:start w:val="1"/>
      <w:numFmt w:val="lowerLetter"/>
      <w:lvlText w:val="%2."/>
      <w:lvlJc w:val="left"/>
      <w:pPr>
        <w:ind w:left="2138" w:hanging="360"/>
      </w:pPr>
    </w:lvl>
    <w:lvl w:ilvl="2" w:tplc="9FB45D20">
      <w:start w:val="1"/>
      <w:numFmt w:val="lowerRoman"/>
      <w:lvlText w:val="%3."/>
      <w:lvlJc w:val="right"/>
      <w:pPr>
        <w:ind w:left="2858" w:hanging="180"/>
      </w:pPr>
    </w:lvl>
    <w:lvl w:ilvl="3" w:tplc="0B180B90">
      <w:start w:val="1"/>
      <w:numFmt w:val="decimal"/>
      <w:lvlText w:val="%4."/>
      <w:lvlJc w:val="left"/>
      <w:pPr>
        <w:ind w:left="3578" w:hanging="360"/>
      </w:pPr>
    </w:lvl>
    <w:lvl w:ilvl="4" w:tplc="D2E2C670">
      <w:start w:val="1"/>
      <w:numFmt w:val="lowerLetter"/>
      <w:lvlText w:val="%5."/>
      <w:lvlJc w:val="left"/>
      <w:pPr>
        <w:ind w:left="4298" w:hanging="360"/>
      </w:pPr>
    </w:lvl>
    <w:lvl w:ilvl="5" w:tplc="5ED6BFC0">
      <w:start w:val="1"/>
      <w:numFmt w:val="lowerRoman"/>
      <w:lvlText w:val="%6."/>
      <w:lvlJc w:val="right"/>
      <w:pPr>
        <w:ind w:left="5018" w:hanging="180"/>
      </w:pPr>
    </w:lvl>
    <w:lvl w:ilvl="6" w:tplc="D6F4FDA6">
      <w:start w:val="1"/>
      <w:numFmt w:val="decimal"/>
      <w:lvlText w:val="%7."/>
      <w:lvlJc w:val="left"/>
      <w:pPr>
        <w:ind w:left="5738" w:hanging="360"/>
      </w:pPr>
    </w:lvl>
    <w:lvl w:ilvl="7" w:tplc="88E06A54">
      <w:start w:val="1"/>
      <w:numFmt w:val="lowerLetter"/>
      <w:lvlText w:val="%8."/>
      <w:lvlJc w:val="left"/>
      <w:pPr>
        <w:ind w:left="6458" w:hanging="360"/>
      </w:pPr>
    </w:lvl>
    <w:lvl w:ilvl="8" w:tplc="95A091E0">
      <w:start w:val="1"/>
      <w:numFmt w:val="lowerRoman"/>
      <w:lvlText w:val="%9."/>
      <w:lvlJc w:val="right"/>
      <w:pPr>
        <w:ind w:left="7178" w:hanging="180"/>
      </w:pPr>
    </w:lvl>
  </w:abstractNum>
  <w:abstractNum w:abstractNumId="1" w15:restartNumberingAfterBreak="0">
    <w:nsid w:val="1C0D5D93"/>
    <w:multiLevelType w:val="hybridMultilevel"/>
    <w:tmpl w:val="2B1AFB8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23FC3AF5"/>
    <w:multiLevelType w:val="hybridMultilevel"/>
    <w:tmpl w:val="0F2EBB7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2D1A052D"/>
    <w:multiLevelType w:val="hybridMultilevel"/>
    <w:tmpl w:val="892601B8"/>
    <w:lvl w:ilvl="0" w:tplc="342A831C">
      <w:start w:val="1"/>
      <w:numFmt w:val="bullet"/>
      <w:lvlText w:val=""/>
      <w:lvlJc w:val="left"/>
      <w:pPr>
        <w:ind w:left="720" w:hanging="360"/>
      </w:pPr>
      <w:rPr>
        <w:rFonts w:ascii="Wingdings" w:hAnsi="Wingdings" w:hint="default"/>
      </w:rPr>
    </w:lvl>
    <w:lvl w:ilvl="1" w:tplc="395AB55C">
      <w:start w:val="1"/>
      <w:numFmt w:val="bullet"/>
      <w:lvlText w:val="o"/>
      <w:lvlJc w:val="left"/>
      <w:pPr>
        <w:ind w:left="1440" w:hanging="360"/>
      </w:pPr>
      <w:rPr>
        <w:rFonts w:ascii="Courier New" w:hAnsi="Courier New" w:cs="Courier New" w:hint="default"/>
      </w:rPr>
    </w:lvl>
    <w:lvl w:ilvl="2" w:tplc="0DBC50AC">
      <w:start w:val="1"/>
      <w:numFmt w:val="bullet"/>
      <w:lvlText w:val=""/>
      <w:lvlJc w:val="left"/>
      <w:pPr>
        <w:ind w:left="2160" w:hanging="360"/>
      </w:pPr>
      <w:rPr>
        <w:rFonts w:ascii="Wingdings" w:hAnsi="Wingdings" w:hint="default"/>
      </w:rPr>
    </w:lvl>
    <w:lvl w:ilvl="3" w:tplc="35124790">
      <w:start w:val="1"/>
      <w:numFmt w:val="bullet"/>
      <w:lvlText w:val=""/>
      <w:lvlJc w:val="left"/>
      <w:pPr>
        <w:ind w:left="2880" w:hanging="360"/>
      </w:pPr>
      <w:rPr>
        <w:rFonts w:ascii="Symbol" w:hAnsi="Symbol" w:hint="default"/>
      </w:rPr>
    </w:lvl>
    <w:lvl w:ilvl="4" w:tplc="CBA61522">
      <w:start w:val="1"/>
      <w:numFmt w:val="bullet"/>
      <w:lvlText w:val="o"/>
      <w:lvlJc w:val="left"/>
      <w:pPr>
        <w:ind w:left="3600" w:hanging="360"/>
      </w:pPr>
      <w:rPr>
        <w:rFonts w:ascii="Courier New" w:hAnsi="Courier New" w:cs="Courier New" w:hint="default"/>
      </w:rPr>
    </w:lvl>
    <w:lvl w:ilvl="5" w:tplc="37EE1810">
      <w:start w:val="1"/>
      <w:numFmt w:val="bullet"/>
      <w:lvlText w:val=""/>
      <w:lvlJc w:val="left"/>
      <w:pPr>
        <w:ind w:left="4320" w:hanging="360"/>
      </w:pPr>
      <w:rPr>
        <w:rFonts w:ascii="Wingdings" w:hAnsi="Wingdings" w:hint="default"/>
      </w:rPr>
    </w:lvl>
    <w:lvl w:ilvl="6" w:tplc="7F8222EA">
      <w:start w:val="1"/>
      <w:numFmt w:val="bullet"/>
      <w:lvlText w:val=""/>
      <w:lvlJc w:val="left"/>
      <w:pPr>
        <w:ind w:left="5040" w:hanging="360"/>
      </w:pPr>
      <w:rPr>
        <w:rFonts w:ascii="Symbol" w:hAnsi="Symbol" w:hint="default"/>
      </w:rPr>
    </w:lvl>
    <w:lvl w:ilvl="7" w:tplc="E7624366">
      <w:start w:val="1"/>
      <w:numFmt w:val="bullet"/>
      <w:lvlText w:val="o"/>
      <w:lvlJc w:val="left"/>
      <w:pPr>
        <w:ind w:left="5760" w:hanging="360"/>
      </w:pPr>
      <w:rPr>
        <w:rFonts w:ascii="Courier New" w:hAnsi="Courier New" w:cs="Courier New" w:hint="default"/>
      </w:rPr>
    </w:lvl>
    <w:lvl w:ilvl="8" w:tplc="02A498CA">
      <w:start w:val="1"/>
      <w:numFmt w:val="bullet"/>
      <w:lvlText w:val=""/>
      <w:lvlJc w:val="left"/>
      <w:pPr>
        <w:ind w:left="6480" w:hanging="360"/>
      </w:pPr>
      <w:rPr>
        <w:rFonts w:ascii="Wingdings" w:hAnsi="Wingdings" w:hint="default"/>
      </w:rPr>
    </w:lvl>
  </w:abstractNum>
  <w:abstractNum w:abstractNumId="4" w15:restartNumberingAfterBreak="0">
    <w:nsid w:val="2FCC69A7"/>
    <w:multiLevelType w:val="hybridMultilevel"/>
    <w:tmpl w:val="095EC53C"/>
    <w:lvl w:ilvl="0" w:tplc="366AD62A">
      <w:start w:val="1"/>
      <w:numFmt w:val="decimal"/>
      <w:lvlText w:val="%1."/>
      <w:lvlJc w:val="left"/>
      <w:pPr>
        <w:ind w:left="1417" w:hanging="360"/>
      </w:pPr>
    </w:lvl>
    <w:lvl w:ilvl="1" w:tplc="ADE8098A">
      <w:start w:val="1"/>
      <w:numFmt w:val="lowerLetter"/>
      <w:lvlText w:val="%2."/>
      <w:lvlJc w:val="left"/>
      <w:pPr>
        <w:ind w:left="2137" w:hanging="360"/>
      </w:pPr>
    </w:lvl>
    <w:lvl w:ilvl="2" w:tplc="5448AE0E">
      <w:start w:val="1"/>
      <w:numFmt w:val="lowerRoman"/>
      <w:lvlText w:val="%3."/>
      <w:lvlJc w:val="right"/>
      <w:pPr>
        <w:ind w:left="2857" w:hanging="180"/>
      </w:pPr>
    </w:lvl>
    <w:lvl w:ilvl="3" w:tplc="FD1EF19C">
      <w:start w:val="1"/>
      <w:numFmt w:val="decimal"/>
      <w:lvlText w:val="%4."/>
      <w:lvlJc w:val="left"/>
      <w:pPr>
        <w:ind w:left="3577" w:hanging="360"/>
      </w:pPr>
    </w:lvl>
    <w:lvl w:ilvl="4" w:tplc="B1EAD288">
      <w:start w:val="1"/>
      <w:numFmt w:val="lowerLetter"/>
      <w:lvlText w:val="%5."/>
      <w:lvlJc w:val="left"/>
      <w:pPr>
        <w:ind w:left="4297" w:hanging="360"/>
      </w:pPr>
    </w:lvl>
    <w:lvl w:ilvl="5" w:tplc="2A66D5E8">
      <w:start w:val="1"/>
      <w:numFmt w:val="lowerRoman"/>
      <w:lvlText w:val="%6."/>
      <w:lvlJc w:val="right"/>
      <w:pPr>
        <w:ind w:left="5017" w:hanging="180"/>
      </w:pPr>
    </w:lvl>
    <w:lvl w:ilvl="6" w:tplc="BA1AF960">
      <w:start w:val="1"/>
      <w:numFmt w:val="decimal"/>
      <w:lvlText w:val="%7."/>
      <w:lvlJc w:val="left"/>
      <w:pPr>
        <w:ind w:left="5737" w:hanging="360"/>
      </w:pPr>
    </w:lvl>
    <w:lvl w:ilvl="7" w:tplc="72D61822">
      <w:start w:val="1"/>
      <w:numFmt w:val="lowerLetter"/>
      <w:lvlText w:val="%8."/>
      <w:lvlJc w:val="left"/>
      <w:pPr>
        <w:ind w:left="6457" w:hanging="360"/>
      </w:pPr>
    </w:lvl>
    <w:lvl w:ilvl="8" w:tplc="46AE0110">
      <w:start w:val="1"/>
      <w:numFmt w:val="lowerRoman"/>
      <w:lvlText w:val="%9."/>
      <w:lvlJc w:val="right"/>
      <w:pPr>
        <w:ind w:left="7177" w:hanging="180"/>
      </w:pPr>
    </w:lvl>
  </w:abstractNum>
  <w:abstractNum w:abstractNumId="5" w15:restartNumberingAfterBreak="0">
    <w:nsid w:val="3A1B6003"/>
    <w:multiLevelType w:val="hybridMultilevel"/>
    <w:tmpl w:val="3A729E38"/>
    <w:lvl w:ilvl="0" w:tplc="68D4287E">
      <w:start w:val="1"/>
      <w:numFmt w:val="decimal"/>
      <w:lvlText w:val="%1."/>
      <w:lvlJc w:val="left"/>
      <w:pPr>
        <w:ind w:left="709" w:hanging="360"/>
      </w:pPr>
    </w:lvl>
    <w:lvl w:ilvl="1" w:tplc="D4568A14">
      <w:start w:val="1"/>
      <w:numFmt w:val="lowerLetter"/>
      <w:lvlText w:val="%2."/>
      <w:lvlJc w:val="left"/>
      <w:pPr>
        <w:ind w:left="1429" w:hanging="360"/>
      </w:pPr>
    </w:lvl>
    <w:lvl w:ilvl="2" w:tplc="B5F8875E">
      <w:start w:val="1"/>
      <w:numFmt w:val="lowerRoman"/>
      <w:lvlText w:val="%3."/>
      <w:lvlJc w:val="right"/>
      <w:pPr>
        <w:ind w:left="2149" w:hanging="180"/>
      </w:pPr>
    </w:lvl>
    <w:lvl w:ilvl="3" w:tplc="AC909CDC">
      <w:start w:val="1"/>
      <w:numFmt w:val="decimal"/>
      <w:lvlText w:val="%4."/>
      <w:lvlJc w:val="left"/>
      <w:pPr>
        <w:ind w:left="2869" w:hanging="360"/>
      </w:pPr>
    </w:lvl>
    <w:lvl w:ilvl="4" w:tplc="474A52CC">
      <w:start w:val="1"/>
      <w:numFmt w:val="lowerLetter"/>
      <w:lvlText w:val="%5."/>
      <w:lvlJc w:val="left"/>
      <w:pPr>
        <w:ind w:left="3589" w:hanging="360"/>
      </w:pPr>
    </w:lvl>
    <w:lvl w:ilvl="5" w:tplc="D6D0819E">
      <w:start w:val="1"/>
      <w:numFmt w:val="lowerRoman"/>
      <w:lvlText w:val="%6."/>
      <w:lvlJc w:val="right"/>
      <w:pPr>
        <w:ind w:left="4309" w:hanging="180"/>
      </w:pPr>
    </w:lvl>
    <w:lvl w:ilvl="6" w:tplc="EC2E3E78">
      <w:start w:val="1"/>
      <w:numFmt w:val="decimal"/>
      <w:lvlText w:val="%7."/>
      <w:lvlJc w:val="left"/>
      <w:pPr>
        <w:ind w:left="5029" w:hanging="360"/>
      </w:pPr>
    </w:lvl>
    <w:lvl w:ilvl="7" w:tplc="03BCB492">
      <w:start w:val="1"/>
      <w:numFmt w:val="lowerLetter"/>
      <w:lvlText w:val="%8."/>
      <w:lvlJc w:val="left"/>
      <w:pPr>
        <w:ind w:left="5749" w:hanging="360"/>
      </w:pPr>
    </w:lvl>
    <w:lvl w:ilvl="8" w:tplc="FB323CEA">
      <w:start w:val="1"/>
      <w:numFmt w:val="lowerRoman"/>
      <w:lvlText w:val="%9."/>
      <w:lvlJc w:val="right"/>
      <w:pPr>
        <w:ind w:left="6469" w:hanging="180"/>
      </w:pPr>
    </w:lvl>
  </w:abstractNum>
  <w:abstractNum w:abstractNumId="6" w15:restartNumberingAfterBreak="0">
    <w:nsid w:val="4AB716CB"/>
    <w:multiLevelType w:val="multilevel"/>
    <w:tmpl w:val="3000D748"/>
    <w:lvl w:ilvl="0">
      <w:start w:val="4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83890846">
    <w:abstractNumId w:val="3"/>
  </w:num>
  <w:num w:numId="2" w16cid:durableId="1959726003">
    <w:abstractNumId w:val="0"/>
  </w:num>
  <w:num w:numId="3" w16cid:durableId="424962561">
    <w:abstractNumId w:val="5"/>
  </w:num>
  <w:num w:numId="4" w16cid:durableId="932206892">
    <w:abstractNumId w:val="4"/>
  </w:num>
  <w:num w:numId="5" w16cid:durableId="961307622">
    <w:abstractNumId w:val="6"/>
  </w:num>
  <w:num w:numId="6" w16cid:durableId="709036626">
    <w:abstractNumId w:val="1"/>
  </w:num>
  <w:num w:numId="7" w16cid:durableId="2950632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72D8"/>
    <w:rsid w:val="001A0A57"/>
    <w:rsid w:val="00227E98"/>
    <w:rsid w:val="002B4143"/>
    <w:rsid w:val="002B79FA"/>
    <w:rsid w:val="005772D8"/>
    <w:rsid w:val="00604A4D"/>
    <w:rsid w:val="007A40BC"/>
    <w:rsid w:val="008D166E"/>
    <w:rsid w:val="00910E9D"/>
    <w:rsid w:val="009F103C"/>
    <w:rsid w:val="00A07826"/>
    <w:rsid w:val="00C362FA"/>
    <w:rsid w:val="00C5014F"/>
    <w:rsid w:val="00C97B53"/>
    <w:rsid w:val="00CF236A"/>
    <w:rsid w:val="00E11C6A"/>
    <w:rsid w:val="00E81537"/>
    <w:rsid w:val="00FF05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A5CE07"/>
  <w15:docId w15:val="{6BD2E66C-B421-9B45-8FC9-6C25DB3936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pPr>
      <w:keepNext/>
      <w:keepLines/>
      <w:spacing w:before="480" w:after="200"/>
      <w:outlineLvl w:val="0"/>
    </w:pPr>
    <w:rPr>
      <w:rFonts w:ascii="Arial" w:eastAsia="Arial" w:hAnsi="Arial" w:cs="Arial"/>
      <w:sz w:val="40"/>
      <w:szCs w:val="40"/>
    </w:rPr>
  </w:style>
  <w:style w:type="paragraph" w:styleId="2">
    <w:name w:val="heading 2"/>
    <w:basedOn w:val="a"/>
    <w:next w:val="a"/>
    <w:link w:val="20"/>
    <w:uiPriority w:val="9"/>
    <w:unhideWhenUsed/>
    <w:qFormat/>
    <w:pPr>
      <w:keepNext/>
      <w:keepLines/>
      <w:spacing w:before="360" w:after="200"/>
      <w:outlineLvl w:val="1"/>
    </w:pPr>
    <w:rPr>
      <w:rFonts w:ascii="Arial" w:eastAsia="Arial" w:hAnsi="Arial" w:cs="Arial"/>
      <w:sz w:val="34"/>
    </w:rPr>
  </w:style>
  <w:style w:type="paragraph" w:styleId="3">
    <w:name w:val="heading 3"/>
    <w:basedOn w:val="a"/>
    <w:next w:val="a"/>
    <w:link w:val="30"/>
    <w:uiPriority w:val="9"/>
    <w:unhideWhenUsed/>
    <w:qFormat/>
    <w:pPr>
      <w:keepNext/>
      <w:keepLines/>
      <w:spacing w:before="320" w:after="200"/>
      <w:outlineLvl w:val="2"/>
    </w:pPr>
    <w:rPr>
      <w:rFonts w:ascii="Arial" w:eastAsia="Arial" w:hAnsi="Arial" w:cs="Arial"/>
      <w:sz w:val="30"/>
      <w:szCs w:val="30"/>
    </w:rPr>
  </w:style>
  <w:style w:type="paragraph" w:styleId="4">
    <w:name w:val="heading 4"/>
    <w:basedOn w:val="a"/>
    <w:next w:val="a"/>
    <w:link w:val="40"/>
    <w:uiPriority w:val="9"/>
    <w:unhideWhenUsed/>
    <w:qFormat/>
    <w:pPr>
      <w:keepNext/>
      <w:keepLines/>
      <w:spacing w:before="320" w:after="200"/>
      <w:outlineLvl w:val="3"/>
    </w:pPr>
    <w:rPr>
      <w:rFonts w:ascii="Arial" w:eastAsia="Arial" w:hAnsi="Arial" w:cs="Arial"/>
      <w:b/>
      <w:bCs/>
      <w:sz w:val="26"/>
      <w:szCs w:val="26"/>
    </w:rPr>
  </w:style>
  <w:style w:type="paragraph" w:styleId="5">
    <w:name w:val="heading 5"/>
    <w:basedOn w:val="a"/>
    <w:next w:val="a"/>
    <w:link w:val="50"/>
    <w:uiPriority w:val="9"/>
    <w:unhideWhenUsed/>
    <w:qFormat/>
    <w:pPr>
      <w:keepNext/>
      <w:keepLines/>
      <w:spacing w:before="320" w:after="200"/>
      <w:outlineLvl w:val="4"/>
    </w:pPr>
    <w:rPr>
      <w:rFonts w:ascii="Arial" w:eastAsia="Arial" w:hAnsi="Arial" w:cs="Arial"/>
      <w:b/>
      <w:bCs/>
      <w:sz w:val="24"/>
      <w:szCs w:val="24"/>
    </w:rPr>
  </w:style>
  <w:style w:type="paragraph" w:styleId="6">
    <w:name w:val="heading 6"/>
    <w:basedOn w:val="a"/>
    <w:next w:val="a"/>
    <w:link w:val="60"/>
    <w:uiPriority w:val="9"/>
    <w:unhideWhenUsed/>
    <w:qFormat/>
    <w:pPr>
      <w:keepNext/>
      <w:keepLines/>
      <w:spacing w:before="320" w:after="200"/>
      <w:outlineLvl w:val="5"/>
    </w:pPr>
    <w:rPr>
      <w:rFonts w:ascii="Arial" w:eastAsia="Arial" w:hAnsi="Arial" w:cs="Arial"/>
      <w:b/>
      <w:bCs/>
    </w:rPr>
  </w:style>
  <w:style w:type="paragraph" w:styleId="7">
    <w:name w:val="heading 7"/>
    <w:basedOn w:val="a"/>
    <w:next w:val="a"/>
    <w:link w:val="70"/>
    <w:uiPriority w:val="9"/>
    <w:unhideWhenUsed/>
    <w:qFormat/>
    <w:pPr>
      <w:keepNext/>
      <w:keepLines/>
      <w:spacing w:before="320" w:after="200"/>
      <w:outlineLvl w:val="6"/>
    </w:pPr>
    <w:rPr>
      <w:rFonts w:ascii="Arial" w:eastAsia="Arial" w:hAnsi="Arial" w:cs="Arial"/>
      <w:b/>
      <w:bCs/>
      <w:i/>
      <w:iCs/>
    </w:rPr>
  </w:style>
  <w:style w:type="paragraph" w:styleId="8">
    <w:name w:val="heading 8"/>
    <w:basedOn w:val="a"/>
    <w:next w:val="a"/>
    <w:link w:val="80"/>
    <w:uiPriority w:val="9"/>
    <w:unhideWhenUsed/>
    <w:qFormat/>
    <w:pPr>
      <w:keepNext/>
      <w:keepLines/>
      <w:spacing w:before="320" w:after="200"/>
      <w:outlineLvl w:val="7"/>
    </w:pPr>
    <w:rPr>
      <w:rFonts w:ascii="Arial" w:eastAsia="Arial" w:hAnsi="Arial" w:cs="Arial"/>
      <w:i/>
      <w:iCs/>
    </w:rPr>
  </w:style>
  <w:style w:type="paragraph" w:styleId="9">
    <w:name w:val="heading 9"/>
    <w:basedOn w:val="a"/>
    <w:next w:val="a"/>
    <w:link w:val="90"/>
    <w:uiPriority w:val="9"/>
    <w:unhideWhenUsed/>
    <w:qFormat/>
    <w:pPr>
      <w:keepNext/>
      <w:keepLines/>
      <w:spacing w:before="320" w:after="200"/>
      <w:outlineLvl w:val="8"/>
    </w:pPr>
    <w:rPr>
      <w:rFonts w:ascii="Arial" w:eastAsia="Arial" w:hAnsi="Arial" w:cs="Arial"/>
      <w:i/>
      <w:iCs/>
      <w:sz w:val="21"/>
      <w:szCs w:val="2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List Paragraph"/>
    <w:basedOn w:val="a"/>
    <w:uiPriority w:val="34"/>
    <w:qFormat/>
    <w:pPr>
      <w:ind w:left="720"/>
      <w:contextualSpacing/>
    </w:pPr>
  </w:style>
  <w:style w:type="paragraph" w:styleId="a4">
    <w:name w:val="No Spacing"/>
    <w:uiPriority w:val="1"/>
    <w:qFormat/>
    <w:pPr>
      <w:spacing w:after="0" w:line="240" w:lineRule="auto"/>
    </w:pPr>
  </w:style>
  <w:style w:type="paragraph" w:styleId="a5">
    <w:name w:val="Title"/>
    <w:basedOn w:val="a"/>
    <w:next w:val="a"/>
    <w:link w:val="a6"/>
    <w:uiPriority w:val="10"/>
    <w:qFormat/>
    <w:pPr>
      <w:spacing w:before="300" w:after="200"/>
      <w:contextualSpacing/>
    </w:pPr>
    <w:rPr>
      <w:sz w:val="48"/>
      <w:szCs w:val="48"/>
    </w:rPr>
  </w:style>
  <w:style w:type="character" w:customStyle="1" w:styleId="a6">
    <w:name w:val="Заголовок Знак"/>
    <w:basedOn w:val="a0"/>
    <w:link w:val="a5"/>
    <w:uiPriority w:val="10"/>
    <w:rPr>
      <w:sz w:val="48"/>
      <w:szCs w:val="48"/>
    </w:rPr>
  </w:style>
  <w:style w:type="paragraph" w:styleId="a7">
    <w:name w:val="Subtitle"/>
    <w:basedOn w:val="a"/>
    <w:next w:val="a"/>
    <w:link w:val="a8"/>
    <w:uiPriority w:val="11"/>
    <w:qFormat/>
    <w:pPr>
      <w:spacing w:before="200" w:after="200"/>
    </w:pPr>
    <w:rPr>
      <w:sz w:val="24"/>
      <w:szCs w:val="24"/>
    </w:rPr>
  </w:style>
  <w:style w:type="character" w:customStyle="1" w:styleId="a8">
    <w:name w:val="Подзаголовок Знак"/>
    <w:basedOn w:val="a0"/>
    <w:link w:val="a7"/>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9">
    <w:name w:val="Intense Quote"/>
    <w:basedOn w:val="a"/>
    <w:next w:val="a"/>
    <w:link w:val="aa"/>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a">
    <w:name w:val="Выделенная цитата Знак"/>
    <w:link w:val="a9"/>
    <w:uiPriority w:val="30"/>
    <w:rPr>
      <w:i/>
    </w:rPr>
  </w:style>
  <w:style w:type="paragraph" w:styleId="ab">
    <w:name w:val="header"/>
    <w:basedOn w:val="a"/>
    <w:link w:val="ac"/>
    <w:uiPriority w:val="99"/>
    <w:unhideWhenUsed/>
    <w:pPr>
      <w:tabs>
        <w:tab w:val="center" w:pos="7143"/>
        <w:tab w:val="right" w:pos="14287"/>
      </w:tabs>
      <w:spacing w:after="0" w:line="240" w:lineRule="auto"/>
    </w:pPr>
  </w:style>
  <w:style w:type="character" w:customStyle="1" w:styleId="ac">
    <w:name w:val="Верхний колонтитул Знак"/>
    <w:basedOn w:val="a0"/>
    <w:link w:val="ab"/>
    <w:uiPriority w:val="99"/>
  </w:style>
  <w:style w:type="paragraph" w:styleId="ad">
    <w:name w:val="footer"/>
    <w:basedOn w:val="a"/>
    <w:link w:val="ae"/>
    <w:uiPriority w:val="99"/>
    <w:unhideWhenUsed/>
    <w:pPr>
      <w:tabs>
        <w:tab w:val="center" w:pos="7143"/>
        <w:tab w:val="right" w:pos="14287"/>
      </w:tabs>
      <w:spacing w:after="0" w:line="240" w:lineRule="auto"/>
    </w:pPr>
  </w:style>
  <w:style w:type="character" w:customStyle="1" w:styleId="FooterChar">
    <w:name w:val="Footer Char"/>
    <w:basedOn w:val="a0"/>
    <w:uiPriority w:val="99"/>
  </w:style>
  <w:style w:type="paragraph" w:styleId="af">
    <w:name w:val="caption"/>
    <w:basedOn w:val="a"/>
    <w:next w:val="a"/>
    <w:uiPriority w:val="35"/>
    <w:semiHidden/>
    <w:unhideWhenUsed/>
    <w:qFormat/>
    <w:pPr>
      <w:spacing w:line="276" w:lineRule="auto"/>
    </w:pPr>
    <w:rPr>
      <w:b/>
      <w:bCs/>
      <w:color w:val="4472C4" w:themeColor="accent1"/>
      <w:sz w:val="18"/>
      <w:szCs w:val="18"/>
    </w:rPr>
  </w:style>
  <w:style w:type="character" w:customStyle="1" w:styleId="ae">
    <w:name w:val="Нижний колонтитул Знак"/>
    <w:link w:val="ad"/>
    <w:uiPriority w:val="99"/>
  </w:style>
  <w:style w:type="table" w:customStyle="1" w:styleId="TableGridLight">
    <w:name w:val="Table Grid Light"/>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b/>
        <w:color w:val="404040"/>
      </w:rPr>
      <w:tblPr/>
      <w:tcPr>
        <w:tcBorders>
          <w:bottom w:val="single" w:sz="12" w:space="0" w:color="91ACDC"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GridTable1Light-Accent2">
    <w:name w:val="Grid Table 1 Light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b/>
        <w:color w:val="404040"/>
      </w:rPr>
      <w:tblPr/>
      <w:tcPr>
        <w:tcBorders>
          <w:bottom w:val="single" w:sz="12" w:space="0" w:color="9EC4E6"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GridTable1Light-Accent6">
    <w:name w:val="Grid Table 1 Light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2">
    <w:name w:val="Grid Table 2"/>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single" w:sz="12" w:space="0" w:color="537DC8" w:themeColor="accent1" w:themeTint="EA"/>
          <w:right w:val="none" w:sz="4" w:space="0" w:color="000000"/>
        </w:tcBorders>
        <w:shd w:val="clear" w:color="FFFFFF" w:fill="auto"/>
      </w:tcPr>
    </w:tblStylePr>
    <w:tblStylePr w:type="lastRow">
      <w:rPr>
        <w:b/>
        <w:color w:val="404040"/>
      </w:rPr>
      <w:tblPr/>
      <w:tcPr>
        <w:tcBorders>
          <w:top w:val="single" w:sz="4" w:space="0" w:color="537DC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2-Accent2">
    <w:name w:val="Grid Table 2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single" w:sz="12" w:space="0" w:color="5B9BD5" w:themeColor="accent5"/>
          <w:right w:val="none" w:sz="4" w:space="0" w:color="000000"/>
        </w:tcBorders>
        <w:shd w:val="clear" w:color="FFFFFF" w:fill="auto"/>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2-Accent6">
    <w:name w:val="Grid Table 2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3">
    <w:name w:val="Grid Table 3"/>
    <w:basedOn w:val="a1"/>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after="0" w:line="240" w:lineRule="auto"/>
    </w:pPr>
    <w:tblPr>
      <w:tblStyleRowBandSize w:val="1"/>
      <w:tblStyleColBandSize w:val="1"/>
      <w:tblBorders>
        <w:bottom w:val="single" w:sz="4" w:space="0" w:color="537DC8" w:themeColor="accent1" w:themeTint="EA"/>
        <w:insideH w:val="single" w:sz="4" w:space="0" w:color="537DC8" w:themeColor="accent1" w:themeTint="EA"/>
        <w:insideV w:val="single" w:sz="4" w:space="0" w:color="537DC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1" w:themeTint="34" w:fill="D8E2F3" w:themeFill="accent1" w:themeFillTint="34"/>
      </w:tcPr>
    </w:tblStylePr>
    <w:tblStylePr w:type="band1Horz">
      <w:rPr>
        <w:rFonts w:ascii="Arial" w:hAnsi="Arial"/>
        <w:color w:val="404040"/>
        <w:sz w:val="22"/>
      </w:rPr>
      <w:tblPr/>
      <w:tcPr>
        <w:shd w:val="clear" w:color="D8E2F3" w:themeColor="accent1" w:themeTint="34" w:fill="D8E2F3" w:themeFill="accent1" w:themeFillTint="34"/>
      </w:tcPr>
    </w:tblStylePr>
  </w:style>
  <w:style w:type="table" w:customStyle="1" w:styleId="GridTable3-Accent2">
    <w:name w:val="Grid Table 3 - Accent 2"/>
    <w:basedOn w:val="a1"/>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a1"/>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a1"/>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a1"/>
    <w:uiPriority w:val="99"/>
    <w:pPr>
      <w:spacing w:after="0" w:line="240" w:lineRule="auto"/>
    </w:pPr>
    <w:tblPr>
      <w:tblStyleRowBandSize w:val="1"/>
      <w:tblStyleColBandSize w:val="1"/>
      <w:tblBorders>
        <w:bottom w:val="single" w:sz="4" w:space="0" w:color="5B9BD5" w:themeColor="accent5"/>
        <w:insideH w:val="single" w:sz="4" w:space="0" w:color="5B9BD5" w:themeColor="accent5"/>
        <w:insideV w:val="single" w:sz="4" w:space="0" w:color="5B9BD5"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3-Accent6">
    <w:name w:val="Grid Table 3 - Accent 6"/>
    <w:basedOn w:val="a1"/>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4">
    <w:name w:val="Grid Table 4"/>
    <w:basedOn w:val="a1"/>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insideV w:val="single" w:sz="4" w:space="0" w:color="95AFDD" w:themeColor="accent1" w:themeTint="90"/>
      </w:tblBorders>
    </w:tblPr>
    <w:tblStylePr w:type="firstRow">
      <w:rPr>
        <w:rFonts w:ascii="Arial" w:hAnsi="Arial"/>
        <w:b/>
        <w:color w:val="FFFFFF"/>
        <w:sz w:val="22"/>
      </w:rPr>
      <w:tblPr/>
      <w:tcPr>
        <w:tcBorders>
          <w:top w:val="single" w:sz="4" w:space="0" w:color="537DC8" w:themeColor="accent1" w:themeTint="EA"/>
          <w:left w:val="single" w:sz="4" w:space="0" w:color="537DC8" w:themeColor="accent1" w:themeTint="EA"/>
          <w:bottom w:val="single" w:sz="4" w:space="0" w:color="537DC8" w:themeColor="accent1" w:themeTint="EA"/>
          <w:right w:val="single" w:sz="4" w:space="0" w:color="537DC8" w:themeColor="accent1" w:themeTint="EA"/>
        </w:tcBorders>
        <w:shd w:val="clear" w:color="537DC8" w:themeColor="accent1" w:themeTint="EA" w:fill="537DC8" w:themeFill="accent1" w:themeFillTint="EA"/>
      </w:tcPr>
    </w:tblStylePr>
    <w:tblStylePr w:type="lastRow">
      <w:rPr>
        <w:b/>
        <w:color w:val="404040"/>
      </w:rPr>
      <w:tblPr/>
      <w:tcPr>
        <w:tcBorders>
          <w:top w:val="single" w:sz="4" w:space="0" w:color="537DC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3F3" w:themeColor="accent1" w:themeTint="32" w:fill="DAE3F3" w:themeFill="accent1" w:themeFillTint="32"/>
      </w:tcPr>
    </w:tblStylePr>
    <w:tblStylePr w:type="band1Horz">
      <w:rPr>
        <w:rFonts w:ascii="Arial" w:hAnsi="Arial"/>
        <w:color w:val="404040"/>
        <w:sz w:val="22"/>
      </w:rPr>
      <w:tblPr/>
      <w:tcPr>
        <w:shd w:val="clear" w:color="DAE3F3" w:themeColor="accent1" w:themeTint="32" w:fill="DAE3F3" w:themeFill="accent1" w:themeFillTint="32"/>
      </w:tcPr>
    </w:tblStylePr>
  </w:style>
  <w:style w:type="table" w:customStyle="1" w:styleId="GridTable4-Accent2">
    <w:name w:val="Grid Table 4 - Accent 2"/>
    <w:basedOn w:val="a1"/>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a1"/>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a1"/>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a1"/>
    <w:uiPriority w:val="5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FFFFFF"/>
        <w:sz w:val="22"/>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tcBorders>
        <w:shd w:val="clear" w:color="5B9BD5" w:themeColor="accent5" w:fill="5B9BD5" w:themeFill="accent5"/>
      </w:tcPr>
    </w:tblStylePr>
    <w:tblStylePr w:type="lastRow">
      <w:rPr>
        <w:b/>
        <w:color w:val="404040"/>
      </w:rPr>
      <w:tblPr/>
      <w:tcPr>
        <w:tcBorders>
          <w:top w:val="single" w:sz="4" w:space="0" w:color="5B9BD5"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Pr/>
      <w:tcPr>
        <w:shd w:val="clear" w:color="DDEAF6" w:themeColor="accent5" w:themeTint="34" w:fill="DDEAF6" w:themeFill="accent5" w:themeFillTint="34"/>
      </w:tcPr>
    </w:tblStylePr>
  </w:style>
  <w:style w:type="table" w:customStyle="1" w:styleId="GridTable4-Accent6">
    <w:name w:val="Grid Table 4 - Accent 6"/>
    <w:basedOn w:val="a1"/>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5">
    <w:name w:val="Grid Table 5 Dark"/>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1" w:themeTint="34" w:fill="D8E2F3" w:themeFill="accent1" w:themeFillTint="34"/>
    </w:tblPr>
    <w:tblStylePr w:type="firstRow">
      <w:rPr>
        <w:rFonts w:ascii="Arial" w:hAnsi="Arial"/>
        <w:b/>
        <w:color w:val="FFFFFF"/>
        <w:sz w:val="22"/>
      </w:rPr>
      <w:tblPr/>
      <w:tcPr>
        <w:shd w:val="clear" w:color="4472C4" w:themeColor="accent1" w:fill="4472C4" w:themeFill="accent1"/>
      </w:tcPr>
    </w:tblStylePr>
    <w:tblStylePr w:type="lastRow">
      <w:rPr>
        <w:rFonts w:ascii="Arial" w:hAnsi="Arial"/>
        <w:b/>
        <w:color w:val="FFFFFF"/>
        <w:sz w:val="22"/>
      </w:rPr>
      <w:tblPr/>
      <w:tcPr>
        <w:tcBorders>
          <w:top w:val="single" w:sz="4" w:space="0" w:color="FFFFFF" w:themeColor="light1"/>
        </w:tcBorders>
        <w:shd w:val="clear" w:color="4472C4" w:themeColor="accent1" w:fill="4472C4" w:themeFill="accent1"/>
      </w:tcPr>
    </w:tblStylePr>
    <w:tblStylePr w:type="firstCol">
      <w:rPr>
        <w:rFonts w:ascii="Arial" w:hAnsi="Arial"/>
        <w:b/>
        <w:color w:val="FFFFFF"/>
        <w:sz w:val="22"/>
      </w:rPr>
      <w:tblPr/>
      <w:tcPr>
        <w:shd w:val="clear" w:color="4472C4" w:themeColor="accent1" w:fill="4472C4" w:themeFill="accent1"/>
      </w:tcPr>
    </w:tblStylePr>
    <w:tblStylePr w:type="lastCol">
      <w:rPr>
        <w:rFonts w:ascii="Arial" w:hAnsi="Arial"/>
        <w:b/>
        <w:color w:val="FFFFFF"/>
        <w:sz w:val="22"/>
      </w:rPr>
      <w:tblPr/>
      <w:tcPr>
        <w:shd w:val="clear" w:color="4472C4" w:themeColor="accent1" w:fill="4472C4" w:themeFill="accent1"/>
      </w:tcPr>
    </w:tblStylePr>
    <w:tblStylePr w:type="band1Vert">
      <w:tblPr/>
      <w:tcPr>
        <w:shd w:val="clear" w:color="A9BEE4" w:themeColor="accent1" w:themeTint="75" w:fill="A9BEE4" w:themeFill="accent1" w:themeFillTint="75"/>
      </w:tcPr>
    </w:tblStylePr>
    <w:tblStylePr w:type="band1Horz">
      <w:tblPr/>
      <w:tcPr>
        <w:shd w:val="clear" w:color="A9BEE4" w:themeColor="accent1" w:themeTint="75" w:fill="A9BEE4" w:themeFill="accent1" w:themeFillTint="75"/>
      </w:tcPr>
    </w:tblStylePr>
  </w:style>
  <w:style w:type="table" w:customStyle="1" w:styleId="GridTable5Dark-Accent2">
    <w:name w:val="Grid Table 5 Dark - Accent 2"/>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5" w:themeTint="34" w:fill="DDEAF6" w:themeFill="accent5" w:themeFillTint="34"/>
    </w:tblPr>
    <w:tblStylePr w:type="firstRow">
      <w:rPr>
        <w:rFonts w:ascii="Arial" w:hAnsi="Arial"/>
        <w:b/>
        <w:color w:val="FFFFFF"/>
        <w:sz w:val="22"/>
      </w:rPr>
      <w:tblPr/>
      <w:tcPr>
        <w:shd w:val="clear" w:color="5B9BD5" w:themeColor="accent5" w:fill="5B9BD5" w:themeFill="accent5"/>
      </w:tcPr>
    </w:tblStylePr>
    <w:tblStylePr w:type="lastRow">
      <w:rPr>
        <w:rFonts w:ascii="Arial" w:hAnsi="Arial"/>
        <w:b/>
        <w:color w:val="FFFFFF"/>
        <w:sz w:val="22"/>
      </w:rPr>
      <w:tblPr/>
      <w:tcPr>
        <w:tcBorders>
          <w:top w:val="single" w:sz="4" w:space="0" w:color="FFFFFF" w:themeColor="light1"/>
        </w:tcBorders>
        <w:shd w:val="clear" w:color="5B9BD5" w:themeColor="accent5" w:fill="5B9BD5" w:themeFill="accent5"/>
      </w:tcPr>
    </w:tblStylePr>
    <w:tblStylePr w:type="firstCol">
      <w:rPr>
        <w:rFonts w:ascii="Arial" w:hAnsi="Arial"/>
        <w:b/>
        <w:color w:val="FFFFFF"/>
        <w:sz w:val="22"/>
      </w:rPr>
      <w:tblPr/>
      <w:tcPr>
        <w:shd w:val="clear" w:color="5B9BD5" w:themeColor="accent5" w:fill="5B9BD5" w:themeFill="accent5"/>
      </w:tcPr>
    </w:tblStylePr>
    <w:tblStylePr w:type="lastCol">
      <w:rPr>
        <w:rFonts w:ascii="Arial" w:hAnsi="Arial"/>
        <w:b/>
        <w:color w:val="FFFFFF"/>
        <w:sz w:val="22"/>
      </w:rPr>
      <w:tblPr/>
      <w:tcPr>
        <w:shd w:val="clear" w:color="5B9BD5" w:themeColor="accent5" w:fill="5B9BD5" w:themeFill="accent5"/>
      </w:tcPr>
    </w:tblStylePr>
    <w:tblStylePr w:type="band1Vert">
      <w:tblPr/>
      <w:tcPr>
        <w:shd w:val="clear" w:color="B3D0EB" w:themeColor="accent5" w:themeTint="75" w:fill="B3D0EB" w:themeFill="accent5" w:themeFillTint="75"/>
      </w:tcPr>
    </w:tblStylePr>
    <w:tblStylePr w:type="band1Horz">
      <w:tblPr/>
      <w:tcPr>
        <w:shd w:val="clear" w:color="B3D0EB" w:themeColor="accent5" w:themeTint="75" w:fill="B3D0EB" w:themeFill="accent5" w:themeFillTint="75"/>
      </w:tcPr>
    </w:tblStylePr>
  </w:style>
  <w:style w:type="table" w:customStyle="1" w:styleId="GridTable5Dark-Accent6">
    <w:name w:val="Grid Table 5 Dark - Accent 6"/>
    <w:basedOn w:val="a1"/>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6">
    <w:name w:val="Grid Table 6 Colorful"/>
    <w:basedOn w:val="a1"/>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after="0" w:line="240" w:lineRule="auto"/>
    </w:pPr>
    <w:tblPr>
      <w:tblStyleRowBandSize w:val="1"/>
      <w:tblStyleColBandSize w:val="1"/>
      <w:tblBorders>
        <w:top w:val="single" w:sz="4" w:space="0" w:color="A0B7E1" w:themeColor="accent1" w:themeTint="80"/>
        <w:left w:val="single" w:sz="4" w:space="0" w:color="A0B7E1" w:themeColor="accent1" w:themeTint="80"/>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b/>
        <w:color w:val="A0B7E1" w:themeColor="accent1" w:themeTint="80" w:themeShade="95"/>
      </w:rPr>
      <w:tblPr/>
      <w:tcPr>
        <w:tcBorders>
          <w:bottom w:val="single" w:sz="12" w:space="0" w:color="A0B7E1" w:themeColor="accent1" w:themeTint="80"/>
        </w:tcBorders>
      </w:tcPr>
    </w:tblStylePr>
    <w:tblStylePr w:type="lastRow">
      <w:rPr>
        <w:b/>
        <w:color w:val="A0B7E1" w:themeColor="accent1" w:themeTint="80" w:themeShade="95"/>
      </w:rPr>
    </w:tblStylePr>
    <w:tblStylePr w:type="firstCol">
      <w:rPr>
        <w:b/>
        <w:color w:val="A0B7E1" w:themeColor="accent1" w:themeTint="80" w:themeShade="95"/>
      </w:rPr>
    </w:tblStylePr>
    <w:tblStylePr w:type="lastCol">
      <w:rPr>
        <w:b/>
        <w:color w:val="A0B7E1" w:themeColor="accent1" w:themeTint="80" w:themeShade="95"/>
      </w:r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6Colorful-Accent2">
    <w:name w:val="Grid Table 6 Colorful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a1"/>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a1"/>
    <w:uiPriority w:val="99"/>
    <w:pPr>
      <w:spacing w:after="0" w:line="240" w:lineRule="auto"/>
    </w:p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insideH w:val="single" w:sz="4" w:space="0" w:color="5B9BD5" w:themeColor="accent5"/>
        <w:insideV w:val="single" w:sz="4" w:space="0" w:color="5B9BD5" w:themeColor="accent5"/>
      </w:tblBorders>
    </w:tblPr>
    <w:tblStylePr w:type="firstRow">
      <w:rPr>
        <w:b/>
        <w:color w:val="245A8D" w:themeColor="accent5" w:themeShade="95"/>
      </w:rPr>
      <w:tblPr/>
      <w:tcPr>
        <w:tcBorders>
          <w:bottom w:val="single" w:sz="12" w:space="0" w:color="5B9BD5" w:themeColor="accent5"/>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6Colorful-Accent6">
    <w:name w:val="Grid Table 6 Colorful - Accent 6"/>
    <w:basedOn w:val="a1"/>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45A8D" w:themeColor="accent5" w:themeShade="95"/>
      </w:rPr>
      <w:tblPr/>
      <w:tcPr>
        <w:tcBorders>
          <w:bottom w:val="single" w:sz="12" w:space="0" w:color="70AD47" w:themeColor="accent6"/>
        </w:tcBorders>
      </w:tcPr>
    </w:tblStylePr>
    <w:tblStylePr w:type="lastRow">
      <w:rPr>
        <w:b/>
        <w:color w:val="245A8D" w:themeColor="accent5" w:themeShade="95"/>
      </w:rPr>
    </w:tblStylePr>
    <w:tblStylePr w:type="firstCol">
      <w:rPr>
        <w:b/>
        <w:color w:val="245A8D" w:themeColor="accent5" w:themeShade="95"/>
      </w:rPr>
    </w:tblStylePr>
    <w:tblStylePr w:type="lastCol">
      <w:rPr>
        <w:b/>
        <w:color w:val="245A8D"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45A8D" w:themeColor="accent5" w:themeShade="95"/>
        <w:sz w:val="22"/>
      </w:rPr>
      <w:tblPr/>
      <w:tcPr>
        <w:shd w:val="clear" w:color="E1EFD8" w:themeColor="accent6" w:themeTint="34" w:fill="E1EFD8" w:themeFill="accent6" w:themeFillTint="34"/>
      </w:tcPr>
    </w:tblStylePr>
    <w:tblStylePr w:type="band2Horz">
      <w:rPr>
        <w:rFonts w:ascii="Arial" w:hAnsi="Arial"/>
        <w:color w:val="245A8D" w:themeColor="accent5" w:themeShade="95"/>
        <w:sz w:val="22"/>
      </w:rPr>
    </w:tblStylePr>
  </w:style>
  <w:style w:type="table" w:styleId="-7">
    <w:name w:val="Grid Table 7 Colorful"/>
    <w:basedOn w:val="a1"/>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after="0" w:line="240" w:lineRule="auto"/>
    </w:pPr>
    <w:tblPr>
      <w:tblStyleRowBandSize w:val="1"/>
      <w:tblStyleColBandSize w:val="1"/>
      <w:tblBorders>
        <w:bottom w:val="single" w:sz="4" w:space="0" w:color="A0B7E1" w:themeColor="accent1" w:themeTint="80"/>
        <w:right w:val="single" w:sz="4" w:space="0" w:color="A0B7E1" w:themeColor="accent1" w:themeTint="80"/>
        <w:insideH w:val="single" w:sz="4" w:space="0" w:color="A0B7E1" w:themeColor="accent1" w:themeTint="80"/>
        <w:insideV w:val="single" w:sz="4" w:space="0" w:color="A0B7E1" w:themeColor="accent1" w:themeTint="80"/>
      </w:tblBorders>
    </w:tblPr>
    <w:tblStylePr w:type="firstRow">
      <w:rPr>
        <w:rFonts w:ascii="Arial" w:hAnsi="Arial"/>
        <w:b/>
        <w:color w:val="A0B7E1" w:themeColor="accent1" w:themeTint="80" w:themeShade="95"/>
        <w:sz w:val="22"/>
      </w:rPr>
      <w:tblPr/>
      <w:tcPr>
        <w:tcBorders>
          <w:top w:val="none" w:sz="4" w:space="0" w:color="000000"/>
          <w:left w:val="none" w:sz="4" w:space="0" w:color="000000"/>
          <w:bottom w:val="single" w:sz="4" w:space="0" w:color="A0B7E1" w:themeColor="accent1" w:themeTint="80"/>
          <w:right w:val="none" w:sz="4" w:space="0" w:color="000000"/>
        </w:tcBorders>
        <w:shd w:val="clear" w:color="FFFFFF" w:themeColor="light1" w:fill="FFFFFF" w:themeFill="light1"/>
      </w:tcPr>
    </w:tblStylePr>
    <w:tblStylePr w:type="lastRow">
      <w:rPr>
        <w:rFonts w:ascii="Arial" w:hAnsi="Arial"/>
        <w:b/>
        <w:color w:val="A0B7E1" w:themeColor="accent1" w:themeTint="80" w:themeShade="95"/>
        <w:sz w:val="22"/>
      </w:rPr>
      <w:tblPr/>
      <w:tcPr>
        <w:tcBorders>
          <w:top w:val="single" w:sz="4" w:space="0" w:color="A0B7E1"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0B7E1" w:themeColor="accent1" w:themeTint="80" w:themeShade="95"/>
        <w:sz w:val="22"/>
      </w:rPr>
      <w:tblPr/>
      <w:tcPr>
        <w:tcBorders>
          <w:top w:val="none" w:sz="4" w:space="0" w:color="000000"/>
          <w:left w:val="none" w:sz="4" w:space="0" w:color="000000"/>
          <w:bottom w:val="none" w:sz="4" w:space="0" w:color="000000"/>
          <w:right w:val="single" w:sz="4" w:space="0" w:color="A0B7E1" w:themeColor="accent1" w:themeTint="80"/>
        </w:tcBorders>
        <w:shd w:val="clear" w:color="FFFFFF" w:fill="auto"/>
      </w:tcPr>
    </w:tblStylePr>
    <w:tblStylePr w:type="lastCol">
      <w:rPr>
        <w:rFonts w:ascii="Arial" w:hAnsi="Arial"/>
        <w:i/>
        <w:color w:val="A0B7E1" w:themeColor="accent1" w:themeTint="80" w:themeShade="95"/>
        <w:sz w:val="22"/>
      </w:rPr>
      <w:tblPr/>
      <w:tcPr>
        <w:tcBorders>
          <w:top w:val="none" w:sz="4" w:space="0" w:color="000000"/>
          <w:left w:val="single" w:sz="4" w:space="0" w:color="A0B7E1" w:themeColor="accent1" w:themeTint="80"/>
          <w:bottom w:val="none" w:sz="4" w:space="0" w:color="000000"/>
          <w:right w:val="none" w:sz="4" w:space="0" w:color="000000"/>
        </w:tcBorders>
        <w:shd w:val="clear" w:color="FFFFFF" w:fill="auto"/>
      </w:tcPr>
    </w:tblStylePr>
    <w:tblStylePr w:type="band1Vert">
      <w:tblPr/>
      <w:tcPr>
        <w:shd w:val="clear" w:color="D8E2F3" w:themeColor="accent1" w:themeTint="34" w:fill="D8E2F3" w:themeFill="accent1" w:themeFillTint="34"/>
      </w:tcPr>
    </w:tblStylePr>
    <w:tblStylePr w:type="band1Horz">
      <w:rPr>
        <w:rFonts w:ascii="Arial" w:hAnsi="Arial"/>
        <w:color w:val="A0B7E1" w:themeColor="accent1" w:themeTint="80" w:themeShade="95"/>
        <w:sz w:val="22"/>
      </w:rPr>
      <w:tblPr/>
      <w:tcPr>
        <w:shd w:val="clear" w:color="D8E2F3" w:themeColor="accent1" w:themeTint="34" w:fill="D8E2F3" w:themeFill="accent1" w:themeFillTint="34"/>
      </w:tcPr>
    </w:tblStylePr>
    <w:tblStylePr w:type="band2Horz">
      <w:rPr>
        <w:rFonts w:ascii="Arial" w:hAnsi="Arial"/>
        <w:color w:val="A0B7E1" w:themeColor="accent1" w:themeTint="80" w:themeShade="95"/>
        <w:sz w:val="22"/>
      </w:rPr>
    </w:tblStylePr>
  </w:style>
  <w:style w:type="table" w:customStyle="1" w:styleId="GridTable7Colorful-Accent2">
    <w:name w:val="Grid Table 7 Colorful - Accent 2"/>
    <w:basedOn w:val="a1"/>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a1"/>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a1"/>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a1"/>
    <w:uiPriority w:val="99"/>
    <w:pPr>
      <w:spacing w:after="0" w:line="240" w:lineRule="auto"/>
    </w:pPr>
    <w:tblPr>
      <w:tblStyleRowBandSize w:val="1"/>
      <w:tblStyleColBandSize w:val="1"/>
      <w:tblBorders>
        <w:bottom w:val="single" w:sz="4" w:space="0" w:color="A2C6E7" w:themeColor="accent5" w:themeTint="90"/>
        <w:right w:val="single" w:sz="4" w:space="0" w:color="A2C6E7" w:themeColor="accent5" w:themeTint="90"/>
        <w:insideH w:val="single" w:sz="4" w:space="0" w:color="A2C6E7" w:themeColor="accent5" w:themeTint="90"/>
        <w:insideV w:val="single" w:sz="4" w:space="0" w:color="A2C6E7" w:themeColor="accent5" w:themeTint="90"/>
      </w:tblBorders>
    </w:tblPr>
    <w:tblStylePr w:type="firstRow">
      <w:rPr>
        <w:rFonts w:ascii="Arial" w:hAnsi="Arial"/>
        <w:b/>
        <w:color w:val="245A8D" w:themeColor="accent5" w:themeShade="95"/>
        <w:sz w:val="22"/>
      </w:rPr>
      <w:tblPr/>
      <w:tcPr>
        <w:tcBorders>
          <w:top w:val="none" w:sz="4" w:space="0" w:color="000000"/>
          <w:left w:val="none" w:sz="4" w:space="0" w:color="000000"/>
          <w:bottom w:val="single" w:sz="4" w:space="0" w:color="A2C6E7" w:themeColor="accent5" w:themeTint="90"/>
          <w:right w:val="none" w:sz="4" w:space="0" w:color="000000"/>
        </w:tcBorders>
        <w:shd w:val="clear" w:color="FFFFFF" w:themeColor="light1" w:fill="FFFFFF" w:themeFill="light1"/>
      </w:tcPr>
    </w:tblStylePr>
    <w:tblStylePr w:type="lastRow">
      <w:rPr>
        <w:rFonts w:ascii="Arial" w:hAnsi="Arial"/>
        <w:b/>
        <w:color w:val="245A8D" w:themeColor="accent5" w:themeShade="95"/>
        <w:sz w:val="22"/>
      </w:rPr>
      <w:tblPr/>
      <w:tcPr>
        <w:tcBorders>
          <w:top w:val="single" w:sz="4" w:space="0" w:color="A2C6E7"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5" w:themeShade="95"/>
        <w:sz w:val="22"/>
      </w:rPr>
      <w:tblPr/>
      <w:tcPr>
        <w:tcBorders>
          <w:top w:val="none" w:sz="4" w:space="0" w:color="000000"/>
          <w:left w:val="none" w:sz="4" w:space="0" w:color="000000"/>
          <w:bottom w:val="none" w:sz="4" w:space="0" w:color="000000"/>
          <w:right w:val="single" w:sz="4" w:space="0" w:color="A2C6E7" w:themeColor="accent5" w:themeTint="90"/>
        </w:tcBorders>
        <w:shd w:val="clear" w:color="FFFFFF" w:fill="auto"/>
      </w:tcPr>
    </w:tblStylePr>
    <w:tblStylePr w:type="lastCol">
      <w:rPr>
        <w:rFonts w:ascii="Arial" w:hAnsi="Arial"/>
        <w:i/>
        <w:color w:val="245A8D" w:themeColor="accent5" w:themeShade="95"/>
        <w:sz w:val="22"/>
      </w:rPr>
      <w:tblPr/>
      <w:tcPr>
        <w:tcBorders>
          <w:top w:val="none" w:sz="4" w:space="0" w:color="000000"/>
          <w:left w:val="single" w:sz="4" w:space="0" w:color="A2C6E7" w:themeColor="accent5" w:themeTint="90"/>
          <w:bottom w:val="none" w:sz="4" w:space="0" w:color="000000"/>
          <w:right w:val="none" w:sz="4" w:space="0" w:color="000000"/>
        </w:tcBorders>
        <w:shd w:val="clear" w:color="FFFFFF" w:fill="auto"/>
      </w:tcPr>
    </w:tblStylePr>
    <w:tblStylePr w:type="band1Vert">
      <w:tblPr/>
      <w:tcPr>
        <w:shd w:val="clear" w:color="DDEAF6" w:themeColor="accent5" w:themeTint="34" w:fill="DDEAF6" w:themeFill="accent5" w:themeFillTint="34"/>
      </w:tcPr>
    </w:tblStylePr>
    <w:tblStylePr w:type="band1Horz">
      <w:rPr>
        <w:rFonts w:ascii="Arial" w:hAnsi="Arial"/>
        <w:color w:val="245A8D" w:themeColor="accent5" w:themeShade="95"/>
        <w:sz w:val="22"/>
      </w:rPr>
      <w:tblPr/>
      <w:tcPr>
        <w:shd w:val="clear" w:color="DDEAF6" w:themeColor="accent5" w:themeTint="34" w:fill="DDEAF6" w:themeFill="accent5" w:themeFillTint="34"/>
      </w:tcPr>
    </w:tblStylePr>
    <w:tblStylePr w:type="band2Horz">
      <w:rPr>
        <w:rFonts w:ascii="Arial" w:hAnsi="Arial"/>
        <w:color w:val="245A8D" w:themeColor="accent5" w:themeShade="95"/>
        <w:sz w:val="22"/>
      </w:rPr>
    </w:tblStylePr>
  </w:style>
  <w:style w:type="table" w:customStyle="1" w:styleId="GridTable7Colorful-Accent6">
    <w:name w:val="Grid Table 7 Colorful - Accent 6"/>
    <w:basedOn w:val="a1"/>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10">
    <w:name w:val="List Table 1 Light"/>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1"/>
          <w:right w:val="none" w:sz="4" w:space="0" w:color="000000"/>
        </w:tcBorders>
      </w:tcPr>
    </w:tblStylePr>
    <w:tblStylePr w:type="lastRow">
      <w:rPr>
        <w:b/>
        <w:color w:val="404040"/>
      </w:rPr>
      <w:tblPr/>
      <w:tcPr>
        <w:tcBorders>
          <w:top w:val="single" w:sz="4" w:space="0" w:color="4472C4"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1" w:themeTint="40" w:fill="CFDBF0" w:themeFill="accent1" w:themeFillTint="40"/>
      </w:tcPr>
    </w:tblStylePr>
    <w:tblStylePr w:type="band1Horz">
      <w:tblPr/>
      <w:tcPr>
        <w:shd w:val="clear" w:color="CFDBF0" w:themeColor="accent1" w:themeTint="40" w:fill="CFDBF0" w:themeFill="accent1" w:themeFillTint="40"/>
      </w:tcPr>
    </w:tblStylePr>
  </w:style>
  <w:style w:type="table" w:customStyle="1" w:styleId="ListTable1Light-Accent2">
    <w:name w:val="List Table 1 Light - Accent 2"/>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5"/>
          <w:right w:val="none" w:sz="4" w:space="0" w:color="000000"/>
        </w:tcBorders>
      </w:tcPr>
    </w:tblStylePr>
    <w:tblStylePr w:type="lastRow">
      <w:rPr>
        <w:b/>
        <w:color w:val="404040"/>
      </w:rPr>
      <w:tblPr/>
      <w:tcPr>
        <w:tcBorders>
          <w:top w:val="single" w:sz="4" w:space="0" w:color="5B9BD5"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5" w:themeTint="40" w:fill="D5E5F4" w:themeFill="accent5" w:themeFillTint="40"/>
      </w:tcPr>
    </w:tblStylePr>
    <w:tblStylePr w:type="band1Horz">
      <w:tblPr/>
      <w:tcPr>
        <w:shd w:val="clear" w:color="D5E5F4" w:themeColor="accent5" w:themeTint="40" w:fill="D5E5F4" w:themeFill="accent5" w:themeFillTint="40"/>
      </w:tcPr>
    </w:tblStylePr>
  </w:style>
  <w:style w:type="table" w:customStyle="1" w:styleId="ListTable1Light-Accent6">
    <w:name w:val="List Table 1 Light - Accent 6"/>
    <w:basedOn w:val="a1"/>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20">
    <w:name w:val="List Table 2"/>
    <w:basedOn w:val="a1"/>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after="0" w:line="240" w:lineRule="auto"/>
    </w:pPr>
    <w:tblPr>
      <w:tblStyleRowBandSize w:val="1"/>
      <w:tblStyleColBandSize w:val="1"/>
      <w:tblBorders>
        <w:top w:val="single" w:sz="4" w:space="0" w:color="95AFDD" w:themeColor="accent1" w:themeTint="90"/>
        <w:bottom w:val="single" w:sz="4" w:space="0" w:color="95AFDD" w:themeColor="accent1" w:themeTint="90"/>
        <w:insideH w:val="single" w:sz="4" w:space="0" w:color="95AFDD" w:themeColor="accent1" w:themeTint="90"/>
      </w:tblBorders>
    </w:tblPr>
    <w:tblStylePr w:type="fir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lastRow">
      <w:rPr>
        <w:rFonts w:ascii="Arial" w:hAnsi="Arial"/>
        <w:b/>
        <w:color w:val="404040"/>
        <w:sz w:val="22"/>
      </w:rPr>
      <w:tblPr/>
      <w:tcPr>
        <w:tcBorders>
          <w:top w:val="single" w:sz="4" w:space="0" w:color="95AFDD" w:themeColor="accent1" w:themeTint="90"/>
          <w:left w:val="none" w:sz="4" w:space="0" w:color="000000"/>
          <w:bottom w:val="single" w:sz="4" w:space="0" w:color="95AFDD"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2-Accent2">
    <w:name w:val="List Table 2 - Accent 2"/>
    <w:basedOn w:val="a1"/>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a1"/>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a1"/>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a1"/>
    <w:uiPriority w:val="99"/>
    <w:pPr>
      <w:spacing w:after="0" w:line="240" w:lineRule="auto"/>
    </w:pPr>
    <w:tblPr>
      <w:tblStyleRowBandSize w:val="1"/>
      <w:tblStyleColBandSize w:val="1"/>
      <w:tblBorders>
        <w:top w:val="single" w:sz="4" w:space="0" w:color="A2C6E7" w:themeColor="accent5" w:themeTint="90"/>
        <w:bottom w:val="single" w:sz="4" w:space="0" w:color="A2C6E7" w:themeColor="accent5" w:themeTint="90"/>
        <w:insideH w:val="single" w:sz="4" w:space="0" w:color="A2C6E7" w:themeColor="accent5" w:themeTint="90"/>
      </w:tblBorders>
    </w:tblPr>
    <w:tblStylePr w:type="fir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lastRow">
      <w:rPr>
        <w:rFonts w:ascii="Arial" w:hAnsi="Arial"/>
        <w:b/>
        <w:color w:val="404040"/>
        <w:sz w:val="22"/>
      </w:rPr>
      <w:tblPr/>
      <w:tcPr>
        <w:tcBorders>
          <w:top w:val="single" w:sz="4" w:space="0" w:color="A2C6E7" w:themeColor="accent5" w:themeTint="90"/>
          <w:left w:val="none" w:sz="4" w:space="0" w:color="000000"/>
          <w:bottom w:val="single" w:sz="4" w:space="0" w:color="A2C6E7"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2-Accent6">
    <w:name w:val="List Table 2 - Accent 6"/>
    <w:basedOn w:val="a1"/>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30">
    <w:name w:val="List Table 3"/>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472C4" w:themeColor="accent1"/>
          <w:right w:val="single" w:sz="4" w:space="0" w:color="4472C4" w:themeColor="accent1"/>
        </w:tcBorders>
      </w:tcPr>
    </w:tblStylePr>
    <w:tblStylePr w:type="band1Horz">
      <w:rPr>
        <w:rFonts w:ascii="Arial" w:hAnsi="Arial"/>
        <w:color w:val="404040"/>
        <w:sz w:val="22"/>
      </w:rPr>
      <w:tblPr/>
      <w:tcPr>
        <w:tcBorders>
          <w:top w:val="single" w:sz="4" w:space="0" w:color="4472C4" w:themeColor="accent1"/>
          <w:bottom w:val="single" w:sz="4" w:space="0" w:color="4472C4" w:themeColor="accent1"/>
        </w:tcBorders>
      </w:tcPr>
    </w:tblStylePr>
  </w:style>
  <w:style w:type="table" w:customStyle="1" w:styleId="ListTable3-Accent2">
    <w:name w:val="List Table 3 - Accent 2"/>
    <w:basedOn w:val="a1"/>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a1"/>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a1"/>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a1"/>
    <w:uiPriority w:val="99"/>
    <w:pPr>
      <w:spacing w:after="0" w:line="240" w:lineRule="auto"/>
    </w:pPr>
    <w:tblPr>
      <w:tblStyleRowBandSize w:val="1"/>
      <w:tblStyleColBandSize w:val="1"/>
      <w:tblBorders>
        <w:top w:val="single" w:sz="4" w:space="0" w:color="9BC2E5" w:themeColor="accent5" w:themeTint="9A"/>
        <w:left w:val="single" w:sz="4" w:space="0" w:color="9BC2E5" w:themeColor="accent5" w:themeTint="9A"/>
        <w:bottom w:val="single" w:sz="4" w:space="0" w:color="9BC2E5" w:themeColor="accent5" w:themeTint="9A"/>
        <w:right w:val="single" w:sz="4" w:space="0" w:color="9BC2E5" w:themeColor="accent5" w:themeTint="9A"/>
      </w:tblBorders>
    </w:tblPr>
    <w:tblStylePr w:type="firstRow">
      <w:rPr>
        <w:rFonts w:ascii="Arial" w:hAnsi="Arial"/>
        <w:b/>
        <w:color w:val="FFFFFF"/>
        <w:sz w:val="22"/>
      </w:rPr>
      <w:tblPr/>
      <w:tcPr>
        <w:shd w:val="clear" w:color="9BC2E5" w:themeColor="accent5" w:themeTint="9A" w:fill="9BC2E5"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BC2E5" w:themeColor="accent5" w:themeTint="9A"/>
          <w:right w:val="single" w:sz="4" w:space="0" w:color="9BC2E5" w:themeColor="accent5" w:themeTint="9A"/>
        </w:tcBorders>
      </w:tcPr>
    </w:tblStylePr>
    <w:tblStylePr w:type="band1Horz">
      <w:rPr>
        <w:rFonts w:ascii="Arial" w:hAnsi="Arial"/>
        <w:color w:val="404040"/>
        <w:sz w:val="22"/>
      </w:rPr>
      <w:tblPr/>
      <w:tcPr>
        <w:tcBorders>
          <w:top w:val="single" w:sz="4" w:space="0" w:color="9BC2E5" w:themeColor="accent5" w:themeTint="9A"/>
          <w:bottom w:val="single" w:sz="4" w:space="0" w:color="9BC2E5" w:themeColor="accent5" w:themeTint="9A"/>
        </w:tcBorders>
      </w:tcPr>
    </w:tblStylePr>
  </w:style>
  <w:style w:type="table" w:customStyle="1" w:styleId="ListTable3-Accent6">
    <w:name w:val="List Table 3 - Accent 6"/>
    <w:basedOn w:val="a1"/>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40">
    <w:name w:val="List Table 4"/>
    <w:basedOn w:val="a1"/>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after="0" w:line="240" w:lineRule="auto"/>
    </w:pPr>
    <w:tblPr>
      <w:tblStyleRowBandSize w:val="1"/>
      <w:tblStyleColBandSize w:val="1"/>
      <w:tblBorders>
        <w:top w:val="single" w:sz="4" w:space="0" w:color="95AFDD" w:themeColor="accent1" w:themeTint="90"/>
        <w:left w:val="single" w:sz="4" w:space="0" w:color="95AFDD" w:themeColor="accent1" w:themeTint="90"/>
        <w:bottom w:val="single" w:sz="4" w:space="0" w:color="95AFDD" w:themeColor="accent1" w:themeTint="90"/>
        <w:right w:val="single" w:sz="4" w:space="0" w:color="95AFDD" w:themeColor="accent1" w:themeTint="90"/>
        <w:insideH w:val="single" w:sz="4" w:space="0" w:color="95AFDD" w:themeColor="accent1" w:themeTint="90"/>
      </w:tblBorders>
    </w:tblPr>
    <w:tblStylePr w:type="firstRow">
      <w:rPr>
        <w:rFonts w:ascii="Arial" w:hAnsi="Arial"/>
        <w:b/>
        <w:color w:val="FFFFFF"/>
        <w:sz w:val="22"/>
      </w:rPr>
      <w:tblPr/>
      <w:tcPr>
        <w:shd w:val="clear" w:color="4472C4" w:themeColor="accent1" w:fill="4472C4"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1" w:themeTint="40" w:fill="CFDBF0" w:themeFill="accent1" w:themeFillTint="40"/>
      </w:tcPr>
    </w:tblStylePr>
    <w:tblStylePr w:type="band1Horz">
      <w:rPr>
        <w:rFonts w:ascii="Arial" w:hAnsi="Arial"/>
        <w:color w:val="404040"/>
        <w:sz w:val="22"/>
      </w:rPr>
      <w:tblPr/>
      <w:tcPr>
        <w:shd w:val="clear" w:color="CFDBF0" w:themeColor="accent1" w:themeTint="40" w:fill="CFDBF0" w:themeFill="accent1" w:themeFillTint="40"/>
      </w:tcPr>
    </w:tblStylePr>
  </w:style>
  <w:style w:type="table" w:customStyle="1" w:styleId="ListTable4-Accent2">
    <w:name w:val="List Table 4 - Accent 2"/>
    <w:basedOn w:val="a1"/>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a1"/>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a1"/>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a1"/>
    <w:uiPriority w:val="99"/>
    <w:pPr>
      <w:spacing w:after="0" w:line="240" w:lineRule="auto"/>
    </w:pPr>
    <w:tblPr>
      <w:tblStyleRowBandSize w:val="1"/>
      <w:tblStyleColBandSize w:val="1"/>
      <w:tblBorders>
        <w:top w:val="single" w:sz="4" w:space="0" w:color="A2C6E7" w:themeColor="accent5" w:themeTint="90"/>
        <w:left w:val="single" w:sz="4" w:space="0" w:color="A2C6E7" w:themeColor="accent5" w:themeTint="90"/>
        <w:bottom w:val="single" w:sz="4" w:space="0" w:color="A2C6E7" w:themeColor="accent5" w:themeTint="90"/>
        <w:right w:val="single" w:sz="4" w:space="0" w:color="A2C6E7" w:themeColor="accent5" w:themeTint="90"/>
        <w:insideH w:val="single" w:sz="4" w:space="0" w:color="A2C6E7" w:themeColor="accent5" w:themeTint="90"/>
      </w:tblBorders>
    </w:tblPr>
    <w:tblStylePr w:type="firstRow">
      <w:rPr>
        <w:rFonts w:ascii="Arial" w:hAnsi="Arial"/>
        <w:b/>
        <w:color w:val="FFFFFF"/>
        <w:sz w:val="22"/>
      </w:rPr>
      <w:tblPr/>
      <w:tcPr>
        <w:shd w:val="clear" w:color="5B9BD5" w:themeColor="accent5" w:fill="5B9BD5"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5" w:themeTint="40" w:fill="D5E5F4" w:themeFill="accent5" w:themeFillTint="40"/>
      </w:tcPr>
    </w:tblStylePr>
    <w:tblStylePr w:type="band1Horz">
      <w:rPr>
        <w:rFonts w:ascii="Arial" w:hAnsi="Arial"/>
        <w:color w:val="404040"/>
        <w:sz w:val="22"/>
      </w:rPr>
      <w:tblPr/>
      <w:tcPr>
        <w:shd w:val="clear" w:color="D5E5F4" w:themeColor="accent5" w:themeTint="40" w:fill="D5E5F4" w:themeFill="accent5" w:themeFillTint="40"/>
      </w:tcPr>
    </w:tblStylePr>
  </w:style>
  <w:style w:type="table" w:customStyle="1" w:styleId="ListTable4-Accent6">
    <w:name w:val="List Table 4 - Accent 6"/>
    <w:basedOn w:val="a1"/>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50">
    <w:name w:val="List Table 5 Dark"/>
    <w:basedOn w:val="a1"/>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after="0" w:line="240" w:lineRule="auto"/>
    </w:pPr>
    <w:tblPr>
      <w:tblStyleRowBandSize w:val="1"/>
      <w:tblStyleColBandSize w:val="1"/>
      <w:tblBorders>
        <w:top w:val="single" w:sz="32" w:space="0" w:color="4472C4" w:themeColor="accent1"/>
        <w:left w:val="single" w:sz="32" w:space="0" w:color="4472C4" w:themeColor="accent1"/>
        <w:bottom w:val="single" w:sz="32" w:space="0" w:color="4472C4" w:themeColor="accent1"/>
        <w:right w:val="single" w:sz="32" w:space="0" w:color="4472C4" w:themeColor="accent1"/>
      </w:tblBorders>
      <w:shd w:val="clear" w:color="4472C4" w:themeColor="accent1" w:fill="4472C4" w:themeFill="accent1"/>
    </w:tblPr>
    <w:tblStylePr w:type="firstRow">
      <w:rPr>
        <w:rFonts w:ascii="Arial" w:hAnsi="Arial"/>
        <w:b/>
        <w:color w:val="FFFFFF" w:themeColor="light1"/>
        <w:sz w:val="22"/>
      </w:rPr>
      <w:tblPr/>
      <w:tcPr>
        <w:tcBorders>
          <w:top w:val="single" w:sz="32" w:space="0" w:color="4472C4" w:themeColor="accent1"/>
          <w:bottom w:val="single" w:sz="12" w:space="0" w:color="FFFFFF" w:themeColor="light1"/>
        </w:tcBorders>
        <w:shd w:val="clear" w:color="4472C4" w:themeColor="accent1" w:fill="4472C4"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472C4" w:themeColor="accent1"/>
          <w:right w:val="single" w:sz="4" w:space="0" w:color="FFFFFF" w:themeColor="light1"/>
        </w:tcBorders>
      </w:tcPr>
    </w:tblStylePr>
    <w:tblStylePr w:type="lastCol">
      <w:tblPr/>
      <w:tcPr>
        <w:tcBorders>
          <w:left w:val="single" w:sz="4" w:space="0" w:color="FFFFFF" w:themeColor="light1"/>
          <w:right w:val="single" w:sz="32" w:space="0" w:color="4472C4" w:themeColor="accent1"/>
        </w:tcBorders>
      </w:tcPr>
    </w:tblStylePr>
    <w:tblStylePr w:type="band1Vert">
      <w:tblPr/>
      <w:tcPr>
        <w:tcBorders>
          <w:left w:val="single" w:sz="4" w:space="0" w:color="FFFFFF" w:themeColor="light1"/>
          <w:right w:val="single" w:sz="4" w:space="0" w:color="FFFFFF" w:themeColor="light1"/>
        </w:tcBorders>
        <w:shd w:val="clear" w:color="4472C4" w:themeColor="accent1" w:fill="4472C4"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472C4" w:themeColor="accent1" w:fill="4472C4" w:themeFill="accent1"/>
      </w:tcPr>
    </w:tblStylePr>
    <w:tblStylePr w:type="band2Horz">
      <w:tblPr/>
      <w:tcPr>
        <w:tcBorders>
          <w:top w:val="single" w:sz="4" w:space="0" w:color="FFFFFF" w:themeColor="light1"/>
          <w:bottom w:val="single" w:sz="4" w:space="0" w:color="FFFFFF" w:themeColor="light1"/>
        </w:tcBorders>
        <w:shd w:val="clear" w:color="4472C4" w:themeColor="accent1" w:fill="4472C4" w:themeFill="accent1"/>
      </w:tcPr>
    </w:tblStylePr>
  </w:style>
  <w:style w:type="table" w:customStyle="1" w:styleId="ListTable5Dark-Accent2">
    <w:name w:val="List Table 5 Dark - Accent 2"/>
    <w:basedOn w:val="a1"/>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a1"/>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a1"/>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a1"/>
    <w:uiPriority w:val="99"/>
    <w:pPr>
      <w:spacing w:after="0" w:line="240" w:lineRule="auto"/>
    </w:pPr>
    <w:tblPr>
      <w:tblStyleRowBandSize w:val="1"/>
      <w:tblStyleColBandSize w:val="1"/>
      <w:tblBorders>
        <w:top w:val="single" w:sz="32" w:space="0" w:color="9BC2E5" w:themeColor="accent5" w:themeTint="9A"/>
        <w:left w:val="single" w:sz="32" w:space="0" w:color="9BC2E5" w:themeColor="accent5" w:themeTint="9A"/>
        <w:bottom w:val="single" w:sz="32" w:space="0" w:color="9BC2E5" w:themeColor="accent5" w:themeTint="9A"/>
        <w:right w:val="single" w:sz="32" w:space="0" w:color="9BC2E5" w:themeColor="accent5" w:themeTint="9A"/>
      </w:tblBorders>
      <w:shd w:val="clear" w:color="9BC2E5" w:themeColor="accent5" w:themeTint="9A" w:fill="9BC2E5" w:themeFill="accent5" w:themeFillTint="9A"/>
    </w:tblPr>
    <w:tblStylePr w:type="firstRow">
      <w:rPr>
        <w:rFonts w:ascii="Arial" w:hAnsi="Arial"/>
        <w:b/>
        <w:color w:val="FFFFFF" w:themeColor="light1"/>
        <w:sz w:val="22"/>
      </w:rPr>
      <w:tblPr/>
      <w:tcPr>
        <w:tcBorders>
          <w:top w:val="single" w:sz="32" w:space="0" w:color="9BC2E5" w:themeColor="accent5" w:themeTint="9A"/>
          <w:bottom w:val="single" w:sz="12" w:space="0" w:color="FFFFFF" w:themeColor="light1"/>
        </w:tcBorders>
        <w:shd w:val="clear" w:color="9BC2E5" w:themeColor="accent5" w:themeTint="9A" w:fill="9BC2E5"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BC2E5" w:themeColor="accent5" w:themeTint="9A"/>
          <w:right w:val="single" w:sz="4" w:space="0" w:color="FFFFFF" w:themeColor="light1"/>
        </w:tcBorders>
      </w:tcPr>
    </w:tblStylePr>
    <w:tblStylePr w:type="lastCol">
      <w:tblPr/>
      <w:tcPr>
        <w:tcBorders>
          <w:left w:val="single" w:sz="4" w:space="0" w:color="FFFFFF" w:themeColor="light1"/>
          <w:right w:val="single" w:sz="32" w:space="0" w:color="9BC2E5" w:themeColor="accent5" w:themeTint="9A"/>
        </w:tcBorders>
      </w:tcPr>
    </w:tblStylePr>
    <w:tblStylePr w:type="band1Vert">
      <w:tblPr/>
      <w:tcPr>
        <w:tcBorders>
          <w:left w:val="single" w:sz="4" w:space="0" w:color="FFFFFF" w:themeColor="light1"/>
          <w:right w:val="single" w:sz="4" w:space="0" w:color="FFFFFF" w:themeColor="light1"/>
        </w:tcBorders>
        <w:shd w:val="clear" w:color="9BC2E5" w:themeColor="accent5" w:themeTint="9A" w:fill="9BC2E5"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tblStylePr w:type="band2Horz">
      <w:tblPr/>
      <w:tcPr>
        <w:tcBorders>
          <w:top w:val="single" w:sz="4" w:space="0" w:color="FFFFFF" w:themeColor="light1"/>
          <w:bottom w:val="single" w:sz="4" w:space="0" w:color="FFFFFF" w:themeColor="light1"/>
        </w:tcBorders>
        <w:shd w:val="clear" w:color="9BC2E5" w:themeColor="accent5" w:themeTint="9A" w:fill="9BC2E5" w:themeFill="accent5" w:themeFillTint="9A"/>
      </w:tcPr>
    </w:tblStylePr>
  </w:style>
  <w:style w:type="table" w:customStyle="1" w:styleId="ListTable5Dark-Accent6">
    <w:name w:val="List Table 5 Dark - Accent 6"/>
    <w:basedOn w:val="a1"/>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60">
    <w:name w:val="List Table 6 Colorful"/>
    <w:basedOn w:val="a1"/>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after="0" w:line="240" w:lineRule="auto"/>
    </w:pPr>
    <w:tblPr>
      <w:tblStyleRowBandSize w:val="1"/>
      <w:tblStyleColBandSize w:val="1"/>
      <w:tblBorders>
        <w:top w:val="single" w:sz="4" w:space="0" w:color="4472C4" w:themeColor="accent1"/>
        <w:bottom w:val="single" w:sz="4" w:space="0" w:color="4472C4" w:themeColor="accent1"/>
      </w:tblBorders>
    </w:tblPr>
    <w:tblStylePr w:type="firstRow">
      <w:rPr>
        <w:b/>
        <w:color w:val="254175" w:themeColor="accent1" w:themeShade="95"/>
      </w:rPr>
      <w:tblPr/>
      <w:tcPr>
        <w:tcBorders>
          <w:bottom w:val="single" w:sz="4" w:space="0" w:color="4472C4" w:themeColor="accent1"/>
        </w:tcBorders>
      </w:tcPr>
    </w:tblStylePr>
    <w:tblStylePr w:type="lastRow">
      <w:rPr>
        <w:b/>
        <w:color w:val="254175" w:themeColor="accent1" w:themeShade="95"/>
      </w:rPr>
      <w:tblPr/>
      <w:tcPr>
        <w:tcBorders>
          <w:top w:val="single" w:sz="4" w:space="0" w:color="4472C4" w:themeColor="accent1"/>
        </w:tcBorders>
      </w:tcPr>
    </w:tblStylePr>
    <w:tblStylePr w:type="firstCol">
      <w:rPr>
        <w:b/>
        <w:color w:val="254175" w:themeColor="accent1" w:themeShade="95"/>
      </w:rPr>
    </w:tblStylePr>
    <w:tblStylePr w:type="lastCol">
      <w:rPr>
        <w:b/>
        <w:color w:val="254175" w:themeColor="accent1" w:themeShade="95"/>
      </w:r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6Colorful-Accent2">
    <w:name w:val="List Table 6 Colorful - Accent 2"/>
    <w:basedOn w:val="a1"/>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a1"/>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a1"/>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a1"/>
    <w:uiPriority w:val="99"/>
    <w:pPr>
      <w:spacing w:after="0" w:line="240" w:lineRule="auto"/>
    </w:pPr>
    <w:tblPr>
      <w:tblStyleRowBandSize w:val="1"/>
      <w:tblStyleColBandSize w:val="1"/>
      <w:tblBorders>
        <w:top w:val="single" w:sz="4" w:space="0" w:color="9BC2E5" w:themeColor="accent5" w:themeTint="9A"/>
        <w:bottom w:val="single" w:sz="4" w:space="0" w:color="9BC2E5" w:themeColor="accent5" w:themeTint="9A"/>
      </w:tblBorders>
    </w:tblPr>
    <w:tblStylePr w:type="firstRow">
      <w:rPr>
        <w:b/>
        <w:color w:val="9BC2E5" w:themeColor="accent5" w:themeTint="9A" w:themeShade="95"/>
      </w:rPr>
      <w:tblPr/>
      <w:tcPr>
        <w:tcBorders>
          <w:bottom w:val="single" w:sz="4" w:space="0" w:color="9BC2E5" w:themeColor="accent5" w:themeTint="9A"/>
        </w:tcBorders>
      </w:tcPr>
    </w:tblStylePr>
    <w:tblStylePr w:type="lastRow">
      <w:rPr>
        <w:b/>
        <w:color w:val="9BC2E5" w:themeColor="accent5" w:themeTint="9A" w:themeShade="95"/>
      </w:rPr>
      <w:tblPr/>
      <w:tcPr>
        <w:tcBorders>
          <w:top w:val="single" w:sz="4" w:space="0" w:color="9BC2E5" w:themeColor="accent5" w:themeTint="9A"/>
        </w:tcBorders>
      </w:tcPr>
    </w:tblStylePr>
    <w:tblStylePr w:type="firstCol">
      <w:rPr>
        <w:b/>
        <w:color w:val="9BC2E5" w:themeColor="accent5" w:themeTint="9A" w:themeShade="95"/>
      </w:rPr>
    </w:tblStylePr>
    <w:tblStylePr w:type="lastCol">
      <w:rPr>
        <w:b/>
        <w:color w:val="9BC2E5" w:themeColor="accent5" w:themeTint="9A" w:themeShade="95"/>
      </w:r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6Colorful-Accent6">
    <w:name w:val="List Table 6 Colorful - Accent 6"/>
    <w:basedOn w:val="a1"/>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70">
    <w:name w:val="List Table 7 Colorful"/>
    <w:basedOn w:val="a1"/>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after="0" w:line="240" w:lineRule="auto"/>
    </w:pPr>
    <w:tblPr>
      <w:tblStyleRowBandSize w:val="1"/>
      <w:tblStyleColBandSize w:val="1"/>
      <w:tblBorders>
        <w:right w:val="single" w:sz="4" w:space="0" w:color="4472C4" w:themeColor="accent1"/>
      </w:tblBorders>
    </w:tblPr>
    <w:tblStylePr w:type="firstRow">
      <w:rPr>
        <w:rFonts w:ascii="Arial" w:hAnsi="Arial"/>
        <w:i/>
        <w:color w:val="254175" w:themeColor="accent1" w:themeShade="95"/>
        <w:sz w:val="22"/>
      </w:rPr>
      <w:tblPr/>
      <w:tcPr>
        <w:tcBorders>
          <w:top w:val="none" w:sz="4" w:space="0" w:color="000000"/>
          <w:left w:val="none" w:sz="4" w:space="0" w:color="000000"/>
          <w:bottom w:val="single" w:sz="4" w:space="0" w:color="4472C4" w:themeColor="accent1"/>
          <w:right w:val="none" w:sz="4" w:space="0" w:color="000000"/>
        </w:tcBorders>
        <w:shd w:val="clear" w:color="FFFFFF" w:themeColor="light1" w:fill="FFFFFF" w:themeFill="light1"/>
      </w:tcPr>
    </w:tblStylePr>
    <w:tblStylePr w:type="lastRow">
      <w:rPr>
        <w:rFonts w:ascii="Arial" w:hAnsi="Arial"/>
        <w:i/>
        <w:color w:val="254175" w:themeColor="accent1" w:themeShade="95"/>
        <w:sz w:val="22"/>
      </w:rPr>
      <w:tblPr/>
      <w:tcPr>
        <w:tcBorders>
          <w:top w:val="single" w:sz="4" w:space="0" w:color="4472C4"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1" w:themeShade="95"/>
        <w:sz w:val="22"/>
      </w:rPr>
      <w:tblPr/>
      <w:tcPr>
        <w:tcBorders>
          <w:top w:val="none" w:sz="4" w:space="0" w:color="000000"/>
          <w:left w:val="none" w:sz="4" w:space="0" w:color="000000"/>
          <w:bottom w:val="none" w:sz="4" w:space="0" w:color="000000"/>
          <w:right w:val="single" w:sz="4" w:space="0" w:color="4472C4" w:themeColor="accent1"/>
        </w:tcBorders>
        <w:shd w:val="clear" w:color="FFFFFF" w:fill="auto"/>
      </w:tcPr>
    </w:tblStylePr>
    <w:tblStylePr w:type="lastCol">
      <w:rPr>
        <w:rFonts w:ascii="Arial" w:hAnsi="Arial"/>
        <w:i/>
        <w:color w:val="254175" w:themeColor="accent1" w:themeShade="95"/>
        <w:sz w:val="22"/>
      </w:rPr>
      <w:tblPr/>
      <w:tcPr>
        <w:tcBorders>
          <w:top w:val="none" w:sz="4" w:space="0" w:color="000000"/>
          <w:left w:val="single" w:sz="4" w:space="0" w:color="4472C4" w:themeColor="accent1"/>
          <w:bottom w:val="none" w:sz="4" w:space="0" w:color="000000"/>
          <w:right w:val="none" w:sz="4" w:space="0" w:color="000000"/>
        </w:tcBorders>
        <w:shd w:val="clear" w:color="FFFFFF" w:fill="auto"/>
      </w:tcPr>
    </w:tblStylePr>
    <w:tblStylePr w:type="band1Vert">
      <w:tblPr/>
      <w:tcPr>
        <w:shd w:val="clear" w:color="CFDBF0" w:themeColor="accent1" w:themeTint="40" w:fill="CFDBF0" w:themeFill="accent1" w:themeFillTint="40"/>
      </w:tcPr>
    </w:tblStylePr>
    <w:tblStylePr w:type="band1Horz">
      <w:rPr>
        <w:rFonts w:ascii="Arial" w:hAnsi="Arial"/>
        <w:color w:val="254175" w:themeColor="accent1" w:themeShade="95"/>
        <w:sz w:val="22"/>
      </w:rPr>
      <w:tblPr/>
      <w:tcPr>
        <w:shd w:val="clear" w:color="CFDBF0" w:themeColor="accent1" w:themeTint="40" w:fill="CFDBF0" w:themeFill="accent1" w:themeFillTint="40"/>
      </w:tcPr>
    </w:tblStylePr>
    <w:tblStylePr w:type="band2Horz">
      <w:rPr>
        <w:rFonts w:ascii="Arial" w:hAnsi="Arial"/>
        <w:color w:val="254175" w:themeColor="accent1" w:themeShade="95"/>
        <w:sz w:val="22"/>
      </w:rPr>
    </w:tblStylePr>
  </w:style>
  <w:style w:type="table" w:customStyle="1" w:styleId="ListTable7Colorful-Accent2">
    <w:name w:val="List Table 7 Colorful - Accent 2"/>
    <w:basedOn w:val="a1"/>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a1"/>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a1"/>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a1"/>
    <w:uiPriority w:val="99"/>
    <w:pPr>
      <w:spacing w:after="0" w:line="240" w:lineRule="auto"/>
    </w:pPr>
    <w:tblPr>
      <w:tblStyleRowBandSize w:val="1"/>
      <w:tblStyleColBandSize w:val="1"/>
      <w:tblBorders>
        <w:right w:val="single" w:sz="4" w:space="0" w:color="9BC2E5" w:themeColor="accent5" w:themeTint="9A"/>
      </w:tblBorders>
    </w:tblPr>
    <w:tblStylePr w:type="firstRow">
      <w:rPr>
        <w:rFonts w:ascii="Arial" w:hAnsi="Arial"/>
        <w:i/>
        <w:color w:val="9BC2E5" w:themeColor="accent5" w:themeTint="9A" w:themeShade="95"/>
        <w:sz w:val="22"/>
      </w:rPr>
      <w:tblPr/>
      <w:tcPr>
        <w:tcBorders>
          <w:top w:val="none" w:sz="4" w:space="0" w:color="000000"/>
          <w:left w:val="none" w:sz="4" w:space="0" w:color="000000"/>
          <w:bottom w:val="single" w:sz="4" w:space="0" w:color="9BC2E5" w:themeColor="accent5" w:themeTint="9A"/>
          <w:right w:val="none" w:sz="4" w:space="0" w:color="000000"/>
        </w:tcBorders>
        <w:shd w:val="clear" w:color="FFFFFF" w:themeColor="light1" w:fill="FFFFFF" w:themeFill="light1"/>
      </w:tcPr>
    </w:tblStylePr>
    <w:tblStylePr w:type="lastRow">
      <w:rPr>
        <w:rFonts w:ascii="Arial" w:hAnsi="Arial"/>
        <w:i/>
        <w:color w:val="9BC2E5" w:themeColor="accent5" w:themeTint="9A" w:themeShade="95"/>
        <w:sz w:val="22"/>
      </w:rPr>
      <w:tblPr/>
      <w:tcPr>
        <w:tcBorders>
          <w:top w:val="single" w:sz="4" w:space="0" w:color="9BC2E5"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BC2E5" w:themeColor="accent5" w:themeTint="9A" w:themeShade="95"/>
        <w:sz w:val="22"/>
      </w:rPr>
      <w:tblPr/>
      <w:tcPr>
        <w:tcBorders>
          <w:top w:val="none" w:sz="4" w:space="0" w:color="000000"/>
          <w:left w:val="none" w:sz="4" w:space="0" w:color="000000"/>
          <w:bottom w:val="none" w:sz="4" w:space="0" w:color="000000"/>
          <w:right w:val="single" w:sz="4" w:space="0" w:color="9BC2E5" w:themeColor="accent5" w:themeTint="9A"/>
        </w:tcBorders>
        <w:shd w:val="clear" w:color="FFFFFF" w:fill="auto"/>
      </w:tcPr>
    </w:tblStylePr>
    <w:tblStylePr w:type="lastCol">
      <w:rPr>
        <w:rFonts w:ascii="Arial" w:hAnsi="Arial"/>
        <w:i/>
        <w:color w:val="9BC2E5" w:themeColor="accent5" w:themeTint="9A" w:themeShade="95"/>
        <w:sz w:val="22"/>
      </w:rPr>
      <w:tblPr/>
      <w:tcPr>
        <w:tcBorders>
          <w:top w:val="none" w:sz="4" w:space="0" w:color="000000"/>
          <w:left w:val="single" w:sz="4" w:space="0" w:color="9BC2E5" w:themeColor="accent5" w:themeTint="9A"/>
          <w:bottom w:val="none" w:sz="4" w:space="0" w:color="000000"/>
          <w:right w:val="none" w:sz="4" w:space="0" w:color="000000"/>
        </w:tcBorders>
        <w:shd w:val="clear" w:color="FFFFFF" w:fill="auto"/>
      </w:tcPr>
    </w:tblStylePr>
    <w:tblStylePr w:type="band1Vert">
      <w:tblPr/>
      <w:tcPr>
        <w:shd w:val="clear" w:color="D5E5F4" w:themeColor="accent5" w:themeTint="40" w:fill="D5E5F4" w:themeFill="accent5" w:themeFillTint="40"/>
      </w:tcPr>
    </w:tblStylePr>
    <w:tblStylePr w:type="band1Horz">
      <w:rPr>
        <w:rFonts w:ascii="Arial" w:hAnsi="Arial"/>
        <w:color w:val="9BC2E5" w:themeColor="accent5" w:themeTint="9A" w:themeShade="95"/>
        <w:sz w:val="22"/>
      </w:rPr>
      <w:tblPr/>
      <w:tcPr>
        <w:shd w:val="clear" w:color="D5E5F4" w:themeColor="accent5" w:themeTint="40" w:fill="D5E5F4" w:themeFill="accent5" w:themeFillTint="40"/>
      </w:tcPr>
    </w:tblStylePr>
    <w:tblStylePr w:type="band2Horz">
      <w:rPr>
        <w:rFonts w:ascii="Arial" w:hAnsi="Arial"/>
        <w:color w:val="9BC2E5" w:themeColor="accent5" w:themeTint="9A" w:themeShade="95"/>
        <w:sz w:val="22"/>
      </w:rPr>
    </w:tblStylePr>
  </w:style>
  <w:style w:type="table" w:customStyle="1" w:styleId="ListTable7Colorful-Accent6">
    <w:name w:val="List Table 7 Colorful - Accent 6"/>
    <w:basedOn w:val="a1"/>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Lined-Accent2">
    <w:name w:val="Lined - Accent 2"/>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Lined-Accent6">
    <w:name w:val="Lined - Accent 6"/>
    <w:basedOn w:val="a1"/>
    <w:uiPriority w:val="99"/>
    <w:pPr>
      <w:spacing w:after="0" w:line="240" w:lineRule="auto"/>
    </w:pPr>
    <w:rPr>
      <w:color w:val="404040"/>
      <w:sz w:val="20"/>
      <w:szCs w:val="20"/>
      <w:lang w:eastAsia="ru-RU"/>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a1"/>
    <w:uiPriority w:val="99"/>
    <w:pPr>
      <w:spacing w:after="0" w:line="240" w:lineRule="auto"/>
    </w:pPr>
    <w:rPr>
      <w:color w:val="404040"/>
      <w:sz w:val="20"/>
      <w:szCs w:val="20"/>
      <w:lang w:eastAsia="ru-RU"/>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after="0" w:line="240" w:lineRule="auto"/>
    </w:pPr>
    <w:rPr>
      <w:color w:val="404040"/>
      <w:sz w:val="20"/>
      <w:szCs w:val="20"/>
      <w:lang w:eastAsia="ru-RU"/>
    </w:rPr>
    <w:tblPr>
      <w:tblStyleRowBandSize w:val="1"/>
      <w:tblStyleColBandSize w:val="1"/>
      <w:tblBorders>
        <w:top w:val="single" w:sz="4" w:space="0" w:color="254175" w:themeColor="accent1" w:themeShade="95"/>
        <w:left w:val="single" w:sz="4" w:space="0" w:color="254175" w:themeColor="accent1" w:themeShade="95"/>
        <w:bottom w:val="single" w:sz="4" w:space="0" w:color="254175" w:themeColor="accent1" w:themeShade="95"/>
        <w:right w:val="single" w:sz="4" w:space="0" w:color="254175" w:themeColor="accent1" w:themeShade="95"/>
        <w:insideH w:val="single" w:sz="4" w:space="0" w:color="254175" w:themeColor="accent1" w:themeShade="95"/>
        <w:insideV w:val="single" w:sz="4" w:space="0" w:color="254175" w:themeColor="accent1" w:themeShade="95"/>
      </w:tblBorders>
    </w:tblPr>
    <w:tblStylePr w:type="firstRow">
      <w:rPr>
        <w:rFonts w:ascii="Arial" w:hAnsi="Arial"/>
        <w:color w:val="F2F2F2"/>
        <w:sz w:val="22"/>
      </w:rPr>
      <w:tblPr/>
      <w:tcPr>
        <w:shd w:val="clear" w:color="537DC8" w:themeColor="accent1" w:themeTint="EA" w:fill="537DC8" w:themeFill="accent1" w:themeFillTint="EA"/>
      </w:tcPr>
    </w:tblStylePr>
    <w:tblStylePr w:type="lastRow">
      <w:rPr>
        <w:rFonts w:ascii="Arial" w:hAnsi="Arial"/>
        <w:color w:val="F2F2F2"/>
        <w:sz w:val="22"/>
      </w:rPr>
      <w:tblPr/>
      <w:tcPr>
        <w:shd w:val="clear" w:color="537DC8" w:themeColor="accent1" w:themeTint="EA" w:fill="537DC8" w:themeFill="accent1" w:themeFillTint="EA"/>
      </w:tcPr>
    </w:tblStylePr>
    <w:tblStylePr w:type="firstCol">
      <w:rPr>
        <w:rFonts w:ascii="Arial" w:hAnsi="Arial"/>
        <w:color w:val="F2F2F2"/>
        <w:sz w:val="22"/>
      </w:rPr>
      <w:tblPr/>
      <w:tcPr>
        <w:shd w:val="clear" w:color="537DC8" w:themeColor="accent1" w:themeTint="EA" w:fill="537DC8" w:themeFill="accent1" w:themeFillTint="EA"/>
      </w:tcPr>
    </w:tblStylePr>
    <w:tblStylePr w:type="lastCol">
      <w:rPr>
        <w:rFonts w:ascii="Arial" w:hAnsi="Arial"/>
        <w:color w:val="F2F2F2"/>
        <w:sz w:val="22"/>
      </w:rPr>
      <w:tblPr/>
      <w:tcPr>
        <w:shd w:val="clear" w:color="537DC8" w:themeColor="accent1" w:themeTint="EA" w:fill="537DC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4D2EC" w:themeColor="accent1" w:themeTint="50" w:fill="C4D2EC"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4D2EC" w:themeColor="accent1" w:themeTint="50" w:fill="C4D2EC" w:themeFill="accent1" w:themeFillTint="50"/>
      </w:tcPr>
    </w:tblStylePr>
  </w:style>
  <w:style w:type="table" w:customStyle="1" w:styleId="BorderedLined-Accent2">
    <w:name w:val="Bordered &amp; Lined - Accent 2"/>
    <w:basedOn w:val="a1"/>
    <w:uiPriority w:val="99"/>
    <w:pPr>
      <w:spacing w:after="0" w:line="240" w:lineRule="auto"/>
    </w:pPr>
    <w:rPr>
      <w:color w:val="404040"/>
      <w:sz w:val="20"/>
      <w:szCs w:val="20"/>
      <w:lang w:eastAsia="ru-RU"/>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a1"/>
    <w:uiPriority w:val="99"/>
    <w:pPr>
      <w:spacing w:after="0" w:line="240" w:lineRule="auto"/>
    </w:pPr>
    <w:rPr>
      <w:color w:val="404040"/>
      <w:sz w:val="20"/>
      <w:szCs w:val="20"/>
      <w:lang w:eastAsia="ru-RU"/>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a1"/>
    <w:uiPriority w:val="99"/>
    <w:pPr>
      <w:spacing w:after="0" w:line="240" w:lineRule="auto"/>
    </w:pPr>
    <w:rPr>
      <w:color w:val="404040"/>
      <w:sz w:val="20"/>
      <w:szCs w:val="20"/>
      <w:lang w:eastAsia="ru-RU"/>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a1"/>
    <w:uiPriority w:val="99"/>
    <w:pPr>
      <w:spacing w:after="0" w:line="240" w:lineRule="auto"/>
    </w:pPr>
    <w:rPr>
      <w:color w:val="404040"/>
      <w:sz w:val="20"/>
      <w:szCs w:val="20"/>
      <w:lang w:eastAsia="ru-RU"/>
    </w:rPr>
    <w:tblPr>
      <w:tblStyleRowBandSize w:val="1"/>
      <w:tblStyleColBandSize w:val="1"/>
      <w:tblBorders>
        <w:top w:val="single" w:sz="4" w:space="0" w:color="245A8D" w:themeColor="accent5" w:themeShade="95"/>
        <w:left w:val="single" w:sz="4" w:space="0" w:color="245A8D" w:themeColor="accent5" w:themeShade="95"/>
        <w:bottom w:val="single" w:sz="4" w:space="0" w:color="245A8D" w:themeColor="accent5" w:themeShade="95"/>
        <w:right w:val="single" w:sz="4" w:space="0" w:color="245A8D" w:themeColor="accent5" w:themeShade="95"/>
        <w:insideH w:val="single" w:sz="4" w:space="0" w:color="245A8D" w:themeColor="accent5" w:themeShade="95"/>
        <w:insideV w:val="single" w:sz="4" w:space="0" w:color="245A8D" w:themeColor="accent5" w:themeShade="95"/>
      </w:tblBorders>
    </w:tblPr>
    <w:tblStylePr w:type="firstRow">
      <w:rPr>
        <w:rFonts w:ascii="Arial" w:hAnsi="Arial"/>
        <w:color w:val="F2F2F2"/>
        <w:sz w:val="22"/>
      </w:rPr>
      <w:tblPr/>
      <w:tcPr>
        <w:shd w:val="clear" w:color="5B9BD5" w:themeColor="accent5" w:fill="5B9BD5" w:themeFill="accent5"/>
      </w:tcPr>
    </w:tblStylePr>
    <w:tblStylePr w:type="lastRow">
      <w:rPr>
        <w:rFonts w:ascii="Arial" w:hAnsi="Arial"/>
        <w:color w:val="F2F2F2"/>
        <w:sz w:val="22"/>
      </w:rPr>
      <w:tblPr/>
      <w:tcPr>
        <w:shd w:val="clear" w:color="5B9BD5" w:themeColor="accent5" w:fill="5B9BD5" w:themeFill="accent5"/>
      </w:tcPr>
    </w:tblStylePr>
    <w:tblStylePr w:type="firstCol">
      <w:rPr>
        <w:rFonts w:ascii="Arial" w:hAnsi="Arial"/>
        <w:color w:val="F2F2F2"/>
        <w:sz w:val="22"/>
      </w:rPr>
      <w:tblPr/>
      <w:tcPr>
        <w:shd w:val="clear" w:color="5B9BD5" w:themeColor="accent5" w:fill="5B9BD5" w:themeFill="accent5"/>
      </w:tcPr>
    </w:tblStylePr>
    <w:tblStylePr w:type="lastCol">
      <w:rPr>
        <w:rFonts w:ascii="Arial" w:hAnsi="Arial"/>
        <w:color w:val="F2F2F2"/>
        <w:sz w:val="22"/>
      </w:rPr>
      <w:tblPr/>
      <w:tcPr>
        <w:shd w:val="clear" w:color="5B9BD5" w:themeColor="accent5" w:fill="5B9BD5"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DEAF6" w:themeColor="accent5" w:themeTint="34" w:fill="DDEAF6"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DEAF6" w:themeColor="accent5" w:themeTint="34" w:fill="DDEAF6" w:themeFill="accent5" w:themeFillTint="34"/>
      </w:tcPr>
    </w:tblStylePr>
  </w:style>
  <w:style w:type="table" w:customStyle="1" w:styleId="BorderedLined-Accent6">
    <w:name w:val="Bordered &amp; Lined - Accent 6"/>
    <w:basedOn w:val="a1"/>
    <w:uiPriority w:val="99"/>
    <w:pPr>
      <w:spacing w:after="0" w:line="240" w:lineRule="auto"/>
    </w:pPr>
    <w:rPr>
      <w:color w:val="404040"/>
      <w:sz w:val="20"/>
      <w:szCs w:val="20"/>
      <w:lang w:eastAsia="ru-RU"/>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a1"/>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after="0" w:line="240" w:lineRule="auto"/>
    </w:pPr>
    <w:tblPr>
      <w:tblStyleRowBandSize w:val="1"/>
      <w:tblStyleColBandSize w:val="1"/>
      <w:tbl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insideH w:val="single" w:sz="4" w:space="0" w:color="B3C5E7" w:themeColor="accent1" w:themeTint="67"/>
        <w:insideV w:val="single" w:sz="4" w:space="0" w:color="B3C5E7" w:themeColor="accent1" w:themeTint="67"/>
      </w:tblBorders>
    </w:tblPr>
    <w:tblStylePr w:type="firstRow">
      <w:rPr>
        <w:rFonts w:ascii="Arial" w:hAnsi="Arial"/>
        <w:color w:val="404040"/>
        <w:sz w:val="22"/>
      </w:rPr>
      <w:tblPr/>
      <w:tcPr>
        <w:tcBorders>
          <w:bottom w:val="single" w:sz="12" w:space="0" w:color="4472C4" w:themeColor="accent1"/>
        </w:tcBorders>
      </w:tcPr>
    </w:tblStylePr>
    <w:tblStylePr w:type="lastRow">
      <w:rPr>
        <w:rFonts w:ascii="Arial" w:hAnsi="Arial"/>
        <w:color w:val="404040"/>
        <w:sz w:val="22"/>
      </w:rPr>
      <w:tblPr/>
      <w:tcPr>
        <w:tcBorders>
          <w:top w:val="single" w:sz="12" w:space="0" w:color="4472C4"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472C4" w:themeColor="accent1"/>
        </w:tcBorders>
      </w:tcPr>
    </w:tblStylePr>
    <w:tblStylePr w:type="band1Horz">
      <w:rPr>
        <w:rFonts w:ascii="Arial" w:hAnsi="Arial"/>
        <w:color w:val="404040"/>
        <w:sz w:val="22"/>
      </w:rPr>
      <w:tblPr/>
      <w:tcPr>
        <w:tcBorders>
          <w:top w:val="single" w:sz="4" w:space="0" w:color="B3C5E7" w:themeColor="accent1" w:themeTint="67"/>
          <w:left w:val="single" w:sz="4" w:space="0" w:color="B3C5E7" w:themeColor="accent1" w:themeTint="67"/>
          <w:bottom w:val="single" w:sz="4" w:space="0" w:color="B3C5E7" w:themeColor="accent1" w:themeTint="67"/>
          <w:right w:val="single" w:sz="4" w:space="0" w:color="B3C5E7" w:themeColor="accent1" w:themeTint="67"/>
        </w:tcBorders>
      </w:tcPr>
    </w:tblStylePr>
  </w:style>
  <w:style w:type="table" w:customStyle="1" w:styleId="Bordered-Accent2">
    <w:name w:val="Bordered - Accent 2"/>
    <w:basedOn w:val="a1"/>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a1"/>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a1"/>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a1"/>
    <w:uiPriority w:val="99"/>
    <w:pPr>
      <w:spacing w:after="0" w:line="240" w:lineRule="auto"/>
    </w:pPr>
    <w:tblPr>
      <w:tblStyleRowBandSize w:val="1"/>
      <w:tblStyleColBandSize w:val="1"/>
      <w:tbl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insideH w:val="single" w:sz="4" w:space="0" w:color="BCD6EE" w:themeColor="accent5" w:themeTint="67"/>
        <w:insideV w:val="single" w:sz="4" w:space="0" w:color="BCD6EE" w:themeColor="accent5" w:themeTint="67"/>
      </w:tblBorders>
    </w:tblPr>
    <w:tblStylePr w:type="firstRow">
      <w:rPr>
        <w:rFonts w:ascii="Arial" w:hAnsi="Arial"/>
        <w:color w:val="404040"/>
        <w:sz w:val="22"/>
      </w:rPr>
      <w:tblPr/>
      <w:tcPr>
        <w:tcBorders>
          <w:bottom w:val="single" w:sz="12" w:space="0" w:color="9BC2E5" w:themeColor="accent5" w:themeTint="9A"/>
        </w:tcBorders>
      </w:tcPr>
    </w:tblStylePr>
    <w:tblStylePr w:type="lastRow">
      <w:rPr>
        <w:rFonts w:ascii="Arial" w:hAnsi="Arial"/>
        <w:color w:val="404040"/>
        <w:sz w:val="22"/>
      </w:rPr>
      <w:tblPr/>
      <w:tcPr>
        <w:tcBorders>
          <w:top w:val="single" w:sz="12" w:space="0" w:color="9BC2E5"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BC2E5" w:themeColor="accent5" w:themeTint="9A"/>
        </w:tcBorders>
      </w:tcPr>
    </w:tblStylePr>
    <w:tblStylePr w:type="band1Horz">
      <w:rPr>
        <w:rFonts w:ascii="Arial" w:hAnsi="Arial"/>
        <w:color w:val="404040"/>
        <w:sz w:val="22"/>
      </w:rPr>
      <w:tblPr/>
      <w:tcPr>
        <w:tcBorders>
          <w:top w:val="single" w:sz="4" w:space="0" w:color="BCD6EE" w:themeColor="accent5" w:themeTint="67"/>
          <w:left w:val="single" w:sz="4" w:space="0" w:color="BCD6EE" w:themeColor="accent5" w:themeTint="67"/>
          <w:bottom w:val="single" w:sz="4" w:space="0" w:color="BCD6EE" w:themeColor="accent5" w:themeTint="67"/>
          <w:right w:val="single" w:sz="4" w:space="0" w:color="BCD6EE" w:themeColor="accent5" w:themeTint="67"/>
        </w:tcBorders>
      </w:tcPr>
    </w:tblStylePr>
  </w:style>
  <w:style w:type="table" w:customStyle="1" w:styleId="Bordered-Accent6">
    <w:name w:val="Bordered - Accent 6"/>
    <w:basedOn w:val="a1"/>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styleId="af0">
    <w:name w:val="Hyperlink"/>
    <w:uiPriority w:val="99"/>
    <w:unhideWhenUsed/>
    <w:rPr>
      <w:color w:val="0563C1" w:themeColor="hyperlink"/>
      <w:u w:val="single"/>
    </w:rPr>
  </w:style>
  <w:style w:type="character" w:customStyle="1" w:styleId="FootnoteTextChar">
    <w:name w:val="Footnote Text Char"/>
    <w:uiPriority w:val="99"/>
    <w:rPr>
      <w:sz w:val="18"/>
    </w:rPr>
  </w:style>
  <w:style w:type="paragraph" w:styleId="af1">
    <w:name w:val="endnote text"/>
    <w:basedOn w:val="a"/>
    <w:link w:val="af2"/>
    <w:uiPriority w:val="99"/>
    <w:semiHidden/>
    <w:unhideWhenUsed/>
    <w:pPr>
      <w:spacing w:after="0" w:line="240" w:lineRule="auto"/>
    </w:pPr>
    <w:rPr>
      <w:sz w:val="20"/>
    </w:rPr>
  </w:style>
  <w:style w:type="character" w:customStyle="1" w:styleId="af2">
    <w:name w:val="Текст концевой сноски Знак"/>
    <w:link w:val="af1"/>
    <w:uiPriority w:val="99"/>
    <w:rPr>
      <w:sz w:val="20"/>
    </w:rPr>
  </w:style>
  <w:style w:type="character" w:styleId="af3">
    <w:name w:val="endnote reference"/>
    <w:basedOn w:val="a0"/>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4">
    <w:name w:val="TOC Heading"/>
    <w:uiPriority w:val="39"/>
    <w:unhideWhenUsed/>
  </w:style>
  <w:style w:type="paragraph" w:styleId="af5">
    <w:name w:val="table of figures"/>
    <w:basedOn w:val="a"/>
    <w:next w:val="a"/>
    <w:uiPriority w:val="99"/>
    <w:unhideWhenUsed/>
    <w:pPr>
      <w:spacing w:after="0"/>
    </w:pPr>
  </w:style>
  <w:style w:type="paragraph" w:customStyle="1" w:styleId="af6">
    <w:name w:val="Таблица ГОСТ"/>
    <w:basedOn w:val="a"/>
    <w:link w:val="af7"/>
    <w:qFormat/>
    <w:pPr>
      <w:keepNext/>
      <w:spacing w:after="0" w:line="240" w:lineRule="auto"/>
    </w:pPr>
    <w:rPr>
      <w:rFonts w:ascii="Times New Roman" w:eastAsia="Times New Roman" w:hAnsi="Times New Roman" w:cs="Times New Roman"/>
      <w:sz w:val="24"/>
      <w:szCs w:val="24"/>
      <w:lang w:eastAsia="ru-RU"/>
    </w:rPr>
  </w:style>
  <w:style w:type="character" w:customStyle="1" w:styleId="af7">
    <w:name w:val="Таблица ГОСТ Знак"/>
    <w:basedOn w:val="a0"/>
    <w:link w:val="af6"/>
    <w:rPr>
      <w:rFonts w:ascii="Times New Roman" w:eastAsia="Times New Roman" w:hAnsi="Times New Roman" w:cs="Times New Roman"/>
      <w:sz w:val="24"/>
      <w:szCs w:val="24"/>
      <w:lang w:eastAsia="ru-RU"/>
    </w:rPr>
  </w:style>
  <w:style w:type="paragraph" w:customStyle="1" w:styleId="af8">
    <w:name w:val="Рисунки в статье"/>
    <w:basedOn w:val="a"/>
    <w:link w:val="af9"/>
    <w:qFormat/>
    <w:pPr>
      <w:spacing w:after="0" w:line="240" w:lineRule="auto"/>
      <w:jc w:val="center"/>
    </w:pPr>
    <w:rPr>
      <w:rFonts w:ascii="Times New Roman" w:hAnsi="Times New Roman" w:cs="Times New Roman"/>
      <w:sz w:val="28"/>
      <w:szCs w:val="28"/>
    </w:rPr>
  </w:style>
  <w:style w:type="character" w:customStyle="1" w:styleId="af9">
    <w:name w:val="Рисунки в статье Знак"/>
    <w:basedOn w:val="a0"/>
    <w:link w:val="af8"/>
    <w:rPr>
      <w:rFonts w:ascii="Times New Roman" w:hAnsi="Times New Roman" w:cs="Times New Roman"/>
      <w:sz w:val="28"/>
      <w:szCs w:val="28"/>
    </w:rPr>
  </w:style>
  <w:style w:type="table" w:styleId="afa">
    <w:name w:val="Table Grid"/>
    <w:basedOn w:val="a1"/>
    <w:uiPriority w:val="39"/>
    <w:qFormat/>
    <w:pPr>
      <w:spacing w:after="0" w:line="240" w:lineRule="auto"/>
      <w:jc w:val="both"/>
    </w:pPr>
    <w:rPr>
      <w:rFonts w:ascii="Times New Roman" w:hAnsi="Times New Roman" w:cs="Times New Roman"/>
      <w:sz w:val="24"/>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fb">
    <w:name w:val="footnote text"/>
    <w:basedOn w:val="a"/>
    <w:link w:val="afc"/>
    <w:uiPriority w:val="99"/>
    <w:unhideWhenUsed/>
    <w:qFormat/>
    <w:pPr>
      <w:spacing w:after="0" w:line="240" w:lineRule="auto"/>
      <w:jc w:val="both"/>
    </w:pPr>
    <w:rPr>
      <w:rFonts w:ascii="Times New Roman" w:hAnsi="Times New Roman" w:cs="Times New Roman"/>
      <w:sz w:val="20"/>
      <w:szCs w:val="20"/>
    </w:rPr>
  </w:style>
  <w:style w:type="character" w:customStyle="1" w:styleId="afc">
    <w:name w:val="Текст сноски Знак"/>
    <w:basedOn w:val="a0"/>
    <w:link w:val="afb"/>
    <w:uiPriority w:val="99"/>
    <w:rPr>
      <w:rFonts w:ascii="Times New Roman" w:hAnsi="Times New Roman" w:cs="Times New Roman"/>
      <w:sz w:val="20"/>
      <w:szCs w:val="20"/>
    </w:rPr>
  </w:style>
  <w:style w:type="character" w:styleId="afd">
    <w:name w:val="footnote reference"/>
    <w:basedOn w:val="a0"/>
    <w:uiPriority w:val="99"/>
    <w:unhideWhenUsed/>
    <w:qFormat/>
    <w:rPr>
      <w:vertAlign w:val="superscript"/>
    </w:rPr>
  </w:style>
  <w:style w:type="paragraph" w:styleId="afe">
    <w:name w:val="Normal (Web)"/>
    <w:basedOn w:val="a"/>
    <w:uiPriority w:val="99"/>
    <w:semiHidden/>
    <w:unhideWhenUsed/>
    <w:rsid w:val="00E81537"/>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3187568">
      <w:bodyDiv w:val="1"/>
      <w:marLeft w:val="0"/>
      <w:marRight w:val="0"/>
      <w:marTop w:val="0"/>
      <w:marBottom w:val="0"/>
      <w:divBdr>
        <w:top w:val="none" w:sz="0" w:space="0" w:color="auto"/>
        <w:left w:val="none" w:sz="0" w:space="0" w:color="auto"/>
        <w:bottom w:val="none" w:sz="0" w:space="0" w:color="auto"/>
        <w:right w:val="none" w:sz="0" w:space="0" w:color="auto"/>
      </w:divBdr>
      <w:divsChild>
        <w:div w:id="1102606882">
          <w:marLeft w:val="0"/>
          <w:marRight w:val="0"/>
          <w:marTop w:val="0"/>
          <w:marBottom w:val="0"/>
          <w:divBdr>
            <w:top w:val="none" w:sz="0" w:space="0" w:color="auto"/>
            <w:left w:val="none" w:sz="0" w:space="0" w:color="auto"/>
            <w:bottom w:val="none" w:sz="0" w:space="0" w:color="auto"/>
            <w:right w:val="none" w:sz="0" w:space="0" w:color="auto"/>
          </w:divBdr>
          <w:divsChild>
            <w:div w:id="2079670949">
              <w:marLeft w:val="0"/>
              <w:marRight w:val="0"/>
              <w:marTop w:val="0"/>
              <w:marBottom w:val="0"/>
              <w:divBdr>
                <w:top w:val="none" w:sz="0" w:space="0" w:color="auto"/>
                <w:left w:val="none" w:sz="0" w:space="0" w:color="auto"/>
                <w:bottom w:val="none" w:sz="0" w:space="0" w:color="auto"/>
                <w:right w:val="none" w:sz="0" w:space="0" w:color="auto"/>
              </w:divBdr>
              <w:divsChild>
                <w:div w:id="750547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Arial"/>
        <a:cs typeface="Arial"/>
      </a:majorFont>
      <a:minorFont>
        <a:latin typeface="Calibri"/>
        <a:ea typeface="Arial"/>
        <a:cs typeface="Arial"/>
      </a:minorFont>
    </a:fontScheme>
    <a:fmtScheme name="Стандартная">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2D9232-19B3-4B58-9F3E-9BED641E93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1460</Words>
  <Characters>8327</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Лейла Натиговна Нацун</dc:creator>
  <cp:keywords/>
  <dc:description/>
  <cp:lastModifiedBy>Агафонова Дарья Юрьевна</cp:lastModifiedBy>
  <cp:revision>3</cp:revision>
  <dcterms:created xsi:type="dcterms:W3CDTF">2025-03-18T07:02:00Z</dcterms:created>
  <dcterms:modified xsi:type="dcterms:W3CDTF">2025-03-18T07:08:00Z</dcterms:modified>
</cp:coreProperties>
</file>