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549" w:rsidRPr="00764E04" w:rsidRDefault="003D1F69" w:rsidP="00A741BF">
      <w:pPr>
        <w:spacing w:after="0" w:line="240" w:lineRule="auto"/>
        <w:ind w:firstLine="709"/>
        <w:rPr>
          <w:rFonts w:ascii="Times New Roman" w:hAnsi="Times New Roman" w:cs="Times New Roman"/>
          <w:b/>
          <w:sz w:val="24"/>
          <w:szCs w:val="24"/>
        </w:rPr>
      </w:pPr>
      <w:r w:rsidRPr="00764E04">
        <w:rPr>
          <w:rFonts w:ascii="Times New Roman" w:hAnsi="Times New Roman" w:cs="Times New Roman"/>
          <w:b/>
          <w:sz w:val="24"/>
          <w:szCs w:val="24"/>
        </w:rPr>
        <w:t>УДК 338.43:636.2</w:t>
      </w:r>
    </w:p>
    <w:p w:rsidR="00C42E7B" w:rsidRPr="00764E04" w:rsidRDefault="00C42E7B" w:rsidP="00A741BF">
      <w:pPr>
        <w:spacing w:after="0" w:line="240" w:lineRule="auto"/>
        <w:ind w:firstLine="709"/>
        <w:rPr>
          <w:rFonts w:ascii="Times New Roman" w:hAnsi="Times New Roman" w:cs="Times New Roman"/>
          <w:b/>
          <w:sz w:val="24"/>
          <w:szCs w:val="24"/>
        </w:rPr>
      </w:pPr>
      <w:r w:rsidRPr="00764E04">
        <w:rPr>
          <w:rFonts w:ascii="Times New Roman" w:hAnsi="Times New Roman" w:cs="Times New Roman"/>
          <w:b/>
          <w:sz w:val="24"/>
          <w:szCs w:val="24"/>
        </w:rPr>
        <w:t>ББК 65.305.7</w:t>
      </w:r>
    </w:p>
    <w:p w:rsidR="006F507D" w:rsidRPr="006F507D" w:rsidRDefault="006F507D" w:rsidP="006F507D">
      <w:pPr>
        <w:spacing w:after="0" w:line="240" w:lineRule="auto"/>
        <w:ind w:firstLine="709"/>
        <w:jc w:val="right"/>
        <w:rPr>
          <w:rFonts w:ascii="Times New Roman" w:hAnsi="Times New Roman" w:cs="Times New Roman"/>
          <w:b/>
          <w:sz w:val="24"/>
          <w:szCs w:val="24"/>
        </w:rPr>
      </w:pPr>
      <w:r w:rsidRPr="006F507D">
        <w:rPr>
          <w:rFonts w:ascii="Times New Roman" w:hAnsi="Times New Roman" w:cs="Times New Roman"/>
          <w:b/>
          <w:sz w:val="24"/>
          <w:szCs w:val="24"/>
        </w:rPr>
        <w:t>Трифонова Е.Н.</w:t>
      </w:r>
    </w:p>
    <w:p w:rsidR="003D1F69" w:rsidRDefault="003D1F69" w:rsidP="00A741BF">
      <w:pPr>
        <w:spacing w:after="0" w:line="240" w:lineRule="auto"/>
        <w:ind w:firstLine="709"/>
        <w:rPr>
          <w:rFonts w:ascii="Times New Roman" w:hAnsi="Times New Roman" w:cs="Times New Roman"/>
          <w:sz w:val="24"/>
          <w:szCs w:val="24"/>
        </w:rPr>
      </w:pPr>
    </w:p>
    <w:p w:rsidR="003D1F69" w:rsidRPr="00C1456A" w:rsidRDefault="00B444C2" w:rsidP="00D80B8E">
      <w:pPr>
        <w:spacing w:after="0" w:line="240" w:lineRule="auto"/>
        <w:ind w:firstLine="709"/>
        <w:jc w:val="center"/>
        <w:rPr>
          <w:rFonts w:ascii="Times New Roman" w:hAnsi="Times New Roman" w:cs="Times New Roman"/>
          <w:b/>
          <w:sz w:val="24"/>
          <w:szCs w:val="24"/>
        </w:rPr>
      </w:pPr>
      <w:r w:rsidRPr="00B444C2">
        <w:rPr>
          <w:rFonts w:ascii="Times New Roman" w:hAnsi="Times New Roman" w:cs="Times New Roman"/>
          <w:b/>
          <w:sz w:val="24"/>
          <w:szCs w:val="24"/>
        </w:rPr>
        <w:t>ВЛИЯНИЕ ДЕНЕЖНО-КРЕДИТНОЙ ПОЛИТИКИ</w:t>
      </w:r>
      <w:r>
        <w:rPr>
          <w:rFonts w:ascii="Times New Roman" w:hAnsi="Times New Roman" w:cs="Times New Roman"/>
          <w:b/>
          <w:sz w:val="24"/>
          <w:szCs w:val="24"/>
        </w:rPr>
        <w:t xml:space="preserve"> ГОСУДАРСТВА</w:t>
      </w:r>
      <w:r w:rsidRPr="00B444C2">
        <w:rPr>
          <w:rFonts w:ascii="Times New Roman" w:hAnsi="Times New Roman" w:cs="Times New Roman"/>
          <w:b/>
          <w:sz w:val="24"/>
          <w:szCs w:val="24"/>
        </w:rPr>
        <w:t xml:space="preserve"> НА ТЕМПЫ РОСТА ПИЩЕВОЙ </w:t>
      </w:r>
      <w:r>
        <w:rPr>
          <w:rFonts w:ascii="Times New Roman" w:hAnsi="Times New Roman" w:cs="Times New Roman"/>
          <w:b/>
          <w:sz w:val="24"/>
          <w:szCs w:val="24"/>
        </w:rPr>
        <w:t>ПРОМЫШЛЕННОСТИ РОССИИ</w:t>
      </w:r>
    </w:p>
    <w:p w:rsidR="00562E22" w:rsidRDefault="00562E22" w:rsidP="00A741BF">
      <w:pPr>
        <w:spacing w:after="0" w:line="240" w:lineRule="auto"/>
        <w:ind w:firstLine="709"/>
        <w:rPr>
          <w:rFonts w:ascii="Times New Roman" w:hAnsi="Times New Roman" w:cs="Times New Roman"/>
          <w:sz w:val="24"/>
          <w:szCs w:val="24"/>
        </w:rPr>
      </w:pPr>
    </w:p>
    <w:p w:rsidR="00587081" w:rsidRPr="00587081" w:rsidRDefault="00C1456A" w:rsidP="00587081">
      <w:pPr>
        <w:spacing w:after="0" w:line="240" w:lineRule="auto"/>
        <w:ind w:firstLine="709"/>
        <w:jc w:val="both"/>
        <w:rPr>
          <w:rFonts w:ascii="Times New Roman" w:hAnsi="Times New Roman" w:cs="Times New Roman"/>
          <w:sz w:val="24"/>
          <w:szCs w:val="24"/>
        </w:rPr>
      </w:pPr>
      <w:r w:rsidRPr="00587081">
        <w:rPr>
          <w:rFonts w:ascii="Times New Roman" w:hAnsi="Times New Roman" w:cs="Times New Roman"/>
          <w:b/>
          <w:sz w:val="24"/>
          <w:szCs w:val="24"/>
        </w:rPr>
        <w:t>Аннотация</w:t>
      </w:r>
      <w:r w:rsidRPr="00587081">
        <w:rPr>
          <w:rFonts w:ascii="Times New Roman" w:hAnsi="Times New Roman" w:cs="Times New Roman"/>
          <w:sz w:val="24"/>
          <w:szCs w:val="24"/>
        </w:rPr>
        <w:t>:</w:t>
      </w:r>
      <w:r w:rsidR="00E75F47" w:rsidRPr="00587081">
        <w:rPr>
          <w:rFonts w:ascii="Times New Roman" w:hAnsi="Times New Roman" w:cs="Times New Roman"/>
          <w:sz w:val="24"/>
          <w:szCs w:val="24"/>
        </w:rPr>
        <w:t xml:space="preserve"> </w:t>
      </w:r>
      <w:r w:rsidR="00587081">
        <w:rPr>
          <w:rFonts w:ascii="Times New Roman" w:hAnsi="Times New Roman" w:cs="Times New Roman"/>
          <w:sz w:val="24"/>
          <w:szCs w:val="24"/>
        </w:rPr>
        <w:t>Проанализирована зависимость уровня ключевой ставки Центробанка и объемов производства в пищевой отрасли России. Исследована д</w:t>
      </w:r>
      <w:r w:rsidR="00587081" w:rsidRPr="00587081">
        <w:rPr>
          <w:rFonts w:ascii="Times New Roman" w:hAnsi="Times New Roman" w:cs="Times New Roman"/>
          <w:sz w:val="24"/>
          <w:szCs w:val="24"/>
        </w:rPr>
        <w:t xml:space="preserve">инамика задолженностей по обязательствам организаций </w:t>
      </w:r>
      <w:r w:rsidR="00587081">
        <w:rPr>
          <w:rFonts w:ascii="Times New Roman" w:hAnsi="Times New Roman" w:cs="Times New Roman"/>
          <w:sz w:val="24"/>
          <w:szCs w:val="24"/>
        </w:rPr>
        <w:t xml:space="preserve">пищепрома. Обоснована роль </w:t>
      </w:r>
      <w:r w:rsidR="00587081" w:rsidRPr="00587081">
        <w:rPr>
          <w:rFonts w:ascii="Times New Roman" w:hAnsi="Times New Roman" w:cs="Times New Roman"/>
          <w:sz w:val="24"/>
          <w:szCs w:val="24"/>
        </w:rPr>
        <w:t>денежно-кредитной политики, как инструмента государственного регулирования</w:t>
      </w:r>
      <w:r w:rsidR="00587081">
        <w:rPr>
          <w:rFonts w:ascii="Times New Roman" w:hAnsi="Times New Roman" w:cs="Times New Roman"/>
          <w:sz w:val="24"/>
          <w:szCs w:val="24"/>
        </w:rPr>
        <w:t xml:space="preserve"> отраслями пищевой промышленности.</w:t>
      </w:r>
    </w:p>
    <w:p w:rsidR="00C1456A" w:rsidRPr="00564332" w:rsidRDefault="00C1456A" w:rsidP="00E75F47">
      <w:pPr>
        <w:spacing w:after="0" w:line="240" w:lineRule="auto"/>
        <w:ind w:firstLine="709"/>
        <w:jc w:val="both"/>
        <w:rPr>
          <w:rFonts w:ascii="Times New Roman" w:hAnsi="Times New Roman" w:cs="Times New Roman"/>
          <w:sz w:val="24"/>
          <w:szCs w:val="24"/>
        </w:rPr>
      </w:pPr>
      <w:r w:rsidRPr="00561ADF">
        <w:rPr>
          <w:rFonts w:ascii="Times New Roman" w:hAnsi="Times New Roman" w:cs="Times New Roman"/>
          <w:b/>
          <w:sz w:val="24"/>
          <w:szCs w:val="24"/>
        </w:rPr>
        <w:t>Ключевые слова</w:t>
      </w:r>
      <w:r>
        <w:rPr>
          <w:rFonts w:ascii="Times New Roman" w:hAnsi="Times New Roman" w:cs="Times New Roman"/>
          <w:sz w:val="24"/>
          <w:szCs w:val="24"/>
        </w:rPr>
        <w:t>:</w:t>
      </w:r>
      <w:r w:rsidR="00564332" w:rsidRPr="00564332">
        <w:rPr>
          <w:rFonts w:ascii="Times New Roman" w:hAnsi="Times New Roman" w:cs="Times New Roman"/>
          <w:sz w:val="24"/>
          <w:szCs w:val="24"/>
        </w:rPr>
        <w:t xml:space="preserve"> </w:t>
      </w:r>
      <w:r w:rsidR="00564332">
        <w:rPr>
          <w:rFonts w:ascii="Times New Roman" w:hAnsi="Times New Roman" w:cs="Times New Roman"/>
          <w:sz w:val="24"/>
          <w:szCs w:val="24"/>
        </w:rPr>
        <w:t>пищевая и перерабатывающая промышленность, устойчивое развитие</w:t>
      </w:r>
      <w:r w:rsidR="007F25F6">
        <w:rPr>
          <w:rFonts w:ascii="Times New Roman" w:hAnsi="Times New Roman" w:cs="Times New Roman"/>
          <w:sz w:val="24"/>
          <w:szCs w:val="24"/>
        </w:rPr>
        <w:t>, денежно-кредитная политика, ключевая ставка</w:t>
      </w:r>
    </w:p>
    <w:p w:rsidR="00C1456A" w:rsidRDefault="00C1456A" w:rsidP="00D76DD7">
      <w:pPr>
        <w:spacing w:after="0" w:line="240" w:lineRule="auto"/>
        <w:ind w:firstLine="709"/>
        <w:jc w:val="both"/>
        <w:rPr>
          <w:rFonts w:ascii="Times New Roman" w:hAnsi="Times New Roman" w:cs="Times New Roman"/>
          <w:sz w:val="24"/>
          <w:szCs w:val="24"/>
        </w:rPr>
      </w:pP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Динамичное развитие пищевой и перерабатывающей промышленности отечественного АПК является одной из стратегически важных составляющих стабильного и эффективного развития экономки России. Особую важность при этом приобретает поиск действенных механизмов воздействия на состояние отраслей переработки, что предполагает увеличение ресурсного потенциала, в первую очередь, за счет расширения возможностей финансирования хозяйственной деятельности предприятий, в том числе с учетом привлеченных кредитов и инвестиций. В связи с этим возникает вполне оправданный интерес к оценке перспектив использования инструментов денежно-кредитной политики государства, способных повлиять на темпы роста отечественного пищепрома.</w:t>
      </w:r>
    </w:p>
    <w:p w:rsidR="007F25F6" w:rsidRPr="007F25F6" w:rsidRDefault="00281876" w:rsidP="007F25F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007F25F6" w:rsidRPr="007F25F6">
        <w:rPr>
          <w:rFonts w:ascii="Times New Roman" w:hAnsi="Times New Roman" w:cs="Times New Roman"/>
          <w:sz w:val="24"/>
          <w:szCs w:val="24"/>
        </w:rPr>
        <w:t xml:space="preserve">дним из реальных инструментов воздействия государства на экономические процессы в рамках кредитно-денежной политики является изменение Центральным Банком России </w:t>
      </w:r>
      <w:r w:rsidR="007F25F6" w:rsidRPr="00281876">
        <w:rPr>
          <w:rFonts w:ascii="Times New Roman" w:hAnsi="Times New Roman" w:cs="Times New Roman"/>
          <w:sz w:val="24"/>
          <w:szCs w:val="24"/>
        </w:rPr>
        <w:t xml:space="preserve">ключевой ставки. Суть постоянного изменения ключевой ставки заключается в регулировании процесса инфляции, а также в контроле над финансовыми потоками на уровне государства. </w:t>
      </w:r>
      <w:r w:rsidR="007F25F6" w:rsidRPr="007F25F6">
        <w:rPr>
          <w:rFonts w:ascii="Times New Roman" w:hAnsi="Times New Roman" w:cs="Times New Roman"/>
          <w:sz w:val="24"/>
          <w:szCs w:val="24"/>
        </w:rPr>
        <w:t>Безусловно, подобное вмешательство в кредитно-денежную систему страны, в той или иной степени, влечет за собой изменения в различных секторах экономики. На рисунке 1 проиллюстрирована взаимозависимость темпов роста пищевой промышленности и изменения ключевой ставки Банка России в динамике за последние годы. Данные по темпам прироста производства в пищевой промышленности за 2025 год являются оценочными.</w:t>
      </w:r>
    </w:p>
    <w:p w:rsidR="007F25F6" w:rsidRPr="007F25F6" w:rsidRDefault="007F25F6" w:rsidP="009149C4">
      <w:pPr>
        <w:spacing w:after="0" w:line="240" w:lineRule="auto"/>
        <w:jc w:val="center"/>
        <w:rPr>
          <w:rFonts w:ascii="Times New Roman" w:hAnsi="Times New Roman" w:cs="Times New Roman"/>
          <w:sz w:val="24"/>
          <w:szCs w:val="24"/>
        </w:rPr>
      </w:pPr>
      <w:r w:rsidRPr="007F25F6">
        <w:rPr>
          <w:rFonts w:ascii="Times New Roman" w:hAnsi="Times New Roman" w:cs="Times New Roman"/>
          <w:noProof/>
          <w:sz w:val="24"/>
          <w:szCs w:val="24"/>
          <w:lang w:eastAsia="ru-RU"/>
        </w:rPr>
        <w:drawing>
          <wp:inline distT="0" distB="0" distL="0" distR="0" wp14:anchorId="7EA20DB2" wp14:editId="29F4656B">
            <wp:extent cx="5362575" cy="274320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F25F6" w:rsidRPr="006D25BA" w:rsidRDefault="007F25F6" w:rsidP="009149C4">
      <w:pPr>
        <w:spacing w:after="0" w:line="240" w:lineRule="auto"/>
        <w:ind w:firstLine="709"/>
        <w:rPr>
          <w:rFonts w:ascii="Times New Roman" w:hAnsi="Times New Roman" w:cs="Times New Roman"/>
          <w:sz w:val="20"/>
          <w:szCs w:val="20"/>
        </w:rPr>
      </w:pPr>
      <w:r w:rsidRPr="006D25BA">
        <w:rPr>
          <w:rFonts w:ascii="Times New Roman" w:hAnsi="Times New Roman" w:cs="Times New Roman"/>
          <w:sz w:val="20"/>
          <w:szCs w:val="20"/>
        </w:rPr>
        <w:t>Составлено по расчетам автора с использованием данных</w:t>
      </w:r>
      <w:r w:rsidR="009149C4">
        <w:rPr>
          <w:rFonts w:ascii="Times New Roman" w:hAnsi="Times New Roman" w:cs="Times New Roman"/>
          <w:sz w:val="20"/>
          <w:szCs w:val="20"/>
        </w:rPr>
        <w:t xml:space="preserve"> Росстата</w:t>
      </w:r>
      <w:r w:rsidRPr="006D25BA">
        <w:rPr>
          <w:rFonts w:ascii="Times New Roman" w:hAnsi="Times New Roman" w:cs="Times New Roman"/>
          <w:sz w:val="20"/>
          <w:szCs w:val="20"/>
          <w:vertAlign w:val="superscript"/>
        </w:rPr>
        <w:footnoteReference w:id="1"/>
      </w:r>
      <w:r w:rsidR="009149C4">
        <w:rPr>
          <w:rFonts w:ascii="Times New Roman" w:hAnsi="Times New Roman" w:cs="Times New Roman"/>
          <w:sz w:val="20"/>
          <w:szCs w:val="20"/>
        </w:rPr>
        <w:t xml:space="preserve"> и Банка России</w:t>
      </w:r>
      <w:r w:rsidRPr="006D25BA">
        <w:rPr>
          <w:rFonts w:ascii="Times New Roman" w:hAnsi="Times New Roman" w:cs="Times New Roman"/>
          <w:sz w:val="20"/>
          <w:szCs w:val="20"/>
          <w:vertAlign w:val="superscript"/>
        </w:rPr>
        <w:footnoteReference w:id="2"/>
      </w:r>
    </w:p>
    <w:p w:rsidR="007F25F6" w:rsidRPr="007F25F6" w:rsidRDefault="007F25F6" w:rsidP="006D25BA">
      <w:pPr>
        <w:spacing w:after="0" w:line="240" w:lineRule="auto"/>
        <w:ind w:firstLine="709"/>
        <w:jc w:val="center"/>
        <w:rPr>
          <w:rFonts w:ascii="Times New Roman" w:hAnsi="Times New Roman" w:cs="Times New Roman"/>
          <w:sz w:val="24"/>
          <w:szCs w:val="24"/>
        </w:rPr>
      </w:pPr>
      <w:r w:rsidRPr="007F25F6">
        <w:rPr>
          <w:rFonts w:ascii="Times New Roman" w:hAnsi="Times New Roman" w:cs="Times New Roman"/>
          <w:sz w:val="24"/>
          <w:szCs w:val="24"/>
        </w:rPr>
        <w:lastRenderedPageBreak/>
        <w:t>Рисунок 1</w:t>
      </w:r>
      <w:r w:rsidR="006D25BA">
        <w:rPr>
          <w:rFonts w:ascii="Times New Roman" w:hAnsi="Times New Roman" w:cs="Times New Roman"/>
          <w:sz w:val="24"/>
          <w:szCs w:val="24"/>
        </w:rPr>
        <w:t>.</w:t>
      </w:r>
      <w:r w:rsidRPr="007F25F6">
        <w:rPr>
          <w:rFonts w:ascii="Times New Roman" w:hAnsi="Times New Roman" w:cs="Times New Roman"/>
          <w:sz w:val="24"/>
          <w:szCs w:val="24"/>
        </w:rPr>
        <w:t xml:space="preserve"> Динамика</w:t>
      </w:r>
      <w:r w:rsidR="00C314D7">
        <w:rPr>
          <w:rFonts w:ascii="Times New Roman" w:hAnsi="Times New Roman" w:cs="Times New Roman"/>
          <w:sz w:val="24"/>
          <w:szCs w:val="24"/>
        </w:rPr>
        <w:t xml:space="preserve"> соотношения</w:t>
      </w:r>
      <w:r w:rsidRPr="007F25F6">
        <w:rPr>
          <w:rFonts w:ascii="Times New Roman" w:hAnsi="Times New Roman" w:cs="Times New Roman"/>
          <w:sz w:val="24"/>
          <w:szCs w:val="24"/>
        </w:rPr>
        <w:t xml:space="preserve"> прироста производства в пищевой промышленности и ключевой ставки в РФ.</w:t>
      </w: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 xml:space="preserve">На основе данных рисунка 1, прослеживается взаимосвязь между процессом изменения ключевой ставки и изменениями темпов роста пищевой промышленности. Безусловно, </w:t>
      </w:r>
      <w:r w:rsidR="00C314D7">
        <w:rPr>
          <w:rFonts w:ascii="Times New Roman" w:hAnsi="Times New Roman" w:cs="Times New Roman"/>
          <w:sz w:val="24"/>
          <w:szCs w:val="24"/>
        </w:rPr>
        <w:t>она</w:t>
      </w:r>
      <w:r w:rsidRPr="007F25F6">
        <w:rPr>
          <w:rFonts w:ascii="Times New Roman" w:hAnsi="Times New Roman" w:cs="Times New Roman"/>
          <w:sz w:val="24"/>
          <w:szCs w:val="24"/>
        </w:rPr>
        <w:t xml:space="preserve"> не может быть прямой и линейной, </w:t>
      </w:r>
      <w:r w:rsidR="00C314D7">
        <w:rPr>
          <w:rFonts w:ascii="Times New Roman" w:hAnsi="Times New Roman" w:cs="Times New Roman"/>
          <w:sz w:val="24"/>
          <w:szCs w:val="24"/>
        </w:rPr>
        <w:t>поскольку, на состояние отрасли помимо</w:t>
      </w:r>
      <w:r w:rsidRPr="007F25F6">
        <w:rPr>
          <w:rFonts w:ascii="Times New Roman" w:hAnsi="Times New Roman" w:cs="Times New Roman"/>
          <w:sz w:val="24"/>
          <w:szCs w:val="24"/>
        </w:rPr>
        <w:t xml:space="preserve"> политики Центробанка влияют множество других факторов. </w:t>
      </w:r>
      <w:r w:rsidR="00C314D7">
        <w:rPr>
          <w:rFonts w:ascii="Times New Roman" w:hAnsi="Times New Roman" w:cs="Times New Roman"/>
          <w:sz w:val="24"/>
          <w:szCs w:val="24"/>
        </w:rPr>
        <w:t>Воздействие</w:t>
      </w:r>
      <w:r w:rsidRPr="007F25F6">
        <w:rPr>
          <w:rFonts w:ascii="Times New Roman" w:hAnsi="Times New Roman" w:cs="Times New Roman"/>
          <w:sz w:val="24"/>
          <w:szCs w:val="24"/>
        </w:rPr>
        <w:t xml:space="preserve"> ключевой ставки на темпы прироста производства в пищевой промышленности носит, так называемый, комплексный и отсроченный характер, реализуясь через два ключевых компонента: инвестиционный и кредитный.</w:t>
      </w: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Развитие и модернизация пищевой промышленности напрямую зависят от инвестиций, направляемых в отрасль, значительная часть которых финансируется за счёт заёмных средств. Рост ключевой ставки ведёт к удорожанию кредитов, что делает многие инвестиционные проекты экономически нецелесообразными. Например, по данным исследований</w:t>
      </w:r>
      <w:r w:rsidR="00A812DD">
        <w:rPr>
          <w:rFonts w:ascii="Times New Roman" w:hAnsi="Times New Roman" w:cs="Times New Roman"/>
          <w:sz w:val="24"/>
          <w:szCs w:val="24"/>
        </w:rPr>
        <w:t xml:space="preserve"> </w:t>
      </w:r>
      <w:r w:rsidR="00A812DD" w:rsidRPr="00A812DD">
        <w:rPr>
          <w:rFonts w:ascii="Times New Roman" w:hAnsi="Times New Roman" w:cs="Times New Roman"/>
          <w:sz w:val="24"/>
          <w:szCs w:val="24"/>
        </w:rPr>
        <w:t>[1]</w:t>
      </w:r>
      <w:r w:rsidRPr="007F25F6">
        <w:rPr>
          <w:rFonts w:ascii="Times New Roman" w:hAnsi="Times New Roman" w:cs="Times New Roman"/>
          <w:sz w:val="24"/>
          <w:szCs w:val="24"/>
        </w:rPr>
        <w:t xml:space="preserve">, повышение ставки дисконтирования, в основе расчета которой лежит ключевая ставка </w:t>
      </w:r>
      <w:proofErr w:type="spellStart"/>
      <w:r w:rsidRPr="007F25F6">
        <w:rPr>
          <w:rFonts w:ascii="Times New Roman" w:hAnsi="Times New Roman" w:cs="Times New Roman"/>
          <w:sz w:val="24"/>
          <w:szCs w:val="24"/>
        </w:rPr>
        <w:t>Цетробанка</w:t>
      </w:r>
      <w:proofErr w:type="spellEnd"/>
      <w:r w:rsidRPr="007F25F6">
        <w:rPr>
          <w:rFonts w:ascii="Times New Roman" w:hAnsi="Times New Roman" w:cs="Times New Roman"/>
          <w:sz w:val="24"/>
          <w:szCs w:val="24"/>
        </w:rPr>
        <w:t>, на 1 пункт может снизить чистую приведенную стоимость инвестиционного проекта, в частности, в животноводстве</w:t>
      </w:r>
      <w:r w:rsidR="00C314D7">
        <w:rPr>
          <w:rFonts w:ascii="Times New Roman" w:hAnsi="Times New Roman" w:cs="Times New Roman"/>
          <w:sz w:val="24"/>
          <w:szCs w:val="24"/>
        </w:rPr>
        <w:t>,</w:t>
      </w:r>
      <w:r w:rsidRPr="007F25F6">
        <w:rPr>
          <w:rFonts w:ascii="Times New Roman" w:hAnsi="Times New Roman" w:cs="Times New Roman"/>
          <w:sz w:val="24"/>
          <w:szCs w:val="24"/>
        </w:rPr>
        <w:t xml:space="preserve"> на 6%. Как результат, снижается инвестиционная активность. В 2025 году объем новых инвестиционных проектов в пищевой отрасли сократился почти вдвое</w:t>
      </w:r>
      <w:r w:rsidR="00A812DD" w:rsidRPr="00A812DD">
        <w:rPr>
          <w:rFonts w:ascii="Times New Roman" w:hAnsi="Times New Roman" w:cs="Times New Roman"/>
          <w:sz w:val="24"/>
          <w:szCs w:val="24"/>
        </w:rPr>
        <w:t xml:space="preserve"> [2]</w:t>
      </w:r>
      <w:r w:rsidRPr="007F25F6">
        <w:rPr>
          <w:rFonts w:ascii="Times New Roman" w:hAnsi="Times New Roman" w:cs="Times New Roman"/>
          <w:sz w:val="24"/>
          <w:szCs w:val="24"/>
        </w:rPr>
        <w:t xml:space="preserve"> - до 104,7 млрд. руб. против 194,6 </w:t>
      </w:r>
      <w:proofErr w:type="spellStart"/>
      <w:r w:rsidRPr="007F25F6">
        <w:rPr>
          <w:rFonts w:ascii="Times New Roman" w:hAnsi="Times New Roman" w:cs="Times New Roman"/>
          <w:sz w:val="24"/>
          <w:szCs w:val="24"/>
        </w:rPr>
        <w:t>млрд.руб</w:t>
      </w:r>
      <w:proofErr w:type="spellEnd"/>
      <w:r w:rsidRPr="007F25F6">
        <w:rPr>
          <w:rFonts w:ascii="Times New Roman" w:hAnsi="Times New Roman" w:cs="Times New Roman"/>
          <w:sz w:val="24"/>
          <w:szCs w:val="24"/>
        </w:rPr>
        <w:t>. годом ранее и вернулся к уровню 2013 года. Производители вынуждены замораживать новые проекты и концентрироваться на завершении уже начатых. Например, представители крупнейшего в России агрохолдинга «</w:t>
      </w:r>
      <w:proofErr w:type="spellStart"/>
      <w:r w:rsidRPr="007F25F6">
        <w:rPr>
          <w:rFonts w:ascii="Times New Roman" w:hAnsi="Times New Roman" w:cs="Times New Roman"/>
          <w:sz w:val="24"/>
          <w:szCs w:val="24"/>
        </w:rPr>
        <w:t>Мираторг</w:t>
      </w:r>
      <w:proofErr w:type="spellEnd"/>
      <w:r w:rsidRPr="007F25F6">
        <w:rPr>
          <w:rFonts w:ascii="Times New Roman" w:hAnsi="Times New Roman" w:cs="Times New Roman"/>
          <w:sz w:val="24"/>
          <w:szCs w:val="24"/>
        </w:rPr>
        <w:t>» заявили</w:t>
      </w:r>
      <w:r w:rsidR="00A812DD" w:rsidRPr="00A812DD">
        <w:rPr>
          <w:rFonts w:ascii="Times New Roman" w:hAnsi="Times New Roman" w:cs="Times New Roman"/>
          <w:sz w:val="24"/>
          <w:szCs w:val="24"/>
        </w:rPr>
        <w:t xml:space="preserve"> [3]</w:t>
      </w:r>
      <w:r w:rsidRPr="007F25F6">
        <w:rPr>
          <w:rFonts w:ascii="Times New Roman" w:hAnsi="Times New Roman" w:cs="Times New Roman"/>
          <w:sz w:val="24"/>
          <w:szCs w:val="24"/>
        </w:rPr>
        <w:t>, что компания, в настоящий момент, не инвестирует в новые проекты, поскольку в ситуации, когда кредиты предоставляются под 18-20%, не стоит ожидать даже простой</w:t>
      </w:r>
      <w:r w:rsidR="00C314D7">
        <w:rPr>
          <w:rFonts w:ascii="Times New Roman" w:hAnsi="Times New Roman" w:cs="Times New Roman"/>
          <w:sz w:val="24"/>
          <w:szCs w:val="24"/>
        </w:rPr>
        <w:t xml:space="preserve"> их окупаемости</w:t>
      </w:r>
      <w:r w:rsidRPr="007F25F6">
        <w:rPr>
          <w:rFonts w:ascii="Times New Roman" w:hAnsi="Times New Roman" w:cs="Times New Roman"/>
          <w:sz w:val="24"/>
          <w:szCs w:val="24"/>
        </w:rPr>
        <w:t xml:space="preserve">. В 2026 году ожидаемый прирост инвестиций в АПК составит лишь 0,2%. При этом аналитики склоняются к мнению о том, что при смягчении денежно-кредитной политики Банка России и сохранении мер государственной поддержки для участников рынка следует ожидать осторожного оживления инвестиционной активности российских производителей. Стоит также учитывать, что существует связь между величиной ключевой ставки ЦБ и эффективностью мер господдержки, в частности, при превышении </w:t>
      </w:r>
      <w:r w:rsidR="00281876" w:rsidRPr="007F25F6">
        <w:rPr>
          <w:rFonts w:ascii="Times New Roman" w:hAnsi="Times New Roman" w:cs="Times New Roman"/>
          <w:sz w:val="24"/>
          <w:szCs w:val="24"/>
        </w:rPr>
        <w:t>ключевой</w:t>
      </w:r>
      <w:r w:rsidR="00281876">
        <w:rPr>
          <w:rFonts w:ascii="Times New Roman" w:hAnsi="Times New Roman" w:cs="Times New Roman"/>
          <w:sz w:val="24"/>
          <w:szCs w:val="24"/>
        </w:rPr>
        <w:t xml:space="preserve"> ставки 15%</w:t>
      </w:r>
      <w:r w:rsidRPr="007F25F6">
        <w:rPr>
          <w:rFonts w:ascii="Times New Roman" w:hAnsi="Times New Roman" w:cs="Times New Roman"/>
          <w:sz w:val="24"/>
          <w:szCs w:val="24"/>
        </w:rPr>
        <w:t xml:space="preserve"> эффективность субсидий в отраслях АПК снижается на 30-50%</w:t>
      </w:r>
      <w:r w:rsidR="00A812DD" w:rsidRPr="00A812DD">
        <w:rPr>
          <w:rFonts w:ascii="Times New Roman" w:hAnsi="Times New Roman" w:cs="Times New Roman"/>
          <w:sz w:val="24"/>
          <w:szCs w:val="24"/>
        </w:rPr>
        <w:t xml:space="preserve"> [4]</w:t>
      </w:r>
      <w:r w:rsidRPr="007F25F6">
        <w:rPr>
          <w:rFonts w:ascii="Times New Roman" w:hAnsi="Times New Roman" w:cs="Times New Roman"/>
          <w:sz w:val="24"/>
          <w:szCs w:val="24"/>
        </w:rPr>
        <w:t xml:space="preserve">. Вице-премьер Правительства </w:t>
      </w:r>
      <w:proofErr w:type="spellStart"/>
      <w:r w:rsidRPr="007F25F6">
        <w:rPr>
          <w:rFonts w:ascii="Times New Roman" w:hAnsi="Times New Roman" w:cs="Times New Roman"/>
          <w:sz w:val="24"/>
          <w:szCs w:val="24"/>
        </w:rPr>
        <w:t>Д.Патрушев</w:t>
      </w:r>
      <w:proofErr w:type="spellEnd"/>
      <w:r w:rsidRPr="007F25F6">
        <w:rPr>
          <w:rFonts w:ascii="Times New Roman" w:hAnsi="Times New Roman" w:cs="Times New Roman"/>
          <w:sz w:val="24"/>
          <w:szCs w:val="24"/>
        </w:rPr>
        <w:t xml:space="preserve"> на рабочей встрече с Президентом РФ</w:t>
      </w:r>
      <w:r w:rsidR="00A812DD" w:rsidRPr="00A812DD">
        <w:rPr>
          <w:rFonts w:ascii="Times New Roman" w:hAnsi="Times New Roman" w:cs="Times New Roman"/>
          <w:sz w:val="24"/>
          <w:szCs w:val="24"/>
        </w:rPr>
        <w:t xml:space="preserve"> [5]</w:t>
      </w:r>
      <w:r w:rsidRPr="007F25F6">
        <w:rPr>
          <w:rFonts w:ascii="Times New Roman" w:hAnsi="Times New Roman" w:cs="Times New Roman"/>
          <w:sz w:val="24"/>
          <w:szCs w:val="24"/>
        </w:rPr>
        <w:t>, связывает запуск «новой инвестиционной фазы», характеризующейся оживлением инвестиционной активности в отраслях переработки сельхозпродукции именно со снижением ключевой ставки.</w:t>
      </w: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 xml:space="preserve">Второй компонент влияния ключевой ставки на прирост производства в пищевой отрасли связан с повседневной операционной деятельностью предприятий. Известно, что </w:t>
      </w:r>
      <w:r w:rsidR="00281876" w:rsidRPr="007F25F6">
        <w:rPr>
          <w:rFonts w:ascii="Times New Roman" w:hAnsi="Times New Roman" w:cs="Times New Roman"/>
          <w:sz w:val="24"/>
          <w:szCs w:val="24"/>
        </w:rPr>
        <w:t>производители</w:t>
      </w:r>
      <w:r w:rsidRPr="007F25F6">
        <w:rPr>
          <w:rFonts w:ascii="Times New Roman" w:hAnsi="Times New Roman" w:cs="Times New Roman"/>
          <w:sz w:val="24"/>
          <w:szCs w:val="24"/>
        </w:rPr>
        <w:t xml:space="preserve"> активно используют заемные средства для закупки сырья, упаковки, оплаты услуг и т.п. Высокая процентная ставка снижает доступность кредитов. Ставка выше 14% делает заёмные ресурсы критически дорогими</w:t>
      </w:r>
      <w:r w:rsidR="00A812DD" w:rsidRPr="00C314D7">
        <w:rPr>
          <w:rFonts w:ascii="Times New Roman" w:hAnsi="Times New Roman" w:cs="Times New Roman"/>
          <w:sz w:val="24"/>
          <w:szCs w:val="24"/>
        </w:rPr>
        <w:t xml:space="preserve"> [6]</w:t>
      </w:r>
      <w:r w:rsidRPr="007F25F6">
        <w:rPr>
          <w:rFonts w:ascii="Times New Roman" w:hAnsi="Times New Roman" w:cs="Times New Roman"/>
          <w:sz w:val="24"/>
          <w:szCs w:val="24"/>
        </w:rPr>
        <w:t>. В 2025 году объём кредитов, выданных пищевой отрасли, сократился на 15%. При этом несмотря на снижение объёмов нового кредитования, задолженность предприятий пищевой отрасли продолжает расти (</w:t>
      </w:r>
      <w:r w:rsidR="00281876">
        <w:rPr>
          <w:rFonts w:ascii="Times New Roman" w:hAnsi="Times New Roman" w:cs="Times New Roman"/>
          <w:sz w:val="24"/>
          <w:szCs w:val="24"/>
        </w:rPr>
        <w:t>рис.</w:t>
      </w:r>
      <w:r w:rsidRPr="007F25F6">
        <w:rPr>
          <w:rFonts w:ascii="Times New Roman" w:hAnsi="Times New Roman" w:cs="Times New Roman"/>
          <w:sz w:val="24"/>
          <w:szCs w:val="24"/>
        </w:rPr>
        <w:t xml:space="preserve">2), превысив 1,87 </w:t>
      </w:r>
      <w:proofErr w:type="spellStart"/>
      <w:r w:rsidRPr="007F25F6">
        <w:rPr>
          <w:rFonts w:ascii="Times New Roman" w:hAnsi="Times New Roman" w:cs="Times New Roman"/>
          <w:sz w:val="24"/>
          <w:szCs w:val="24"/>
        </w:rPr>
        <w:t>трлн.руб</w:t>
      </w:r>
      <w:proofErr w:type="spellEnd"/>
      <w:r w:rsidRPr="007F25F6">
        <w:rPr>
          <w:rFonts w:ascii="Times New Roman" w:hAnsi="Times New Roman" w:cs="Times New Roman"/>
          <w:sz w:val="24"/>
          <w:szCs w:val="24"/>
        </w:rPr>
        <w:t xml:space="preserve">. в 2025 году. Растет при этом и просроченная задолженность по заемным средствам. </w:t>
      </w:r>
    </w:p>
    <w:p w:rsidR="007F25F6" w:rsidRPr="007F25F6" w:rsidRDefault="007F25F6" w:rsidP="00A66437">
      <w:pPr>
        <w:spacing w:after="0" w:line="240" w:lineRule="auto"/>
        <w:jc w:val="center"/>
        <w:rPr>
          <w:rFonts w:ascii="Times New Roman" w:hAnsi="Times New Roman" w:cs="Times New Roman"/>
          <w:sz w:val="24"/>
          <w:szCs w:val="24"/>
        </w:rPr>
      </w:pPr>
      <w:r w:rsidRPr="007F25F6">
        <w:rPr>
          <w:rFonts w:ascii="Times New Roman" w:hAnsi="Times New Roman" w:cs="Times New Roman"/>
          <w:noProof/>
          <w:sz w:val="24"/>
          <w:szCs w:val="24"/>
          <w:lang w:eastAsia="ru-RU"/>
        </w:rPr>
        <w:lastRenderedPageBreak/>
        <w:drawing>
          <wp:inline distT="0" distB="0" distL="0" distR="0" wp14:anchorId="1FE3882C" wp14:editId="76EBD2B4">
            <wp:extent cx="4219575" cy="2438400"/>
            <wp:effectExtent l="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F25F6" w:rsidRPr="006D25BA" w:rsidRDefault="007F25F6" w:rsidP="007F25F6">
      <w:pPr>
        <w:spacing w:after="0" w:line="240" w:lineRule="auto"/>
        <w:ind w:firstLine="709"/>
        <w:jc w:val="both"/>
        <w:rPr>
          <w:rFonts w:ascii="Times New Roman" w:hAnsi="Times New Roman" w:cs="Times New Roman"/>
          <w:sz w:val="20"/>
          <w:szCs w:val="20"/>
        </w:rPr>
      </w:pPr>
      <w:r w:rsidRPr="006D25BA">
        <w:rPr>
          <w:rFonts w:ascii="Times New Roman" w:hAnsi="Times New Roman" w:cs="Times New Roman"/>
          <w:sz w:val="20"/>
          <w:szCs w:val="20"/>
        </w:rPr>
        <w:t>Составлено автором по данным</w:t>
      </w:r>
      <w:r w:rsidR="00A66437">
        <w:rPr>
          <w:rFonts w:ascii="Times New Roman" w:hAnsi="Times New Roman" w:cs="Times New Roman"/>
          <w:sz w:val="20"/>
          <w:szCs w:val="20"/>
        </w:rPr>
        <w:t xml:space="preserve"> Росстата</w:t>
      </w:r>
      <w:r w:rsidRPr="006D25BA">
        <w:rPr>
          <w:rFonts w:ascii="Times New Roman" w:hAnsi="Times New Roman" w:cs="Times New Roman"/>
          <w:sz w:val="20"/>
          <w:szCs w:val="20"/>
          <w:vertAlign w:val="superscript"/>
        </w:rPr>
        <w:footnoteReference w:id="3"/>
      </w:r>
    </w:p>
    <w:p w:rsidR="007F25F6" w:rsidRPr="007F25F6" w:rsidRDefault="00A66437" w:rsidP="00A6643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007F25F6" w:rsidRPr="007F25F6">
        <w:rPr>
          <w:rFonts w:ascii="Times New Roman" w:hAnsi="Times New Roman" w:cs="Times New Roman"/>
          <w:sz w:val="24"/>
          <w:szCs w:val="24"/>
        </w:rPr>
        <w:t>2</w:t>
      </w:r>
      <w:r>
        <w:rPr>
          <w:rFonts w:ascii="Times New Roman" w:hAnsi="Times New Roman" w:cs="Times New Roman"/>
          <w:sz w:val="24"/>
          <w:szCs w:val="24"/>
        </w:rPr>
        <w:t>.</w:t>
      </w:r>
      <w:r w:rsidR="007F25F6" w:rsidRPr="007F25F6">
        <w:rPr>
          <w:rFonts w:ascii="Times New Roman" w:hAnsi="Times New Roman" w:cs="Times New Roman"/>
          <w:sz w:val="24"/>
          <w:szCs w:val="24"/>
        </w:rPr>
        <w:t xml:space="preserve"> Динамика задолженностей по обязательствам организаций по производству пищевой продукции (на конец года).</w:t>
      </w:r>
    </w:p>
    <w:p w:rsidR="007F25F6" w:rsidRPr="007F25F6" w:rsidRDefault="007F25F6" w:rsidP="007F25F6">
      <w:pPr>
        <w:spacing w:after="0" w:line="240" w:lineRule="auto"/>
        <w:ind w:firstLine="709"/>
        <w:jc w:val="both"/>
        <w:rPr>
          <w:rFonts w:ascii="Times New Roman" w:hAnsi="Times New Roman" w:cs="Times New Roman"/>
          <w:sz w:val="24"/>
          <w:szCs w:val="24"/>
        </w:rPr>
      </w:pPr>
    </w:p>
    <w:p w:rsidR="007F25F6" w:rsidRPr="007F25F6" w:rsidRDefault="009B54D2" w:rsidP="007F25F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Сложившуюся ситуацию</w:t>
      </w:r>
      <w:r w:rsidR="007F25F6" w:rsidRPr="007F25F6">
        <w:rPr>
          <w:rFonts w:ascii="Times New Roman" w:hAnsi="Times New Roman" w:cs="Times New Roman"/>
          <w:sz w:val="24"/>
          <w:szCs w:val="24"/>
        </w:rPr>
        <w:t>, во многом, можно объяснить тем, что статистически значимое увеличение кредитной массы, направляемой, в основном</w:t>
      </w:r>
      <w:r>
        <w:rPr>
          <w:rFonts w:ascii="Times New Roman" w:hAnsi="Times New Roman" w:cs="Times New Roman"/>
          <w:sz w:val="24"/>
          <w:szCs w:val="24"/>
        </w:rPr>
        <w:t>,</w:t>
      </w:r>
      <w:bookmarkStart w:id="0" w:name="_GoBack"/>
      <w:bookmarkEnd w:id="0"/>
      <w:r w:rsidR="007F25F6" w:rsidRPr="007F25F6">
        <w:rPr>
          <w:rFonts w:ascii="Times New Roman" w:hAnsi="Times New Roman" w:cs="Times New Roman"/>
          <w:sz w:val="24"/>
          <w:szCs w:val="24"/>
        </w:rPr>
        <w:t xml:space="preserve"> на пополнение оборотных средств, а не на инвестиционные цели, связано, в первую очередь, с мелкими и средними организациями, которые в большей степени реагируют на изменения экономической и рыночной конъюнктуры. Преимущество же крупных </w:t>
      </w:r>
      <w:proofErr w:type="spellStart"/>
      <w:r w:rsidR="007F25F6" w:rsidRPr="007F25F6">
        <w:rPr>
          <w:rFonts w:ascii="Times New Roman" w:hAnsi="Times New Roman" w:cs="Times New Roman"/>
          <w:sz w:val="24"/>
          <w:szCs w:val="24"/>
        </w:rPr>
        <w:t>агрообъединений</w:t>
      </w:r>
      <w:proofErr w:type="spellEnd"/>
      <w:r w:rsidR="007F25F6" w:rsidRPr="007F25F6">
        <w:rPr>
          <w:rFonts w:ascii="Times New Roman" w:hAnsi="Times New Roman" w:cs="Times New Roman"/>
          <w:sz w:val="24"/>
          <w:szCs w:val="24"/>
        </w:rPr>
        <w:t xml:space="preserve"> заключается, в первую очередь, в способности нивелировать колебания внешней рыночной среды. Кроме того, отличительной особенностью крупных объединений является отличие в намерениях получения кредита, который направляется, по большей части, на инвестиционные цели. При этом вполне объяснимая инертность в развитии подобных структур не позволяет быстро подстраиваться под текущую ситуацию. Однако, на сегодняшний день подобные объединения, действующие, на различного рода, правовых основаниях, занимают не настолько большую долю в производственной структуре, чтобы существенно влиять на ситуацию в общероссийском масштабе.</w:t>
      </w: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 xml:space="preserve">Таким образом, обозначенные выше ключевые моменты, связанные со спецификой инвестиционной деятельности и кредитования бизнеса, напрямую связанные с ключевой ставкой, воздействуя одновременно, создают значительные препятствия для развития пищевой отрасли. По оценочным данным Росстата, за 9 месяцев 2025 года, впервые за последние 15 лет, зафиксировано снижению производства в пищевой отрасли на 0,6% в сравнении с аналогичным периодом прошлого года. При этом рост стоимости продовольствия на фоне спада производства (оборот пищевой промышленности в 2025 году вырос на 11,5% до 12,91 трлн. руб.) свидетельствует о, так называемом, стоимостном парадоксе, когда рост в отрасли связан не с расширением реального объема производства, а с увеличением цен. Стоит отметить, что часть негативного эффекта от высокой ключевой ставки частично смягчается государственными программами льготного кредитования для АПК. Однако их эффективность также зависит от существующего уровня ключевой ставки. </w:t>
      </w:r>
    </w:p>
    <w:p w:rsidR="007F25F6" w:rsidRPr="007F25F6" w:rsidRDefault="007F25F6" w:rsidP="007F25F6">
      <w:pPr>
        <w:spacing w:after="0" w:line="240" w:lineRule="auto"/>
        <w:ind w:firstLine="709"/>
        <w:jc w:val="both"/>
        <w:rPr>
          <w:rFonts w:ascii="Times New Roman" w:hAnsi="Times New Roman" w:cs="Times New Roman"/>
          <w:sz w:val="24"/>
          <w:szCs w:val="24"/>
        </w:rPr>
      </w:pPr>
      <w:r w:rsidRPr="007F25F6">
        <w:rPr>
          <w:rFonts w:ascii="Times New Roman" w:hAnsi="Times New Roman" w:cs="Times New Roman"/>
          <w:sz w:val="24"/>
          <w:szCs w:val="24"/>
        </w:rPr>
        <w:t xml:space="preserve">Проблема взаимовлияния процессов, протекающих в банковской сфере и пищевой промышленности, выходит далеко за пределы кредитных отношений. Специфику данной проблеме в силу отраслевых особенностей агропромышленного комплекса, в целом, и пищевой отрасли, в частности, придает активное участие государства, как источника получения дополнительных средств на осуществление хозяйственной деятельности в виде льготного кредитования и субсидирования. При этом механизм распределения господдержки в региональном разрезе еще не до конца отработан. Кроме того, в силу специфики пищевой промышленность, ее реакция на изменения в денежно-кредитной политике государства не </w:t>
      </w:r>
      <w:r w:rsidRPr="007F25F6">
        <w:rPr>
          <w:rFonts w:ascii="Times New Roman" w:hAnsi="Times New Roman" w:cs="Times New Roman"/>
          <w:sz w:val="24"/>
          <w:szCs w:val="24"/>
        </w:rPr>
        <w:lastRenderedPageBreak/>
        <w:t xml:space="preserve">совсем типична, как для других отраслей промышленности. Основной целью денежно-кредитной политики государства является поддержание ценовой стабильности, т.е. подержание уровня инфляции около 4%. Данный уровень инфляции обеспечивает, с одной стороны, благоприятные условия для ведения бизнеса, а с другой – устойчивость покупательной способности национальной валюты, что, в свою очередь, ведет к росту доходов населения. Однако, пищевая промышленность, в целом, демонстрирует низкую чувствительность к динамике доходов населения, поскольку существенная доля продукции, производимой в отрасли, является социально значимой с устойчивым спросом и нулевой эластичностью по доходам населения. Учитывая социальную значимость функционирования большинства отраслей пищепрома, а также тесную зависимость от сырьевой базы, т.е. конечного продукта смежных отраслей сельского хозяйства, немаловажную роль в поддержании стабильности их существования играет поддержка государства, что, в определенной степени, сглаживает реакцию отрасли на макроэкономические процессы. Меры поддержки отраслей пищевой промышленности со стороны государства в совокупности с использованием рыночных механизмов воздействия на развитие отечественного пищепрома, видится наиболее благоприятной перспективой для повышения конкурентоспособности пищевой и перерабатывающей промышленности России как на международных, так и на внутренних продуктовых рынках. </w:t>
      </w:r>
    </w:p>
    <w:p w:rsidR="007F25F6" w:rsidRDefault="007F25F6" w:rsidP="00D76DD7">
      <w:pPr>
        <w:spacing w:after="0" w:line="240" w:lineRule="auto"/>
        <w:ind w:firstLine="709"/>
        <w:jc w:val="both"/>
        <w:rPr>
          <w:rFonts w:ascii="Times New Roman" w:hAnsi="Times New Roman" w:cs="Times New Roman"/>
          <w:sz w:val="24"/>
          <w:szCs w:val="24"/>
        </w:rPr>
      </w:pPr>
    </w:p>
    <w:p w:rsidR="00542D79" w:rsidRPr="00E3128B" w:rsidRDefault="00E3128B" w:rsidP="00E3128B">
      <w:pPr>
        <w:spacing w:after="0" w:line="240" w:lineRule="auto"/>
        <w:ind w:firstLine="709"/>
        <w:jc w:val="center"/>
        <w:rPr>
          <w:rFonts w:ascii="Times New Roman" w:hAnsi="Times New Roman" w:cs="Times New Roman"/>
          <w:b/>
          <w:sz w:val="24"/>
          <w:szCs w:val="24"/>
        </w:rPr>
      </w:pPr>
      <w:r w:rsidRPr="00E3128B">
        <w:rPr>
          <w:rFonts w:ascii="Times New Roman" w:hAnsi="Times New Roman" w:cs="Times New Roman"/>
          <w:b/>
          <w:sz w:val="24"/>
          <w:szCs w:val="24"/>
        </w:rPr>
        <w:t>Библиографический список:</w:t>
      </w:r>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1.</w:t>
      </w:r>
      <w:r w:rsidRPr="009E640C">
        <w:t xml:space="preserve"> </w:t>
      </w:r>
      <w:proofErr w:type="spellStart"/>
      <w:r w:rsidRPr="009E640C">
        <w:rPr>
          <w:rFonts w:ascii="Times New Roman" w:hAnsi="Times New Roman" w:cs="Times New Roman"/>
          <w:sz w:val="24"/>
          <w:szCs w:val="24"/>
        </w:rPr>
        <w:t>Паршуков</w:t>
      </w:r>
      <w:proofErr w:type="spellEnd"/>
      <w:r w:rsidRPr="009E640C">
        <w:rPr>
          <w:rFonts w:ascii="Times New Roman" w:hAnsi="Times New Roman" w:cs="Times New Roman"/>
          <w:sz w:val="24"/>
          <w:szCs w:val="24"/>
        </w:rPr>
        <w:t xml:space="preserve"> Д.В., </w:t>
      </w:r>
      <w:proofErr w:type="spellStart"/>
      <w:r w:rsidRPr="009E640C">
        <w:rPr>
          <w:rFonts w:ascii="Times New Roman" w:hAnsi="Times New Roman" w:cs="Times New Roman"/>
          <w:sz w:val="24"/>
          <w:szCs w:val="24"/>
        </w:rPr>
        <w:t>Шапорова</w:t>
      </w:r>
      <w:proofErr w:type="spellEnd"/>
      <w:r w:rsidRPr="009E640C">
        <w:rPr>
          <w:rFonts w:ascii="Times New Roman" w:hAnsi="Times New Roman" w:cs="Times New Roman"/>
          <w:sz w:val="24"/>
          <w:szCs w:val="24"/>
        </w:rPr>
        <w:t xml:space="preserve"> З.Е. Влияние ключевой ставки ЦБ на эффективность и риски инвестиций в сельское хозяйство: стохастическая оценка и анализ чувствительности // Финансовый менеджмент. 2025. №7. С.122-130.</w:t>
      </w:r>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 xml:space="preserve">2. Белая А. Наконец-то наелись: пищевая промышленность России в рецессии впервые за 15 лет / </w:t>
      </w:r>
      <w:r w:rsidRPr="009E640C">
        <w:rPr>
          <w:rFonts w:ascii="Times New Roman" w:hAnsi="Times New Roman" w:cs="Times New Roman"/>
          <w:sz w:val="24"/>
          <w:szCs w:val="24"/>
          <w:lang w:val="en-US"/>
        </w:rPr>
        <w:t>Forbes</w:t>
      </w:r>
      <w:r w:rsidRPr="009E640C">
        <w:rPr>
          <w:rFonts w:ascii="Times New Roman" w:hAnsi="Times New Roman" w:cs="Times New Roman"/>
          <w:sz w:val="24"/>
          <w:szCs w:val="24"/>
        </w:rPr>
        <w:t>.</w:t>
      </w:r>
      <w:proofErr w:type="spellStart"/>
      <w:r w:rsidRPr="009E640C">
        <w:rPr>
          <w:rFonts w:ascii="Times New Roman" w:hAnsi="Times New Roman" w:cs="Times New Roman"/>
          <w:sz w:val="24"/>
          <w:szCs w:val="24"/>
          <w:lang w:val="en-US"/>
        </w:rPr>
        <w:t>ru</w:t>
      </w:r>
      <w:proofErr w:type="spellEnd"/>
      <w:r w:rsidRPr="009E640C">
        <w:rPr>
          <w:rFonts w:ascii="Times New Roman" w:hAnsi="Times New Roman" w:cs="Times New Roman"/>
          <w:sz w:val="24"/>
          <w:szCs w:val="24"/>
        </w:rPr>
        <w:t xml:space="preserve"> от 9.12.2025 г. // Режим доступа: </w:t>
      </w:r>
      <w:hyperlink r:id="rId10" w:history="1">
        <w:r w:rsidRPr="009E640C">
          <w:rPr>
            <w:rStyle w:val="a9"/>
            <w:rFonts w:ascii="Times New Roman" w:hAnsi="Times New Roman" w:cs="Times New Roman"/>
            <w:color w:val="auto"/>
            <w:sz w:val="24"/>
            <w:szCs w:val="24"/>
            <w:u w:val="none"/>
            <w:lang w:val="en-US"/>
          </w:rPr>
          <w:t>https</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www</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forbes</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ru</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sport</w:t>
        </w:r>
        <w:r w:rsidRPr="009E640C">
          <w:rPr>
            <w:rStyle w:val="a9"/>
            <w:rFonts w:ascii="Times New Roman" w:hAnsi="Times New Roman" w:cs="Times New Roman"/>
            <w:color w:val="auto"/>
            <w:sz w:val="24"/>
            <w:szCs w:val="24"/>
            <w:u w:val="none"/>
          </w:rPr>
          <w:t>/559631-</w:t>
        </w:r>
        <w:proofErr w:type="spellStart"/>
        <w:r w:rsidRPr="009E640C">
          <w:rPr>
            <w:rStyle w:val="a9"/>
            <w:rFonts w:ascii="Times New Roman" w:hAnsi="Times New Roman" w:cs="Times New Roman"/>
            <w:color w:val="auto"/>
            <w:sz w:val="24"/>
            <w:szCs w:val="24"/>
            <w:u w:val="none"/>
            <w:lang w:val="en-US"/>
          </w:rPr>
          <w:t>itogi</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dna</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v</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rpl</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cska</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i</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rostov</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sygrali</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vnic</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u</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soci</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obygral</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kryl</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a</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sovetov</w:t>
        </w:r>
        <w:proofErr w:type="spellEnd"/>
      </w:hyperlink>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3. Глава «</w:t>
      </w:r>
      <w:proofErr w:type="spellStart"/>
      <w:r w:rsidRPr="009E640C">
        <w:rPr>
          <w:rFonts w:ascii="Times New Roman" w:hAnsi="Times New Roman" w:cs="Times New Roman"/>
          <w:sz w:val="24"/>
          <w:szCs w:val="24"/>
        </w:rPr>
        <w:t>Мираторга</w:t>
      </w:r>
      <w:proofErr w:type="spellEnd"/>
      <w:r w:rsidRPr="009E640C">
        <w:rPr>
          <w:rFonts w:ascii="Times New Roman" w:hAnsi="Times New Roman" w:cs="Times New Roman"/>
          <w:sz w:val="24"/>
          <w:szCs w:val="24"/>
        </w:rPr>
        <w:t>»: мы ни один проект не остановили, но и новых крупных не начинали // Интервью президента «</w:t>
      </w:r>
      <w:proofErr w:type="spellStart"/>
      <w:r w:rsidRPr="009E640C">
        <w:rPr>
          <w:rFonts w:ascii="Times New Roman" w:hAnsi="Times New Roman" w:cs="Times New Roman"/>
          <w:sz w:val="24"/>
          <w:szCs w:val="24"/>
        </w:rPr>
        <w:t>Мираторга</w:t>
      </w:r>
      <w:proofErr w:type="spellEnd"/>
      <w:r w:rsidRPr="009E640C">
        <w:rPr>
          <w:rFonts w:ascii="Times New Roman" w:hAnsi="Times New Roman" w:cs="Times New Roman"/>
          <w:sz w:val="24"/>
          <w:szCs w:val="24"/>
        </w:rPr>
        <w:t xml:space="preserve">» Виктора </w:t>
      </w:r>
      <w:proofErr w:type="spellStart"/>
      <w:r w:rsidRPr="009E640C">
        <w:rPr>
          <w:rFonts w:ascii="Times New Roman" w:hAnsi="Times New Roman" w:cs="Times New Roman"/>
          <w:sz w:val="24"/>
          <w:szCs w:val="24"/>
        </w:rPr>
        <w:t>Линника</w:t>
      </w:r>
      <w:proofErr w:type="spellEnd"/>
      <w:r w:rsidRPr="009E640C">
        <w:rPr>
          <w:rFonts w:ascii="Times New Roman" w:hAnsi="Times New Roman" w:cs="Times New Roman"/>
          <w:sz w:val="24"/>
          <w:szCs w:val="24"/>
        </w:rPr>
        <w:t xml:space="preserve"> от 4.02.2026 года // Режим доступа:</w:t>
      </w:r>
      <w:r w:rsidRPr="009E640C">
        <w:t xml:space="preserve"> </w:t>
      </w:r>
      <w:hyperlink r:id="rId11" w:history="1">
        <w:r w:rsidRPr="009E640C">
          <w:rPr>
            <w:rStyle w:val="a9"/>
            <w:rFonts w:ascii="Times New Roman" w:hAnsi="Times New Roman" w:cs="Times New Roman"/>
            <w:color w:val="auto"/>
            <w:sz w:val="24"/>
            <w:szCs w:val="24"/>
            <w:u w:val="none"/>
          </w:rPr>
          <w:t>https://www.interfax.ru/interview/1070968?ysclid=mp2fz1hphz904822098</w:t>
        </w:r>
      </w:hyperlink>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 xml:space="preserve">4. </w:t>
      </w:r>
      <w:proofErr w:type="spellStart"/>
      <w:r w:rsidRPr="009E640C">
        <w:rPr>
          <w:rFonts w:ascii="Times New Roman" w:hAnsi="Times New Roman" w:cs="Times New Roman"/>
          <w:sz w:val="24"/>
          <w:szCs w:val="24"/>
        </w:rPr>
        <w:t>Паршуков</w:t>
      </w:r>
      <w:proofErr w:type="spellEnd"/>
      <w:r w:rsidRPr="009E640C">
        <w:rPr>
          <w:rFonts w:ascii="Times New Roman" w:hAnsi="Times New Roman" w:cs="Times New Roman"/>
          <w:sz w:val="24"/>
          <w:szCs w:val="24"/>
        </w:rPr>
        <w:t xml:space="preserve"> Д.В., </w:t>
      </w:r>
      <w:proofErr w:type="spellStart"/>
      <w:r w:rsidRPr="009E640C">
        <w:rPr>
          <w:rFonts w:ascii="Times New Roman" w:hAnsi="Times New Roman" w:cs="Times New Roman"/>
          <w:sz w:val="24"/>
          <w:szCs w:val="24"/>
        </w:rPr>
        <w:t>Шапорова</w:t>
      </w:r>
      <w:proofErr w:type="spellEnd"/>
      <w:r w:rsidRPr="009E640C">
        <w:rPr>
          <w:rFonts w:ascii="Times New Roman" w:hAnsi="Times New Roman" w:cs="Times New Roman"/>
          <w:sz w:val="24"/>
          <w:szCs w:val="24"/>
        </w:rPr>
        <w:t xml:space="preserve"> З.Е. Влияние ключевой ставки ЦБ на эффективность и риски инвестиций в сельское хозяйство: стохастическая оценка и анализ чувствительности // Финансовый менеджмент. 2025. №7. С.122-130.</w:t>
      </w:r>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 xml:space="preserve">5. В России восстанавливают больше леса, чем выбывает // НИА «Экология» от 6.10.2025 года / Режим доступа: </w:t>
      </w:r>
      <w:hyperlink r:id="rId12" w:history="1">
        <w:r w:rsidRPr="009E640C">
          <w:rPr>
            <w:rStyle w:val="a9"/>
            <w:rFonts w:ascii="Times New Roman" w:hAnsi="Times New Roman" w:cs="Times New Roman"/>
            <w:color w:val="auto"/>
            <w:sz w:val="24"/>
            <w:szCs w:val="24"/>
            <w:u w:val="none"/>
            <w:lang w:val="en-US"/>
          </w:rPr>
          <w:t>https</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nia</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eco</w:t>
        </w:r>
        <w:r w:rsidRPr="009E640C">
          <w:rPr>
            <w:rStyle w:val="a9"/>
            <w:rFonts w:ascii="Times New Roman" w:hAnsi="Times New Roman" w:cs="Times New Roman"/>
            <w:color w:val="auto"/>
            <w:sz w:val="24"/>
            <w:szCs w:val="24"/>
            <w:u w:val="none"/>
          </w:rPr>
          <w:t>/2025/10/06/108719/</w:t>
        </w:r>
      </w:hyperlink>
    </w:p>
    <w:p w:rsidR="009E640C" w:rsidRPr="009E640C" w:rsidRDefault="009E640C" w:rsidP="009E640C">
      <w:pPr>
        <w:spacing w:after="0"/>
        <w:ind w:firstLine="709"/>
        <w:jc w:val="both"/>
        <w:rPr>
          <w:rFonts w:ascii="Times New Roman" w:hAnsi="Times New Roman" w:cs="Times New Roman"/>
          <w:sz w:val="24"/>
          <w:szCs w:val="24"/>
        </w:rPr>
      </w:pPr>
      <w:r w:rsidRPr="009E640C">
        <w:rPr>
          <w:rFonts w:ascii="Times New Roman" w:hAnsi="Times New Roman" w:cs="Times New Roman"/>
          <w:sz w:val="24"/>
          <w:szCs w:val="24"/>
        </w:rPr>
        <w:t>6. Что происходит с пищевой промышленностью России в 2025 году // ИП «</w:t>
      </w:r>
      <w:r w:rsidRPr="009E640C">
        <w:rPr>
          <w:rFonts w:ascii="Times New Roman" w:hAnsi="Times New Roman" w:cs="Times New Roman"/>
          <w:sz w:val="24"/>
          <w:szCs w:val="24"/>
          <w:lang w:val="en-US"/>
        </w:rPr>
        <w:t>ECOMHUB</w:t>
      </w:r>
      <w:r w:rsidRPr="009E640C">
        <w:rPr>
          <w:rFonts w:ascii="Times New Roman" w:hAnsi="Times New Roman" w:cs="Times New Roman"/>
          <w:sz w:val="24"/>
          <w:szCs w:val="24"/>
        </w:rPr>
        <w:t xml:space="preserve">» от 9.12.2025 / Режим доступа: </w:t>
      </w:r>
      <w:hyperlink r:id="rId13" w:history="1">
        <w:r w:rsidRPr="009E640C">
          <w:rPr>
            <w:rStyle w:val="a9"/>
            <w:rFonts w:ascii="Times New Roman" w:hAnsi="Times New Roman" w:cs="Times New Roman"/>
            <w:color w:val="auto"/>
            <w:sz w:val="24"/>
            <w:szCs w:val="24"/>
            <w:u w:val="none"/>
            <w:lang w:val="en-US"/>
          </w:rPr>
          <w:t>https</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ecomhub</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ru</w:t>
        </w:r>
        <w:proofErr w:type="spellEnd"/>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russia</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food</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industry</w:t>
        </w:r>
        <w:r w:rsidRPr="009E640C">
          <w:rPr>
            <w:rStyle w:val="a9"/>
            <w:rFonts w:ascii="Times New Roman" w:hAnsi="Times New Roman" w:cs="Times New Roman"/>
            <w:color w:val="auto"/>
            <w:sz w:val="24"/>
            <w:szCs w:val="24"/>
            <w:u w:val="none"/>
          </w:rPr>
          <w:t>-2025-</w:t>
        </w:r>
        <w:r w:rsidRPr="009E640C">
          <w:rPr>
            <w:rStyle w:val="a9"/>
            <w:rFonts w:ascii="Times New Roman" w:hAnsi="Times New Roman" w:cs="Times New Roman"/>
            <w:color w:val="auto"/>
            <w:sz w:val="24"/>
            <w:szCs w:val="24"/>
            <w:u w:val="none"/>
            <w:lang w:val="en-US"/>
          </w:rPr>
          <w:t>decline</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investments</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retail</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ready</w:t>
        </w:r>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meals</w:t>
        </w:r>
        <w:r w:rsidRPr="009E640C">
          <w:rPr>
            <w:rStyle w:val="a9"/>
            <w:rFonts w:ascii="Times New Roman" w:hAnsi="Times New Roman" w:cs="Times New Roman"/>
            <w:color w:val="auto"/>
            <w:sz w:val="24"/>
            <w:szCs w:val="24"/>
            <w:u w:val="none"/>
          </w:rPr>
          <w:t>/?</w:t>
        </w:r>
        <w:proofErr w:type="spellStart"/>
        <w:r w:rsidRPr="009E640C">
          <w:rPr>
            <w:rStyle w:val="a9"/>
            <w:rFonts w:ascii="Times New Roman" w:hAnsi="Times New Roman" w:cs="Times New Roman"/>
            <w:color w:val="auto"/>
            <w:sz w:val="24"/>
            <w:szCs w:val="24"/>
            <w:u w:val="none"/>
            <w:lang w:val="en-US"/>
          </w:rPr>
          <w:t>ysclid</w:t>
        </w:r>
        <w:proofErr w:type="spellEnd"/>
        <w:r w:rsidRPr="009E640C">
          <w:rPr>
            <w:rStyle w:val="a9"/>
            <w:rFonts w:ascii="Times New Roman" w:hAnsi="Times New Roman" w:cs="Times New Roman"/>
            <w:color w:val="auto"/>
            <w:sz w:val="24"/>
            <w:szCs w:val="24"/>
            <w:u w:val="none"/>
          </w:rPr>
          <w:t>=</w:t>
        </w:r>
        <w:r w:rsidRPr="009E640C">
          <w:rPr>
            <w:rStyle w:val="a9"/>
            <w:rFonts w:ascii="Times New Roman" w:hAnsi="Times New Roman" w:cs="Times New Roman"/>
            <w:color w:val="auto"/>
            <w:sz w:val="24"/>
            <w:szCs w:val="24"/>
            <w:u w:val="none"/>
            <w:lang w:val="en-US"/>
          </w:rPr>
          <w:t>mob</w:t>
        </w:r>
        <w:r w:rsidRPr="009E640C">
          <w:rPr>
            <w:rStyle w:val="a9"/>
            <w:rFonts w:ascii="Times New Roman" w:hAnsi="Times New Roman" w:cs="Times New Roman"/>
            <w:color w:val="auto"/>
            <w:sz w:val="24"/>
            <w:szCs w:val="24"/>
            <w:u w:val="none"/>
          </w:rPr>
          <w:t>8</w:t>
        </w:r>
        <w:r w:rsidRPr="009E640C">
          <w:rPr>
            <w:rStyle w:val="a9"/>
            <w:rFonts w:ascii="Times New Roman" w:hAnsi="Times New Roman" w:cs="Times New Roman"/>
            <w:color w:val="auto"/>
            <w:sz w:val="24"/>
            <w:szCs w:val="24"/>
            <w:u w:val="none"/>
            <w:lang w:val="en-US"/>
          </w:rPr>
          <w:t>e</w:t>
        </w:r>
        <w:r w:rsidRPr="009E640C">
          <w:rPr>
            <w:rStyle w:val="a9"/>
            <w:rFonts w:ascii="Times New Roman" w:hAnsi="Times New Roman" w:cs="Times New Roman"/>
            <w:color w:val="auto"/>
            <w:sz w:val="24"/>
            <w:szCs w:val="24"/>
            <w:u w:val="none"/>
          </w:rPr>
          <w:t>9</w:t>
        </w:r>
        <w:proofErr w:type="spellStart"/>
        <w:r w:rsidRPr="009E640C">
          <w:rPr>
            <w:rStyle w:val="a9"/>
            <w:rFonts w:ascii="Times New Roman" w:hAnsi="Times New Roman" w:cs="Times New Roman"/>
            <w:color w:val="auto"/>
            <w:sz w:val="24"/>
            <w:szCs w:val="24"/>
            <w:u w:val="none"/>
            <w:lang w:val="en-US"/>
          </w:rPr>
          <w:t>ydis</w:t>
        </w:r>
        <w:proofErr w:type="spellEnd"/>
        <w:r w:rsidRPr="009E640C">
          <w:rPr>
            <w:rStyle w:val="a9"/>
            <w:rFonts w:ascii="Times New Roman" w:hAnsi="Times New Roman" w:cs="Times New Roman"/>
            <w:color w:val="auto"/>
            <w:sz w:val="24"/>
            <w:szCs w:val="24"/>
            <w:u w:val="none"/>
          </w:rPr>
          <w:t>617142713</w:t>
        </w:r>
      </w:hyperlink>
    </w:p>
    <w:p w:rsidR="00542D79" w:rsidRDefault="00542D79" w:rsidP="00A741BF">
      <w:pPr>
        <w:spacing w:after="0" w:line="240" w:lineRule="auto"/>
        <w:ind w:firstLine="709"/>
        <w:rPr>
          <w:rFonts w:ascii="Times New Roman" w:hAnsi="Times New Roman" w:cs="Times New Roman"/>
          <w:sz w:val="24"/>
          <w:szCs w:val="24"/>
        </w:rPr>
      </w:pPr>
    </w:p>
    <w:p w:rsidR="00376FE6" w:rsidRPr="00376FE6" w:rsidRDefault="00376FE6" w:rsidP="00376FE6">
      <w:pPr>
        <w:spacing w:after="0" w:line="240" w:lineRule="auto"/>
        <w:ind w:firstLine="709"/>
        <w:jc w:val="center"/>
        <w:rPr>
          <w:rFonts w:ascii="Times New Roman" w:hAnsi="Times New Roman" w:cs="Times New Roman"/>
          <w:b/>
          <w:sz w:val="24"/>
          <w:szCs w:val="24"/>
        </w:rPr>
      </w:pPr>
      <w:r w:rsidRPr="00376FE6">
        <w:rPr>
          <w:rFonts w:ascii="Times New Roman" w:hAnsi="Times New Roman" w:cs="Times New Roman"/>
          <w:b/>
          <w:sz w:val="24"/>
          <w:szCs w:val="24"/>
        </w:rPr>
        <w:t>Информация об авторе:</w:t>
      </w:r>
    </w:p>
    <w:p w:rsidR="00376FE6" w:rsidRPr="006C2337" w:rsidRDefault="00686F7C" w:rsidP="00686F7C">
      <w:pPr>
        <w:spacing w:after="0" w:line="240" w:lineRule="auto"/>
        <w:ind w:firstLine="709"/>
        <w:jc w:val="both"/>
        <w:rPr>
          <w:rFonts w:ascii="Times New Roman" w:hAnsi="Times New Roman" w:cs="Times New Roman"/>
          <w:sz w:val="24"/>
          <w:szCs w:val="24"/>
          <w:lang w:val="en-US"/>
        </w:rPr>
      </w:pPr>
      <w:r w:rsidRPr="00056522">
        <w:rPr>
          <w:rFonts w:ascii="Times New Roman" w:hAnsi="Times New Roman" w:cs="Times New Roman"/>
          <w:b/>
          <w:sz w:val="24"/>
          <w:szCs w:val="24"/>
        </w:rPr>
        <w:t>Трифонова Елена Николаевна</w:t>
      </w:r>
      <w:r w:rsidR="00056522">
        <w:rPr>
          <w:rFonts w:ascii="Times New Roman" w:hAnsi="Times New Roman" w:cs="Times New Roman"/>
          <w:sz w:val="24"/>
          <w:szCs w:val="24"/>
        </w:rPr>
        <w:t xml:space="preserve"> (Россия, г. Саратов)</w:t>
      </w:r>
      <w:r w:rsidRPr="00686F7C">
        <w:rPr>
          <w:rFonts w:ascii="Times New Roman" w:hAnsi="Times New Roman" w:cs="Times New Roman"/>
          <w:sz w:val="24"/>
          <w:szCs w:val="24"/>
        </w:rPr>
        <w:t>,</w:t>
      </w:r>
      <w:r w:rsidR="00C865C9">
        <w:rPr>
          <w:rFonts w:ascii="Times New Roman" w:hAnsi="Times New Roman" w:cs="Times New Roman"/>
          <w:sz w:val="24"/>
          <w:szCs w:val="24"/>
        </w:rPr>
        <w:t xml:space="preserve"> к.э.н., доцент, старший научный сотрудник лаборатории инновационного развития производственного потенциала агропродовольственного комплекса</w:t>
      </w:r>
      <w:r w:rsidRPr="00686F7C">
        <w:rPr>
          <w:rFonts w:ascii="Times New Roman" w:hAnsi="Times New Roman" w:cs="Times New Roman"/>
          <w:sz w:val="24"/>
          <w:szCs w:val="24"/>
        </w:rPr>
        <w:t xml:space="preserve"> Институт</w:t>
      </w:r>
      <w:r w:rsidR="006A74B0">
        <w:rPr>
          <w:rFonts w:ascii="Times New Roman" w:hAnsi="Times New Roman" w:cs="Times New Roman"/>
          <w:sz w:val="24"/>
          <w:szCs w:val="24"/>
        </w:rPr>
        <w:t>а аграрных проблем – обособленного структурного подразделения</w:t>
      </w:r>
      <w:r w:rsidRPr="00686F7C">
        <w:rPr>
          <w:rFonts w:ascii="Times New Roman" w:hAnsi="Times New Roman" w:cs="Times New Roman"/>
          <w:sz w:val="24"/>
          <w:szCs w:val="24"/>
        </w:rPr>
        <w:t xml:space="preserve"> Федерального государственного бюджетного учреждения науки Федерального исследовательского центра «Саратовский научный ц</w:t>
      </w:r>
      <w:r w:rsidR="000450E9">
        <w:rPr>
          <w:rFonts w:ascii="Times New Roman" w:hAnsi="Times New Roman" w:cs="Times New Roman"/>
          <w:sz w:val="24"/>
          <w:szCs w:val="24"/>
        </w:rPr>
        <w:t>ентр Российской академии наук» (</w:t>
      </w:r>
      <w:r w:rsidR="003E523C" w:rsidRPr="003E523C">
        <w:rPr>
          <w:rFonts w:ascii="Times New Roman" w:hAnsi="Times New Roman" w:cs="Times New Roman"/>
          <w:sz w:val="24"/>
          <w:szCs w:val="24"/>
        </w:rPr>
        <w:t>410012</w:t>
      </w:r>
      <w:r w:rsidR="003E523C">
        <w:rPr>
          <w:rFonts w:ascii="Times New Roman" w:hAnsi="Times New Roman" w:cs="Times New Roman"/>
          <w:sz w:val="24"/>
          <w:szCs w:val="24"/>
        </w:rPr>
        <w:t xml:space="preserve"> </w:t>
      </w:r>
      <w:r w:rsidR="000450E9">
        <w:rPr>
          <w:rFonts w:ascii="Times New Roman" w:hAnsi="Times New Roman" w:cs="Times New Roman"/>
          <w:sz w:val="24"/>
          <w:szCs w:val="24"/>
        </w:rPr>
        <w:t>г.</w:t>
      </w:r>
      <w:r w:rsidR="00C92A85">
        <w:rPr>
          <w:rFonts w:ascii="Times New Roman" w:hAnsi="Times New Roman" w:cs="Times New Roman"/>
          <w:sz w:val="24"/>
          <w:szCs w:val="24"/>
        </w:rPr>
        <w:t xml:space="preserve"> </w:t>
      </w:r>
      <w:r w:rsidR="000450E9">
        <w:rPr>
          <w:rFonts w:ascii="Times New Roman" w:hAnsi="Times New Roman" w:cs="Times New Roman"/>
          <w:sz w:val="24"/>
          <w:szCs w:val="24"/>
        </w:rPr>
        <w:t>Саратов,</w:t>
      </w:r>
      <w:r w:rsidR="00C92A85">
        <w:rPr>
          <w:rFonts w:ascii="Times New Roman" w:hAnsi="Times New Roman" w:cs="Times New Roman"/>
          <w:sz w:val="24"/>
          <w:szCs w:val="24"/>
        </w:rPr>
        <w:t xml:space="preserve"> ул. Московск</w:t>
      </w:r>
      <w:r w:rsidR="00C92A85" w:rsidRPr="00FE017E">
        <w:rPr>
          <w:rFonts w:ascii="Times New Roman" w:hAnsi="Times New Roman" w:cs="Times New Roman"/>
          <w:sz w:val="24"/>
          <w:szCs w:val="24"/>
        </w:rPr>
        <w:t>ая</w:t>
      </w:r>
      <w:r w:rsidR="00C92A85" w:rsidRPr="006C2337">
        <w:rPr>
          <w:rFonts w:ascii="Times New Roman" w:hAnsi="Times New Roman" w:cs="Times New Roman"/>
          <w:sz w:val="24"/>
          <w:szCs w:val="24"/>
          <w:lang w:val="en-US"/>
        </w:rPr>
        <w:t>,</w:t>
      </w:r>
      <w:r w:rsidR="000450E9" w:rsidRPr="006C2337">
        <w:rPr>
          <w:rFonts w:ascii="Times New Roman" w:hAnsi="Times New Roman" w:cs="Times New Roman"/>
          <w:sz w:val="24"/>
          <w:szCs w:val="24"/>
          <w:lang w:val="en-US"/>
        </w:rPr>
        <w:t xml:space="preserve"> 94)</w:t>
      </w:r>
      <w:r w:rsidR="003E523C" w:rsidRPr="006C2337">
        <w:rPr>
          <w:rFonts w:ascii="Times New Roman" w:hAnsi="Times New Roman" w:cs="Times New Roman"/>
          <w:sz w:val="24"/>
          <w:szCs w:val="24"/>
          <w:lang w:val="en-US"/>
        </w:rPr>
        <w:t>,</w:t>
      </w:r>
      <w:r w:rsidRPr="006C2337">
        <w:rPr>
          <w:rFonts w:ascii="Times New Roman" w:hAnsi="Times New Roman" w:cs="Times New Roman"/>
          <w:sz w:val="24"/>
          <w:szCs w:val="24"/>
          <w:lang w:val="en-US"/>
        </w:rPr>
        <w:t xml:space="preserve"> </w:t>
      </w:r>
      <w:hyperlink r:id="rId14" w:history="1">
        <w:r w:rsidR="00FE017E" w:rsidRPr="006C2337">
          <w:rPr>
            <w:rStyle w:val="a9"/>
            <w:rFonts w:ascii="Times New Roman" w:hAnsi="Times New Roman" w:cs="Times New Roman"/>
            <w:color w:val="auto"/>
            <w:sz w:val="24"/>
            <w:szCs w:val="24"/>
            <w:u w:val="none"/>
            <w:lang w:val="en-US"/>
          </w:rPr>
          <w:t>trif-elena@yandex.ru</w:t>
        </w:r>
      </w:hyperlink>
    </w:p>
    <w:p w:rsidR="00FE017E" w:rsidRPr="006C2337" w:rsidRDefault="00FE017E" w:rsidP="00686F7C">
      <w:pPr>
        <w:spacing w:after="0" w:line="240" w:lineRule="auto"/>
        <w:ind w:firstLine="709"/>
        <w:jc w:val="both"/>
        <w:rPr>
          <w:rFonts w:ascii="Times New Roman" w:hAnsi="Times New Roman" w:cs="Times New Roman"/>
          <w:sz w:val="24"/>
          <w:szCs w:val="24"/>
          <w:lang w:val="en-US"/>
        </w:rPr>
      </w:pPr>
    </w:p>
    <w:p w:rsidR="003A3F16" w:rsidRPr="003A3F16" w:rsidRDefault="003A3F16" w:rsidP="003A3F16">
      <w:pPr>
        <w:spacing w:after="0" w:line="240" w:lineRule="auto"/>
        <w:ind w:firstLine="709"/>
        <w:jc w:val="right"/>
        <w:rPr>
          <w:rFonts w:ascii="Times New Roman" w:hAnsi="Times New Roman" w:cs="Times New Roman"/>
          <w:b/>
          <w:sz w:val="24"/>
          <w:szCs w:val="24"/>
          <w:lang w:val="en-US"/>
        </w:rPr>
      </w:pPr>
      <w:proofErr w:type="spellStart"/>
      <w:r w:rsidRPr="003A3F16">
        <w:rPr>
          <w:rFonts w:ascii="Times New Roman" w:hAnsi="Times New Roman" w:cs="Times New Roman"/>
          <w:b/>
          <w:sz w:val="24"/>
          <w:szCs w:val="24"/>
          <w:lang w:val="en-US"/>
        </w:rPr>
        <w:t>Trifonova</w:t>
      </w:r>
      <w:proofErr w:type="spellEnd"/>
      <w:r w:rsidRPr="003A3F16">
        <w:rPr>
          <w:rFonts w:ascii="Times New Roman" w:hAnsi="Times New Roman" w:cs="Times New Roman"/>
          <w:b/>
          <w:sz w:val="24"/>
          <w:szCs w:val="24"/>
          <w:lang w:val="en-US"/>
        </w:rPr>
        <w:t xml:space="preserve"> E.N.</w:t>
      </w:r>
    </w:p>
    <w:p w:rsidR="003A3F16" w:rsidRPr="003A3F16" w:rsidRDefault="000B47D5" w:rsidP="003A3F16">
      <w:pPr>
        <w:spacing w:after="0" w:line="240" w:lineRule="auto"/>
        <w:ind w:firstLine="709"/>
        <w:jc w:val="center"/>
        <w:rPr>
          <w:rFonts w:ascii="Times New Roman" w:hAnsi="Times New Roman" w:cs="Times New Roman"/>
          <w:b/>
          <w:sz w:val="24"/>
          <w:szCs w:val="24"/>
          <w:lang w:val="en-US"/>
        </w:rPr>
      </w:pPr>
      <w:r w:rsidRPr="000B47D5">
        <w:rPr>
          <w:rFonts w:ascii="Times New Roman" w:hAnsi="Times New Roman" w:cs="Times New Roman"/>
          <w:b/>
          <w:sz w:val="24"/>
          <w:szCs w:val="24"/>
          <w:lang w:val="en-US"/>
        </w:rPr>
        <w:t>THE IMPACT OF STATE MONETARY POLICY ON THE GROWTH RATE OF THE FOOD INDUSTRY IN RUSSIA</w:t>
      </w:r>
    </w:p>
    <w:p w:rsidR="003A3F16" w:rsidRPr="003A3F16" w:rsidRDefault="003A3F16" w:rsidP="003A3F16">
      <w:pPr>
        <w:spacing w:after="0" w:line="240" w:lineRule="auto"/>
        <w:ind w:firstLine="709"/>
        <w:jc w:val="both"/>
        <w:rPr>
          <w:rFonts w:ascii="Times New Roman" w:hAnsi="Times New Roman" w:cs="Times New Roman"/>
          <w:sz w:val="24"/>
          <w:szCs w:val="24"/>
          <w:lang w:val="en-US"/>
        </w:rPr>
      </w:pPr>
      <w:r w:rsidRPr="003A3F16">
        <w:rPr>
          <w:rFonts w:ascii="Times New Roman" w:hAnsi="Times New Roman" w:cs="Times New Roman"/>
          <w:b/>
          <w:sz w:val="24"/>
          <w:szCs w:val="24"/>
          <w:lang w:val="en-US"/>
        </w:rPr>
        <w:lastRenderedPageBreak/>
        <w:t>Abstract</w:t>
      </w:r>
      <w:r w:rsidRPr="003A3F16">
        <w:rPr>
          <w:rFonts w:ascii="Times New Roman" w:hAnsi="Times New Roman" w:cs="Times New Roman"/>
          <w:sz w:val="24"/>
          <w:szCs w:val="24"/>
          <w:lang w:val="en-US"/>
        </w:rPr>
        <w:t xml:space="preserve">: </w:t>
      </w:r>
      <w:r w:rsidR="00111B06" w:rsidRPr="00111B06">
        <w:rPr>
          <w:rFonts w:ascii="Times New Roman" w:hAnsi="Times New Roman" w:cs="Times New Roman"/>
          <w:sz w:val="24"/>
          <w:szCs w:val="24"/>
          <w:lang w:val="en-US"/>
        </w:rPr>
        <w:t>The relationship between the Central Bank's key rate and production volumes in the Russian food industry is analyzed. The dynamics of outstanding debt among food industry organizations is examined. The role of monetary policy as a tool for government regulation of food industry sectors is substantiated.</w:t>
      </w:r>
    </w:p>
    <w:p w:rsidR="00FE017E" w:rsidRDefault="003A3F16" w:rsidP="003A3F16">
      <w:pPr>
        <w:spacing w:after="0" w:line="240" w:lineRule="auto"/>
        <w:ind w:firstLine="709"/>
        <w:jc w:val="both"/>
        <w:rPr>
          <w:rFonts w:ascii="Times New Roman" w:hAnsi="Times New Roman" w:cs="Times New Roman"/>
          <w:sz w:val="24"/>
          <w:szCs w:val="24"/>
          <w:lang w:val="en-US"/>
        </w:rPr>
      </w:pPr>
      <w:r w:rsidRPr="003A3F16">
        <w:rPr>
          <w:rFonts w:ascii="Times New Roman" w:hAnsi="Times New Roman" w:cs="Times New Roman"/>
          <w:b/>
          <w:sz w:val="24"/>
          <w:szCs w:val="24"/>
          <w:lang w:val="en-US"/>
        </w:rPr>
        <w:t>Keywords</w:t>
      </w:r>
      <w:r w:rsidRPr="003A3F16">
        <w:rPr>
          <w:rFonts w:ascii="Times New Roman" w:hAnsi="Times New Roman" w:cs="Times New Roman"/>
          <w:sz w:val="24"/>
          <w:szCs w:val="24"/>
          <w:lang w:val="en-US"/>
        </w:rPr>
        <w:t xml:space="preserve">: </w:t>
      </w:r>
      <w:r w:rsidR="000B47D5" w:rsidRPr="000B47D5">
        <w:rPr>
          <w:rFonts w:ascii="Times New Roman" w:hAnsi="Times New Roman" w:cs="Times New Roman"/>
          <w:sz w:val="24"/>
          <w:szCs w:val="24"/>
          <w:lang w:val="en-US"/>
        </w:rPr>
        <w:t>food and processing industry, sustainable development, monetary policy, key rate</w:t>
      </w:r>
    </w:p>
    <w:p w:rsidR="006E1286" w:rsidRDefault="006E1286" w:rsidP="003A3F16">
      <w:pPr>
        <w:spacing w:after="0" w:line="240" w:lineRule="auto"/>
        <w:ind w:firstLine="709"/>
        <w:jc w:val="both"/>
        <w:rPr>
          <w:rFonts w:ascii="Times New Roman" w:hAnsi="Times New Roman" w:cs="Times New Roman"/>
          <w:sz w:val="24"/>
          <w:szCs w:val="24"/>
          <w:lang w:val="en-US"/>
        </w:rPr>
      </w:pPr>
    </w:p>
    <w:p w:rsidR="006E1286" w:rsidRPr="006E1286" w:rsidRDefault="006E1286" w:rsidP="006E1286">
      <w:pPr>
        <w:spacing w:after="0" w:line="240" w:lineRule="auto"/>
        <w:ind w:firstLine="709"/>
        <w:jc w:val="center"/>
        <w:rPr>
          <w:rFonts w:ascii="Times New Roman" w:hAnsi="Times New Roman" w:cs="Times New Roman"/>
          <w:b/>
          <w:sz w:val="24"/>
          <w:szCs w:val="24"/>
          <w:lang w:val="en-US"/>
        </w:rPr>
      </w:pPr>
      <w:r w:rsidRPr="006E1286">
        <w:rPr>
          <w:rFonts w:ascii="Times New Roman" w:hAnsi="Times New Roman" w:cs="Times New Roman"/>
          <w:b/>
          <w:sz w:val="24"/>
          <w:szCs w:val="24"/>
          <w:lang w:val="en-US"/>
        </w:rPr>
        <w:t>Information about the author:</w:t>
      </w:r>
    </w:p>
    <w:p w:rsidR="006E1286" w:rsidRDefault="006E1286" w:rsidP="006E1286">
      <w:pPr>
        <w:spacing w:after="0" w:line="240" w:lineRule="auto"/>
        <w:ind w:firstLine="709"/>
        <w:jc w:val="both"/>
        <w:rPr>
          <w:rFonts w:ascii="Times New Roman" w:hAnsi="Times New Roman" w:cs="Times New Roman"/>
          <w:sz w:val="24"/>
          <w:szCs w:val="24"/>
          <w:lang w:val="en-US"/>
        </w:rPr>
      </w:pPr>
      <w:proofErr w:type="spellStart"/>
      <w:r w:rsidRPr="006E1286">
        <w:rPr>
          <w:rFonts w:ascii="Times New Roman" w:hAnsi="Times New Roman" w:cs="Times New Roman"/>
          <w:sz w:val="24"/>
          <w:szCs w:val="24"/>
          <w:lang w:val="en-US"/>
        </w:rPr>
        <w:t>Trifonova</w:t>
      </w:r>
      <w:proofErr w:type="spellEnd"/>
      <w:r w:rsidRPr="006E1286">
        <w:rPr>
          <w:rFonts w:ascii="Times New Roman" w:hAnsi="Times New Roman" w:cs="Times New Roman"/>
          <w:sz w:val="24"/>
          <w:szCs w:val="24"/>
          <w:lang w:val="en-US"/>
        </w:rPr>
        <w:t xml:space="preserve"> Elena </w:t>
      </w:r>
      <w:proofErr w:type="spellStart"/>
      <w:r w:rsidRPr="006E1286">
        <w:rPr>
          <w:rFonts w:ascii="Times New Roman" w:hAnsi="Times New Roman" w:cs="Times New Roman"/>
          <w:sz w:val="24"/>
          <w:szCs w:val="24"/>
          <w:lang w:val="en-US"/>
        </w:rPr>
        <w:t>Nikolaevna</w:t>
      </w:r>
      <w:proofErr w:type="spellEnd"/>
      <w:r w:rsidRPr="006E1286">
        <w:rPr>
          <w:rFonts w:ascii="Times New Roman" w:hAnsi="Times New Roman" w:cs="Times New Roman"/>
          <w:sz w:val="24"/>
          <w:szCs w:val="24"/>
          <w:lang w:val="en-US"/>
        </w:rPr>
        <w:t xml:space="preserve"> (Russia, Saratov), ​​PhD in Economics, Associate Professor, Senior Researcher, Laboratory of Innovative Development of Production Potential of the Agro-Food Complex, Institute of Agrarian Problems - Subdivision of the Federal State Budgetary Research Institution Saratov Federal Scientific Center of the Russian Academy of Sciences (410012, Saratov, </w:t>
      </w:r>
      <w:proofErr w:type="spellStart"/>
      <w:r w:rsidRPr="006E1286">
        <w:rPr>
          <w:rFonts w:ascii="Times New Roman" w:hAnsi="Times New Roman" w:cs="Times New Roman"/>
          <w:sz w:val="24"/>
          <w:szCs w:val="24"/>
          <w:lang w:val="en-US"/>
        </w:rPr>
        <w:t>Moskovskaya</w:t>
      </w:r>
      <w:proofErr w:type="spellEnd"/>
      <w:r w:rsidRPr="006E1286">
        <w:rPr>
          <w:rFonts w:ascii="Times New Roman" w:hAnsi="Times New Roman" w:cs="Times New Roman"/>
          <w:sz w:val="24"/>
          <w:szCs w:val="24"/>
          <w:lang w:val="en-US"/>
        </w:rPr>
        <w:t xml:space="preserve"> St., </w:t>
      </w:r>
      <w:r w:rsidRPr="00036A53">
        <w:rPr>
          <w:rFonts w:ascii="Times New Roman" w:hAnsi="Times New Roman" w:cs="Times New Roman"/>
          <w:sz w:val="24"/>
          <w:szCs w:val="24"/>
          <w:lang w:val="en-US"/>
        </w:rPr>
        <w:t xml:space="preserve">94), </w:t>
      </w:r>
      <w:hyperlink r:id="rId15" w:history="1">
        <w:r w:rsidR="00036A53" w:rsidRPr="00036A53">
          <w:rPr>
            <w:rStyle w:val="a9"/>
            <w:rFonts w:ascii="Times New Roman" w:hAnsi="Times New Roman" w:cs="Times New Roman"/>
            <w:color w:val="auto"/>
            <w:sz w:val="24"/>
            <w:szCs w:val="24"/>
            <w:u w:val="none"/>
            <w:lang w:val="en-US"/>
          </w:rPr>
          <w:t>trif-elena@yandex.ru</w:t>
        </w:r>
      </w:hyperlink>
    </w:p>
    <w:p w:rsidR="00036A53" w:rsidRDefault="00036A53" w:rsidP="006E1286">
      <w:pPr>
        <w:spacing w:after="0" w:line="240" w:lineRule="auto"/>
        <w:ind w:firstLine="709"/>
        <w:jc w:val="both"/>
        <w:rPr>
          <w:rFonts w:ascii="Times New Roman" w:hAnsi="Times New Roman" w:cs="Times New Roman"/>
          <w:sz w:val="24"/>
          <w:szCs w:val="24"/>
          <w:lang w:val="en-US"/>
        </w:rPr>
      </w:pPr>
    </w:p>
    <w:p w:rsidR="00036A53" w:rsidRPr="00036A53" w:rsidRDefault="00036A53" w:rsidP="00036A53">
      <w:pPr>
        <w:spacing w:after="0" w:line="240" w:lineRule="auto"/>
        <w:ind w:firstLine="709"/>
        <w:jc w:val="center"/>
        <w:rPr>
          <w:rFonts w:ascii="Times New Roman" w:hAnsi="Times New Roman" w:cs="Times New Roman"/>
          <w:b/>
          <w:sz w:val="24"/>
          <w:szCs w:val="24"/>
          <w:lang w:val="en-US"/>
        </w:rPr>
      </w:pPr>
      <w:r w:rsidRPr="00036A53">
        <w:rPr>
          <w:rFonts w:ascii="Times New Roman" w:hAnsi="Times New Roman" w:cs="Times New Roman"/>
          <w:b/>
          <w:sz w:val="24"/>
          <w:szCs w:val="24"/>
          <w:lang w:val="en-US"/>
        </w:rPr>
        <w:t>Bibliographic list:</w:t>
      </w:r>
    </w:p>
    <w:p w:rsidR="00BE21CA" w:rsidRPr="00BE21CA" w:rsidRDefault="00BE21CA" w:rsidP="00BE21CA">
      <w:pPr>
        <w:spacing w:after="0" w:line="240" w:lineRule="auto"/>
        <w:ind w:firstLine="709"/>
        <w:jc w:val="both"/>
        <w:rPr>
          <w:rFonts w:ascii="Times New Roman" w:hAnsi="Times New Roman" w:cs="Times New Roman"/>
          <w:sz w:val="24"/>
          <w:szCs w:val="24"/>
          <w:lang w:val="en-US"/>
        </w:rPr>
      </w:pPr>
      <w:r w:rsidRPr="00BE21CA">
        <w:rPr>
          <w:rFonts w:ascii="Times New Roman" w:hAnsi="Times New Roman" w:cs="Times New Roman"/>
          <w:sz w:val="24"/>
          <w:szCs w:val="24"/>
          <w:lang w:val="en-US"/>
        </w:rPr>
        <w:t xml:space="preserve">1. </w:t>
      </w:r>
      <w:proofErr w:type="spellStart"/>
      <w:r w:rsidRPr="00BE21CA">
        <w:rPr>
          <w:rFonts w:ascii="Times New Roman" w:hAnsi="Times New Roman" w:cs="Times New Roman"/>
          <w:sz w:val="24"/>
          <w:szCs w:val="24"/>
          <w:lang w:val="en-US"/>
        </w:rPr>
        <w:t>Parshukov</w:t>
      </w:r>
      <w:proofErr w:type="spellEnd"/>
      <w:r w:rsidRPr="00BE21CA">
        <w:rPr>
          <w:rFonts w:ascii="Times New Roman" w:hAnsi="Times New Roman" w:cs="Times New Roman"/>
          <w:sz w:val="24"/>
          <w:szCs w:val="24"/>
          <w:lang w:val="en-US"/>
        </w:rPr>
        <w:t xml:space="preserve"> D.V., </w:t>
      </w:r>
      <w:proofErr w:type="spellStart"/>
      <w:r w:rsidRPr="00BE21CA">
        <w:rPr>
          <w:rFonts w:ascii="Times New Roman" w:hAnsi="Times New Roman" w:cs="Times New Roman"/>
          <w:sz w:val="24"/>
          <w:szCs w:val="24"/>
          <w:lang w:val="en-US"/>
        </w:rPr>
        <w:t>Shaporova</w:t>
      </w:r>
      <w:proofErr w:type="spellEnd"/>
      <w:r w:rsidRPr="00BE21CA">
        <w:rPr>
          <w:rFonts w:ascii="Times New Roman" w:hAnsi="Times New Roman" w:cs="Times New Roman"/>
          <w:sz w:val="24"/>
          <w:szCs w:val="24"/>
          <w:lang w:val="en-US"/>
        </w:rPr>
        <w:t xml:space="preserve"> Z.E. The Impact of the Central Bank's Key Rate on the Efficiency and Risks of Investments in Agriculture: Stochastic Assessment and Sensitivity Analysis // Financial Management. 2025. No. 7. Pp. 122-130. 2. Belaya A. </w:t>
      </w:r>
      <w:proofErr w:type="gramStart"/>
      <w:r w:rsidRPr="00BE21CA">
        <w:rPr>
          <w:rFonts w:ascii="Times New Roman" w:hAnsi="Times New Roman" w:cs="Times New Roman"/>
          <w:sz w:val="24"/>
          <w:szCs w:val="24"/>
          <w:lang w:val="en-US"/>
        </w:rPr>
        <w:t>Finally</w:t>
      </w:r>
      <w:proofErr w:type="gramEnd"/>
      <w:r w:rsidRPr="00BE21CA">
        <w:rPr>
          <w:rFonts w:ascii="Times New Roman" w:hAnsi="Times New Roman" w:cs="Times New Roman"/>
          <w:sz w:val="24"/>
          <w:szCs w:val="24"/>
          <w:lang w:val="en-US"/>
        </w:rPr>
        <w:t xml:space="preserve"> Had Enough: Russia's Food Industry in Recession for the First Time in 15 Years / Forbes.ru, December 9, 2025 // Available at: https://www.forbes.ru/sport/559631-itogi-dna-v-rpl-cska-i-rostov-sygrali-vnic-u-soci-obygral-kryl-a-sovetov</w:t>
      </w:r>
    </w:p>
    <w:p w:rsidR="00BE21CA" w:rsidRPr="00BE21CA" w:rsidRDefault="00BE21CA" w:rsidP="00BE21CA">
      <w:pPr>
        <w:spacing w:after="0" w:line="240" w:lineRule="auto"/>
        <w:ind w:firstLine="709"/>
        <w:jc w:val="both"/>
        <w:rPr>
          <w:rFonts w:ascii="Times New Roman" w:hAnsi="Times New Roman" w:cs="Times New Roman"/>
          <w:sz w:val="24"/>
          <w:szCs w:val="24"/>
          <w:lang w:val="en-US"/>
        </w:rPr>
      </w:pPr>
      <w:r w:rsidRPr="00BE21CA">
        <w:rPr>
          <w:rFonts w:ascii="Times New Roman" w:hAnsi="Times New Roman" w:cs="Times New Roman"/>
          <w:sz w:val="24"/>
          <w:szCs w:val="24"/>
          <w:lang w:val="en-US"/>
        </w:rPr>
        <w:t xml:space="preserve">3. </w:t>
      </w:r>
      <w:proofErr w:type="spellStart"/>
      <w:r w:rsidRPr="00BE21CA">
        <w:rPr>
          <w:rFonts w:ascii="Times New Roman" w:hAnsi="Times New Roman" w:cs="Times New Roman"/>
          <w:sz w:val="24"/>
          <w:szCs w:val="24"/>
          <w:lang w:val="en-US"/>
        </w:rPr>
        <w:t>Miratorg</w:t>
      </w:r>
      <w:proofErr w:type="spellEnd"/>
      <w:r w:rsidRPr="00BE21CA">
        <w:rPr>
          <w:rFonts w:ascii="Times New Roman" w:hAnsi="Times New Roman" w:cs="Times New Roman"/>
          <w:sz w:val="24"/>
          <w:szCs w:val="24"/>
          <w:lang w:val="en-US"/>
        </w:rPr>
        <w:t xml:space="preserve"> CEO: We Haven't Stopped a Single Project, But We Haven't Started Any New Large Ones // Interview with </w:t>
      </w:r>
      <w:proofErr w:type="spellStart"/>
      <w:r w:rsidRPr="00BE21CA">
        <w:rPr>
          <w:rFonts w:ascii="Times New Roman" w:hAnsi="Times New Roman" w:cs="Times New Roman"/>
          <w:sz w:val="24"/>
          <w:szCs w:val="24"/>
          <w:lang w:val="en-US"/>
        </w:rPr>
        <w:t>Miratorg</w:t>
      </w:r>
      <w:proofErr w:type="spellEnd"/>
      <w:r w:rsidRPr="00BE21CA">
        <w:rPr>
          <w:rFonts w:ascii="Times New Roman" w:hAnsi="Times New Roman" w:cs="Times New Roman"/>
          <w:sz w:val="24"/>
          <w:szCs w:val="24"/>
          <w:lang w:val="en-US"/>
        </w:rPr>
        <w:t xml:space="preserve"> President Viktor </w:t>
      </w:r>
      <w:proofErr w:type="spellStart"/>
      <w:r w:rsidRPr="00BE21CA">
        <w:rPr>
          <w:rFonts w:ascii="Times New Roman" w:hAnsi="Times New Roman" w:cs="Times New Roman"/>
          <w:sz w:val="24"/>
          <w:szCs w:val="24"/>
          <w:lang w:val="en-US"/>
        </w:rPr>
        <w:t>Linnik</w:t>
      </w:r>
      <w:proofErr w:type="spellEnd"/>
      <w:r w:rsidRPr="00BE21CA">
        <w:rPr>
          <w:rFonts w:ascii="Times New Roman" w:hAnsi="Times New Roman" w:cs="Times New Roman"/>
          <w:sz w:val="24"/>
          <w:szCs w:val="24"/>
          <w:lang w:val="en-US"/>
        </w:rPr>
        <w:t>, February 4, 2026 // Available at: https://www.interfax.ru/interview/1070968?ysclid=mp2fz1hphz904822098</w:t>
      </w:r>
    </w:p>
    <w:p w:rsidR="00BE21CA" w:rsidRPr="00BE21CA" w:rsidRDefault="00BE21CA" w:rsidP="00BE21CA">
      <w:pPr>
        <w:spacing w:after="0" w:line="240" w:lineRule="auto"/>
        <w:ind w:firstLine="709"/>
        <w:jc w:val="both"/>
        <w:rPr>
          <w:rFonts w:ascii="Times New Roman" w:hAnsi="Times New Roman" w:cs="Times New Roman"/>
          <w:sz w:val="24"/>
          <w:szCs w:val="24"/>
          <w:lang w:val="en-US"/>
        </w:rPr>
      </w:pPr>
      <w:r w:rsidRPr="00BE21CA">
        <w:rPr>
          <w:rFonts w:ascii="Times New Roman" w:hAnsi="Times New Roman" w:cs="Times New Roman"/>
          <w:sz w:val="24"/>
          <w:szCs w:val="24"/>
          <w:lang w:val="en-US"/>
        </w:rPr>
        <w:t xml:space="preserve">4. </w:t>
      </w:r>
      <w:proofErr w:type="spellStart"/>
      <w:r w:rsidRPr="00BE21CA">
        <w:rPr>
          <w:rFonts w:ascii="Times New Roman" w:hAnsi="Times New Roman" w:cs="Times New Roman"/>
          <w:sz w:val="24"/>
          <w:szCs w:val="24"/>
          <w:lang w:val="en-US"/>
        </w:rPr>
        <w:t>Parshukov</w:t>
      </w:r>
      <w:proofErr w:type="spellEnd"/>
      <w:r w:rsidRPr="00BE21CA">
        <w:rPr>
          <w:rFonts w:ascii="Times New Roman" w:hAnsi="Times New Roman" w:cs="Times New Roman"/>
          <w:sz w:val="24"/>
          <w:szCs w:val="24"/>
          <w:lang w:val="en-US"/>
        </w:rPr>
        <w:t xml:space="preserve"> D.V., </w:t>
      </w:r>
      <w:proofErr w:type="spellStart"/>
      <w:r w:rsidRPr="00BE21CA">
        <w:rPr>
          <w:rFonts w:ascii="Times New Roman" w:hAnsi="Times New Roman" w:cs="Times New Roman"/>
          <w:sz w:val="24"/>
          <w:szCs w:val="24"/>
          <w:lang w:val="en-US"/>
        </w:rPr>
        <w:t>Shaporova</w:t>
      </w:r>
      <w:proofErr w:type="spellEnd"/>
      <w:r w:rsidRPr="00BE21CA">
        <w:rPr>
          <w:rFonts w:ascii="Times New Roman" w:hAnsi="Times New Roman" w:cs="Times New Roman"/>
          <w:sz w:val="24"/>
          <w:szCs w:val="24"/>
          <w:lang w:val="en-US"/>
        </w:rPr>
        <w:t xml:space="preserve"> Z.E. The Impact of the Central Bank's Key Rate on the Efficiency and Risks of Agricultural Investments: A Stochastic Assessment and Sensitivity Analysis // Financial Management. 2025. No. 7. pp. 122-130.</w:t>
      </w:r>
    </w:p>
    <w:p w:rsidR="00BE21CA" w:rsidRPr="00BE21CA" w:rsidRDefault="00BE21CA" w:rsidP="00BE21CA">
      <w:pPr>
        <w:spacing w:after="0" w:line="240" w:lineRule="auto"/>
        <w:ind w:firstLine="709"/>
        <w:jc w:val="both"/>
        <w:rPr>
          <w:rFonts w:ascii="Times New Roman" w:hAnsi="Times New Roman" w:cs="Times New Roman"/>
          <w:sz w:val="24"/>
          <w:szCs w:val="24"/>
          <w:lang w:val="en-US"/>
        </w:rPr>
      </w:pPr>
      <w:r w:rsidRPr="00BE21CA">
        <w:rPr>
          <w:rFonts w:ascii="Times New Roman" w:hAnsi="Times New Roman" w:cs="Times New Roman"/>
          <w:sz w:val="24"/>
          <w:szCs w:val="24"/>
          <w:lang w:val="en-US"/>
        </w:rPr>
        <w:t>5. More Forests Are Being Restored in Russia Than Deforestation // NIA "</w:t>
      </w:r>
      <w:proofErr w:type="spellStart"/>
      <w:r w:rsidRPr="00BE21CA">
        <w:rPr>
          <w:rFonts w:ascii="Times New Roman" w:hAnsi="Times New Roman" w:cs="Times New Roman"/>
          <w:sz w:val="24"/>
          <w:szCs w:val="24"/>
          <w:lang w:val="en-US"/>
        </w:rPr>
        <w:t>Ekologiya</w:t>
      </w:r>
      <w:proofErr w:type="spellEnd"/>
      <w:r w:rsidRPr="00BE21CA">
        <w:rPr>
          <w:rFonts w:ascii="Times New Roman" w:hAnsi="Times New Roman" w:cs="Times New Roman"/>
          <w:sz w:val="24"/>
          <w:szCs w:val="24"/>
          <w:lang w:val="en-US"/>
        </w:rPr>
        <w:t>" from October 6, 2025 / Available at: https://nia.eco/2025/10/06/108719/</w:t>
      </w:r>
    </w:p>
    <w:p w:rsidR="007A4FCD" w:rsidRDefault="00BE21CA" w:rsidP="00BE21CA">
      <w:pPr>
        <w:spacing w:after="0" w:line="240" w:lineRule="auto"/>
        <w:ind w:firstLine="709"/>
        <w:jc w:val="both"/>
        <w:rPr>
          <w:rFonts w:ascii="Times New Roman" w:hAnsi="Times New Roman" w:cs="Times New Roman"/>
          <w:sz w:val="24"/>
          <w:szCs w:val="24"/>
          <w:lang w:val="en-US"/>
        </w:rPr>
      </w:pPr>
      <w:r w:rsidRPr="00BE21CA">
        <w:rPr>
          <w:rFonts w:ascii="Times New Roman" w:hAnsi="Times New Roman" w:cs="Times New Roman"/>
          <w:sz w:val="24"/>
          <w:szCs w:val="24"/>
          <w:lang w:val="en-US"/>
        </w:rPr>
        <w:t>6. What's Happening to the Russian Food Industry in 2025 // IP "ECOMHUB" from December 9, 2025 / Available at: https://ecomhub.ru/russia-food-industry-2025-decline-investments-retail-ready-meals/?ysclid=mob8e9ydis617142713</w:t>
      </w:r>
    </w:p>
    <w:sectPr w:rsidR="007A4FCD" w:rsidSect="008E12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2C05" w:rsidRDefault="00842C05" w:rsidP="003E05B8">
      <w:pPr>
        <w:spacing w:after="0" w:line="240" w:lineRule="auto"/>
      </w:pPr>
      <w:r>
        <w:separator/>
      </w:r>
    </w:p>
  </w:endnote>
  <w:endnote w:type="continuationSeparator" w:id="0">
    <w:p w:rsidR="00842C05" w:rsidRDefault="00842C05" w:rsidP="003E0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2C05" w:rsidRDefault="00842C05" w:rsidP="003E05B8">
      <w:pPr>
        <w:spacing w:after="0" w:line="240" w:lineRule="auto"/>
      </w:pPr>
      <w:r>
        <w:separator/>
      </w:r>
    </w:p>
  </w:footnote>
  <w:footnote w:type="continuationSeparator" w:id="0">
    <w:p w:rsidR="00842C05" w:rsidRDefault="00842C05" w:rsidP="003E05B8">
      <w:pPr>
        <w:spacing w:after="0" w:line="240" w:lineRule="auto"/>
      </w:pPr>
      <w:r>
        <w:continuationSeparator/>
      </w:r>
    </w:p>
  </w:footnote>
  <w:footnote w:id="1">
    <w:p w:rsidR="007F25F6" w:rsidRDefault="007F25F6" w:rsidP="007F25F6">
      <w:pPr>
        <w:pStyle w:val="a5"/>
      </w:pPr>
      <w:r>
        <w:rPr>
          <w:rStyle w:val="a7"/>
        </w:rPr>
        <w:footnoteRef/>
      </w:r>
      <w:r>
        <w:t xml:space="preserve"> Росстат: официальный сайт. Режим доступа</w:t>
      </w:r>
      <w:r w:rsidRPr="00A01A2D">
        <w:t>:</w:t>
      </w:r>
      <w:r>
        <w:t xml:space="preserve"> </w:t>
      </w:r>
      <w:r w:rsidRPr="00A01A2D">
        <w:t>https://rosstat.gov.ru/</w:t>
      </w:r>
    </w:p>
  </w:footnote>
  <w:footnote w:id="2">
    <w:p w:rsidR="007F25F6" w:rsidRPr="00A812DD" w:rsidRDefault="007F25F6" w:rsidP="007F25F6">
      <w:pPr>
        <w:pStyle w:val="a5"/>
      </w:pPr>
      <w:r w:rsidRPr="00A812DD">
        <w:rPr>
          <w:rStyle w:val="a7"/>
        </w:rPr>
        <w:footnoteRef/>
      </w:r>
      <w:r w:rsidRPr="00A812DD">
        <w:t xml:space="preserve"> Ключевая ставка Банка России и инфляция</w:t>
      </w:r>
      <w:r w:rsidR="00A812DD">
        <w:t>.</w:t>
      </w:r>
      <w:r w:rsidRPr="00A812DD">
        <w:t xml:space="preserve"> Режим доступа: </w:t>
      </w:r>
      <w:hyperlink r:id="rId1" w:history="1">
        <w:r w:rsidRPr="00A812DD">
          <w:rPr>
            <w:rStyle w:val="a9"/>
            <w:color w:val="auto"/>
            <w:u w:val="none"/>
          </w:rPr>
          <w:t>https://cbr.ru/statistics/ddkp/infl/</w:t>
        </w:r>
      </w:hyperlink>
    </w:p>
  </w:footnote>
  <w:footnote w:id="3">
    <w:p w:rsidR="007F25F6" w:rsidRDefault="007F25F6" w:rsidP="007F25F6">
      <w:pPr>
        <w:pStyle w:val="a5"/>
      </w:pPr>
      <w:r>
        <w:rPr>
          <w:rStyle w:val="a7"/>
        </w:rPr>
        <w:footnoteRef/>
      </w:r>
      <w:r>
        <w:t xml:space="preserve"> </w:t>
      </w:r>
      <w:r w:rsidRPr="006C1DF0">
        <w:t>Росстат: официальный сайт. Режим доступа: https://rosstat.gov.</w:t>
      </w:r>
      <w:r w:rsidR="00A812DD">
        <w:t>ru/</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867FEB"/>
    <w:multiLevelType w:val="hybridMultilevel"/>
    <w:tmpl w:val="F978F72E"/>
    <w:lvl w:ilvl="0" w:tplc="5C98AA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CB3"/>
    <w:rsid w:val="00006D36"/>
    <w:rsid w:val="00036A53"/>
    <w:rsid w:val="000450E9"/>
    <w:rsid w:val="00056522"/>
    <w:rsid w:val="00094B7F"/>
    <w:rsid w:val="000A17FB"/>
    <w:rsid w:val="000A321C"/>
    <w:rsid w:val="000B0BED"/>
    <w:rsid w:val="000B47D5"/>
    <w:rsid w:val="000B6402"/>
    <w:rsid w:val="000D118A"/>
    <w:rsid w:val="000D1554"/>
    <w:rsid w:val="000F2B2C"/>
    <w:rsid w:val="00111B06"/>
    <w:rsid w:val="00143079"/>
    <w:rsid w:val="00160C51"/>
    <w:rsid w:val="001B1029"/>
    <w:rsid w:val="001B3EC2"/>
    <w:rsid w:val="001E7518"/>
    <w:rsid w:val="001F6AAB"/>
    <w:rsid w:val="00225BA8"/>
    <w:rsid w:val="00235A73"/>
    <w:rsid w:val="00281876"/>
    <w:rsid w:val="0028344D"/>
    <w:rsid w:val="002E60E8"/>
    <w:rsid w:val="00313454"/>
    <w:rsid w:val="00322FF4"/>
    <w:rsid w:val="00327CA5"/>
    <w:rsid w:val="00363A3C"/>
    <w:rsid w:val="00376FE6"/>
    <w:rsid w:val="003A3F16"/>
    <w:rsid w:val="003D1F69"/>
    <w:rsid w:val="003E05B8"/>
    <w:rsid w:val="003E1CC9"/>
    <w:rsid w:val="003E523C"/>
    <w:rsid w:val="003F1104"/>
    <w:rsid w:val="003F3C50"/>
    <w:rsid w:val="0041006D"/>
    <w:rsid w:val="00427D85"/>
    <w:rsid w:val="0047441D"/>
    <w:rsid w:val="00476A8A"/>
    <w:rsid w:val="00542D79"/>
    <w:rsid w:val="00561ADF"/>
    <w:rsid w:val="00562E22"/>
    <w:rsid w:val="00564332"/>
    <w:rsid w:val="00587081"/>
    <w:rsid w:val="0066315B"/>
    <w:rsid w:val="00686F7C"/>
    <w:rsid w:val="006875B0"/>
    <w:rsid w:val="006958A8"/>
    <w:rsid w:val="006A74B0"/>
    <w:rsid w:val="006C2337"/>
    <w:rsid w:val="006D0CB0"/>
    <w:rsid w:val="006D25BA"/>
    <w:rsid w:val="006D433F"/>
    <w:rsid w:val="006E1286"/>
    <w:rsid w:val="006F507D"/>
    <w:rsid w:val="00711CF6"/>
    <w:rsid w:val="00713781"/>
    <w:rsid w:val="00731F83"/>
    <w:rsid w:val="00745A50"/>
    <w:rsid w:val="00764E04"/>
    <w:rsid w:val="007A4FCD"/>
    <w:rsid w:val="007F25F6"/>
    <w:rsid w:val="00826895"/>
    <w:rsid w:val="00831793"/>
    <w:rsid w:val="00842C05"/>
    <w:rsid w:val="008661B2"/>
    <w:rsid w:val="008B1003"/>
    <w:rsid w:val="008C40B8"/>
    <w:rsid w:val="008E12B0"/>
    <w:rsid w:val="008F6E6F"/>
    <w:rsid w:val="008F716B"/>
    <w:rsid w:val="00903C77"/>
    <w:rsid w:val="009149C4"/>
    <w:rsid w:val="009230C0"/>
    <w:rsid w:val="00936133"/>
    <w:rsid w:val="00967285"/>
    <w:rsid w:val="009851F6"/>
    <w:rsid w:val="009B54D2"/>
    <w:rsid w:val="009E51FA"/>
    <w:rsid w:val="009E640C"/>
    <w:rsid w:val="00A24619"/>
    <w:rsid w:val="00A46908"/>
    <w:rsid w:val="00A66437"/>
    <w:rsid w:val="00A72125"/>
    <w:rsid w:val="00A741BF"/>
    <w:rsid w:val="00A812DD"/>
    <w:rsid w:val="00AC7CB3"/>
    <w:rsid w:val="00AD646B"/>
    <w:rsid w:val="00AF0FCD"/>
    <w:rsid w:val="00B11E95"/>
    <w:rsid w:val="00B26FA0"/>
    <w:rsid w:val="00B444C2"/>
    <w:rsid w:val="00B6711F"/>
    <w:rsid w:val="00B92310"/>
    <w:rsid w:val="00BC304F"/>
    <w:rsid w:val="00BE21CA"/>
    <w:rsid w:val="00BF77EA"/>
    <w:rsid w:val="00C0353E"/>
    <w:rsid w:val="00C1456A"/>
    <w:rsid w:val="00C22367"/>
    <w:rsid w:val="00C314D7"/>
    <w:rsid w:val="00C42E7B"/>
    <w:rsid w:val="00C62EA4"/>
    <w:rsid w:val="00C865C9"/>
    <w:rsid w:val="00C92A85"/>
    <w:rsid w:val="00C9781F"/>
    <w:rsid w:val="00D76DD7"/>
    <w:rsid w:val="00D80B8E"/>
    <w:rsid w:val="00D923D1"/>
    <w:rsid w:val="00E3128B"/>
    <w:rsid w:val="00E64D0D"/>
    <w:rsid w:val="00E75F47"/>
    <w:rsid w:val="00EF6F55"/>
    <w:rsid w:val="00F236D8"/>
    <w:rsid w:val="00F351F5"/>
    <w:rsid w:val="00F76E7B"/>
    <w:rsid w:val="00FE017E"/>
    <w:rsid w:val="00FE5D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D4178"/>
  <w15:docId w15:val="{88B70091-6925-405F-BE97-DFA1C38A0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1378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13781"/>
    <w:rPr>
      <w:rFonts w:ascii="Tahoma" w:hAnsi="Tahoma" w:cs="Tahoma"/>
      <w:sz w:val="16"/>
      <w:szCs w:val="16"/>
    </w:rPr>
  </w:style>
  <w:style w:type="paragraph" w:styleId="a5">
    <w:name w:val="footnote text"/>
    <w:basedOn w:val="a"/>
    <w:link w:val="a6"/>
    <w:uiPriority w:val="99"/>
    <w:semiHidden/>
    <w:unhideWhenUsed/>
    <w:rsid w:val="003E05B8"/>
    <w:pPr>
      <w:spacing w:after="0" w:line="240" w:lineRule="auto"/>
    </w:pPr>
    <w:rPr>
      <w:sz w:val="20"/>
      <w:szCs w:val="20"/>
    </w:rPr>
  </w:style>
  <w:style w:type="character" w:customStyle="1" w:styleId="a6">
    <w:name w:val="Текст сноски Знак"/>
    <w:basedOn w:val="a0"/>
    <w:link w:val="a5"/>
    <w:uiPriority w:val="99"/>
    <w:semiHidden/>
    <w:rsid w:val="003E05B8"/>
    <w:rPr>
      <w:sz w:val="20"/>
      <w:szCs w:val="20"/>
    </w:rPr>
  </w:style>
  <w:style w:type="character" w:styleId="a7">
    <w:name w:val="footnote reference"/>
    <w:basedOn w:val="a0"/>
    <w:uiPriority w:val="99"/>
    <w:semiHidden/>
    <w:unhideWhenUsed/>
    <w:rsid w:val="003E05B8"/>
    <w:rPr>
      <w:vertAlign w:val="superscript"/>
    </w:rPr>
  </w:style>
  <w:style w:type="paragraph" w:styleId="a8">
    <w:name w:val="List Paragraph"/>
    <w:basedOn w:val="a"/>
    <w:uiPriority w:val="34"/>
    <w:qFormat/>
    <w:rsid w:val="008F6E6F"/>
    <w:pPr>
      <w:ind w:left="720"/>
      <w:contextualSpacing/>
    </w:pPr>
  </w:style>
  <w:style w:type="character" w:styleId="a9">
    <w:name w:val="Hyperlink"/>
    <w:basedOn w:val="a0"/>
    <w:uiPriority w:val="99"/>
    <w:unhideWhenUsed/>
    <w:rsid w:val="008F6E6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ecomhub.ru/russia-food-industry-2025-decline-investments-retail-ready-meals/?ysclid=mob8e9ydis61714271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ia.eco/2025/10/06/1087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terfax.ru/interview/1070968?ysclid=mp2fz1hphz904822098" TargetMode="External"/><Relationship Id="rId5" Type="http://schemas.openxmlformats.org/officeDocument/2006/relationships/webSettings" Target="webSettings.xml"/><Relationship Id="rId15" Type="http://schemas.openxmlformats.org/officeDocument/2006/relationships/hyperlink" Target="mailto:trif-elena@yandex.ru" TargetMode="External"/><Relationship Id="rId10" Type="http://schemas.openxmlformats.org/officeDocument/2006/relationships/hyperlink" Target="https://www.forbes.ru/sport/559631-itogi-dna-v-rpl-cska-i-rostov-sygrali-vnic-u-soci-obygral-kryl-a-sovetov"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mailto:trif-elena@yandex.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cbr.ru/statistics/ddkp/infl/"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66426071741033E-2"/>
          <c:y val="4.7008547008547008E-2"/>
          <c:w val="0.88578018372703404"/>
          <c:h val="0.64391614509724748"/>
        </c:manualLayout>
      </c:layout>
      <c:bar3DChart>
        <c:barDir val="col"/>
        <c:grouping val="clustered"/>
        <c:varyColors val="0"/>
        <c:ser>
          <c:idx val="0"/>
          <c:order val="0"/>
          <c:tx>
            <c:strRef>
              <c:f>Лист1!$B$26</c:f>
              <c:strCache>
                <c:ptCount val="1"/>
                <c:pt idx="0">
                  <c:v>Прирост производства пищевых продуктов, напитков и табака, % к предыдущему году</c:v>
                </c:pt>
              </c:strCache>
            </c:strRef>
          </c:tx>
          <c:spPr>
            <a:solidFill>
              <a:schemeClr val="bg1">
                <a:lumMod val="95000"/>
              </a:schemeClr>
            </a:solidFill>
            <a:ln>
              <a:solidFill>
                <a:schemeClr val="tx1"/>
              </a:solidFill>
            </a:ln>
            <a:effectLst/>
            <a:sp3d>
              <a:contourClr>
                <a:schemeClr val="tx1"/>
              </a:contourClr>
            </a:sp3d>
          </c:spPr>
          <c:invertIfNegative val="0"/>
          <c:cat>
            <c:numRef>
              <c:f>Лист1!$C$25:$I$25</c:f>
              <c:numCache>
                <c:formatCode>General</c:formatCode>
                <c:ptCount val="7"/>
                <c:pt idx="0">
                  <c:v>2019</c:v>
                </c:pt>
                <c:pt idx="1">
                  <c:v>2020</c:v>
                </c:pt>
                <c:pt idx="2">
                  <c:v>2021</c:v>
                </c:pt>
                <c:pt idx="3">
                  <c:v>2022</c:v>
                </c:pt>
                <c:pt idx="4">
                  <c:v>2023</c:v>
                </c:pt>
                <c:pt idx="5">
                  <c:v>2024</c:v>
                </c:pt>
                <c:pt idx="6">
                  <c:v>2025</c:v>
                </c:pt>
              </c:numCache>
            </c:numRef>
          </c:cat>
          <c:val>
            <c:numRef>
              <c:f>Лист1!$C$26:$I$26</c:f>
              <c:numCache>
                <c:formatCode>General</c:formatCode>
                <c:ptCount val="7"/>
                <c:pt idx="0">
                  <c:v>9.8539607611742213</c:v>
                </c:pt>
                <c:pt idx="1">
                  <c:v>8.4329260104740058</c:v>
                </c:pt>
                <c:pt idx="2">
                  <c:v>20.891640866873075</c:v>
                </c:pt>
                <c:pt idx="3">
                  <c:v>15.64228641671788</c:v>
                </c:pt>
                <c:pt idx="4">
                  <c:v>8.9999114181946993</c:v>
                </c:pt>
                <c:pt idx="5">
                  <c:v>15.676554246241366</c:v>
                </c:pt>
                <c:pt idx="6">
                  <c:v>6.4352957706899048</c:v>
                </c:pt>
              </c:numCache>
            </c:numRef>
          </c:val>
          <c:extLst>
            <c:ext xmlns:c16="http://schemas.microsoft.com/office/drawing/2014/chart" uri="{C3380CC4-5D6E-409C-BE32-E72D297353CC}">
              <c16:uniqueId val="{00000000-F525-49E7-8DB5-3720E71FCB69}"/>
            </c:ext>
          </c:extLst>
        </c:ser>
        <c:ser>
          <c:idx val="1"/>
          <c:order val="1"/>
          <c:tx>
            <c:strRef>
              <c:f>Лист1!$B$27</c:f>
              <c:strCache>
                <c:ptCount val="1"/>
                <c:pt idx="0">
                  <c:v>Ключевая ставка Центробанка, % (на конец года)</c:v>
                </c:pt>
              </c:strCache>
            </c:strRef>
          </c:tx>
          <c:spPr>
            <a:solidFill>
              <a:schemeClr val="bg2">
                <a:lumMod val="50000"/>
              </a:schemeClr>
            </a:solidFill>
            <a:ln>
              <a:noFill/>
            </a:ln>
            <a:effectLst/>
            <a:sp3d/>
          </c:spPr>
          <c:invertIfNegative val="0"/>
          <c:cat>
            <c:numRef>
              <c:f>Лист1!$C$25:$I$25</c:f>
              <c:numCache>
                <c:formatCode>General</c:formatCode>
                <c:ptCount val="7"/>
                <c:pt idx="0">
                  <c:v>2019</c:v>
                </c:pt>
                <c:pt idx="1">
                  <c:v>2020</c:v>
                </c:pt>
                <c:pt idx="2">
                  <c:v>2021</c:v>
                </c:pt>
                <c:pt idx="3">
                  <c:v>2022</c:v>
                </c:pt>
                <c:pt idx="4">
                  <c:v>2023</c:v>
                </c:pt>
                <c:pt idx="5">
                  <c:v>2024</c:v>
                </c:pt>
                <c:pt idx="6">
                  <c:v>2025</c:v>
                </c:pt>
              </c:numCache>
            </c:numRef>
          </c:cat>
          <c:val>
            <c:numRef>
              <c:f>Лист1!$C$27:$I$27</c:f>
              <c:numCache>
                <c:formatCode>General</c:formatCode>
                <c:ptCount val="7"/>
                <c:pt idx="0">
                  <c:v>6.25</c:v>
                </c:pt>
                <c:pt idx="1">
                  <c:v>4.25</c:v>
                </c:pt>
                <c:pt idx="2">
                  <c:v>8.5</c:v>
                </c:pt>
                <c:pt idx="3">
                  <c:v>7.5</c:v>
                </c:pt>
                <c:pt idx="4">
                  <c:v>16</c:v>
                </c:pt>
                <c:pt idx="5">
                  <c:v>21</c:v>
                </c:pt>
                <c:pt idx="6">
                  <c:v>16</c:v>
                </c:pt>
              </c:numCache>
            </c:numRef>
          </c:val>
          <c:extLst>
            <c:ext xmlns:c16="http://schemas.microsoft.com/office/drawing/2014/chart" uri="{C3380CC4-5D6E-409C-BE32-E72D297353CC}">
              <c16:uniqueId val="{00000001-F525-49E7-8DB5-3720E71FCB69}"/>
            </c:ext>
          </c:extLst>
        </c:ser>
        <c:dLbls>
          <c:showLegendKey val="0"/>
          <c:showVal val="0"/>
          <c:showCatName val="0"/>
          <c:showSerName val="0"/>
          <c:showPercent val="0"/>
          <c:showBubbleSize val="0"/>
        </c:dLbls>
        <c:gapWidth val="150"/>
        <c:shape val="box"/>
        <c:axId val="174031616"/>
        <c:axId val="174033536"/>
        <c:axId val="0"/>
      </c:bar3DChart>
      <c:catAx>
        <c:axId val="174031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Годы</a:t>
                </a:r>
              </a:p>
            </c:rich>
          </c:tx>
          <c:layout>
            <c:manualLayout>
              <c:xMode val="edge"/>
              <c:yMode val="edge"/>
              <c:x val="0.9026576990376205"/>
              <c:y val="0.65417894878524796"/>
            </c:manualLayout>
          </c:layout>
          <c:overlay val="0"/>
          <c:spPr>
            <a:noFill/>
            <a:ln>
              <a:noFill/>
            </a:ln>
            <a:effectLst/>
          </c:spPr>
        </c:title>
        <c:numFmt formatCode="General" sourceLinked="1"/>
        <c:majorTickMark val="none"/>
        <c:minorTickMark val="none"/>
        <c:tickLblPos val="low"/>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033536"/>
        <c:crosses val="autoZero"/>
        <c:auto val="1"/>
        <c:lblAlgn val="ctr"/>
        <c:lblOffset val="100"/>
        <c:noMultiLvlLbl val="0"/>
      </c:catAx>
      <c:valAx>
        <c:axId val="174033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t>
                </a:r>
              </a:p>
            </c:rich>
          </c:tx>
          <c:layout>
            <c:manualLayout>
              <c:xMode val="edge"/>
              <c:yMode val="edge"/>
              <c:x val="6.7540901137357834E-2"/>
              <c:y val="1.421259842519685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031616"/>
        <c:crosses val="autoZero"/>
        <c:crossBetween val="between"/>
      </c:valAx>
      <c:spPr>
        <a:noFill/>
        <a:ln>
          <a:noFill/>
        </a:ln>
        <a:effectLst/>
      </c:spPr>
    </c:plotArea>
    <c:legend>
      <c:legendPos val="b"/>
      <c:layout>
        <c:manualLayout>
          <c:xMode val="edge"/>
          <c:yMode val="edge"/>
          <c:x val="5.3953677477062346E-2"/>
          <c:y val="0.83373934190429588"/>
          <c:w val="0.91963100997917424"/>
          <c:h val="0.1202663226418731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1"/>
          <c:order val="1"/>
          <c:tx>
            <c:strRef>
              <c:f>Лист1!$B$66</c:f>
              <c:strCache>
                <c:ptCount val="1"/>
                <c:pt idx="0">
                  <c:v>Просроченная кредиторская задолженность, млрд.руб.</c:v>
                </c:pt>
              </c:strCache>
            </c:strRef>
          </c:tx>
          <c:spPr>
            <a:solidFill>
              <a:schemeClr val="bg2">
                <a:lumMod val="90000"/>
              </a:schemeClr>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Лист1!$C$64:$E$64</c:f>
              <c:numCache>
                <c:formatCode>General</c:formatCode>
                <c:ptCount val="3"/>
                <c:pt idx="0">
                  <c:v>2020</c:v>
                </c:pt>
                <c:pt idx="1">
                  <c:v>2022</c:v>
                </c:pt>
                <c:pt idx="2">
                  <c:v>2024</c:v>
                </c:pt>
              </c:numCache>
            </c:numRef>
          </c:cat>
          <c:val>
            <c:numRef>
              <c:f>Лист1!$C$66:$E$66</c:f>
              <c:numCache>
                <c:formatCode>General</c:formatCode>
                <c:ptCount val="3"/>
                <c:pt idx="0">
                  <c:v>10</c:v>
                </c:pt>
                <c:pt idx="1">
                  <c:v>9.8000000000000007</c:v>
                </c:pt>
                <c:pt idx="2">
                  <c:v>11</c:v>
                </c:pt>
              </c:numCache>
            </c:numRef>
          </c:val>
          <c:extLst>
            <c:ext xmlns:c16="http://schemas.microsoft.com/office/drawing/2014/chart" uri="{C3380CC4-5D6E-409C-BE32-E72D297353CC}">
              <c16:uniqueId val="{00000000-BFB6-4172-B43A-851868667F52}"/>
            </c:ext>
          </c:extLst>
        </c:ser>
        <c:ser>
          <c:idx val="2"/>
          <c:order val="2"/>
          <c:tx>
            <c:strRef>
              <c:f>Лист1!$B$67</c:f>
              <c:strCache>
                <c:ptCount val="1"/>
                <c:pt idx="0">
                  <c:v>Просроченная задолженность по кредитам и займам, млрд.руб.</c:v>
                </c:pt>
              </c:strCache>
            </c:strRef>
          </c:tx>
          <c:spPr>
            <a:solidFill>
              <a:schemeClr val="bg2">
                <a:lumMod val="50000"/>
              </a:schemeClr>
            </a:solidFill>
            <a:ln>
              <a:noFill/>
            </a:ln>
            <a:effectLst/>
          </c:spPr>
          <c:invertIfNegative val="0"/>
          <c:dLbls>
            <c:dLbl>
              <c:idx val="0"/>
              <c:layout>
                <c:manualLayout>
                  <c:x val="-1.3888888888888888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B6-4172-B43A-851868667F52}"/>
                </c:ext>
              </c:extLst>
            </c:dLbl>
            <c:dLbl>
              <c:idx val="1"/>
              <c:layout>
                <c:manualLayout>
                  <c:x val="1.6666666666666666E-2"/>
                  <c:y val="4.62962962962962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B6-4172-B43A-851868667F52}"/>
                </c:ext>
              </c:extLst>
            </c:dLbl>
            <c:dLbl>
              <c:idx val="2"/>
              <c:layout>
                <c:manualLayout>
                  <c:x val="0"/>
                  <c:y val="1.85185185185184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FB6-4172-B43A-851868667F5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Лист1!$C$64:$E$64</c:f>
              <c:numCache>
                <c:formatCode>General</c:formatCode>
                <c:ptCount val="3"/>
                <c:pt idx="0">
                  <c:v>2020</c:v>
                </c:pt>
                <c:pt idx="1">
                  <c:v>2022</c:v>
                </c:pt>
                <c:pt idx="2">
                  <c:v>2024</c:v>
                </c:pt>
              </c:numCache>
            </c:numRef>
          </c:cat>
          <c:val>
            <c:numRef>
              <c:f>Лист1!$C$67:$E$67</c:f>
              <c:numCache>
                <c:formatCode>General</c:formatCode>
                <c:ptCount val="3"/>
                <c:pt idx="0">
                  <c:v>6</c:v>
                </c:pt>
                <c:pt idx="1">
                  <c:v>5</c:v>
                </c:pt>
                <c:pt idx="2">
                  <c:v>5</c:v>
                </c:pt>
              </c:numCache>
            </c:numRef>
          </c:val>
          <c:extLst>
            <c:ext xmlns:c16="http://schemas.microsoft.com/office/drawing/2014/chart" uri="{C3380CC4-5D6E-409C-BE32-E72D297353CC}">
              <c16:uniqueId val="{00000004-BFB6-4172-B43A-851868667F52}"/>
            </c:ext>
          </c:extLst>
        </c:ser>
        <c:dLbls>
          <c:showLegendKey val="0"/>
          <c:showVal val="0"/>
          <c:showCatName val="0"/>
          <c:showSerName val="0"/>
          <c:showPercent val="0"/>
          <c:showBubbleSize val="0"/>
        </c:dLbls>
        <c:gapWidth val="219"/>
        <c:overlap val="100"/>
        <c:axId val="255467904"/>
        <c:axId val="255469440"/>
      </c:barChart>
      <c:lineChart>
        <c:grouping val="standard"/>
        <c:varyColors val="0"/>
        <c:ser>
          <c:idx val="0"/>
          <c:order val="0"/>
          <c:tx>
            <c:strRef>
              <c:f>Лист1!$B$65</c:f>
              <c:strCache>
                <c:ptCount val="1"/>
                <c:pt idx="0">
                  <c:v>Суммарная задолженность, млрд.руб.</c:v>
                </c:pt>
              </c:strCache>
            </c:strRef>
          </c:tx>
          <c:spPr>
            <a:ln w="28575" cap="rnd">
              <a:solidFill>
                <a:schemeClr val="tx1"/>
              </a:solidFill>
              <a:prstDash val="dash"/>
              <a:round/>
            </a:ln>
            <a:effectLst/>
          </c:spPr>
          <c:marker>
            <c:symbol val="circle"/>
            <c:size val="5"/>
            <c:spPr>
              <a:solidFill>
                <a:schemeClr val="tx1"/>
              </a:solidFill>
              <a:ln w="9525">
                <a:solidFill>
                  <a:schemeClr val="tx1"/>
                </a:solidFill>
              </a:ln>
              <a:effectLst/>
            </c:spPr>
          </c:marker>
          <c:dLbls>
            <c:dLbl>
              <c:idx val="0"/>
              <c:layout>
                <c:manualLayout>
                  <c:x val="4.9999999999999947E-2"/>
                  <c:y val="-0.1250000000000000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FB6-4172-B43A-851868667F52}"/>
                </c:ext>
              </c:extLst>
            </c:dLbl>
            <c:dLbl>
              <c:idx val="1"/>
              <c:layout>
                <c:manualLayout>
                  <c:x val="8.3333333333333332E-3"/>
                  <c:y val="-0.1296296296296296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FB6-4172-B43A-851868667F52}"/>
                </c:ext>
              </c:extLst>
            </c:dLbl>
            <c:dLbl>
              <c:idx val="2"/>
              <c:layout>
                <c:manualLayout>
                  <c:x val="4.7222222222222117E-2"/>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FB6-4172-B43A-851868667F5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c15:spPr>
                <c15:showLeaderLines val="0"/>
              </c:ext>
            </c:extLst>
          </c:dLbls>
          <c:cat>
            <c:numRef>
              <c:f>Лист1!$C$64:$E$64</c:f>
              <c:numCache>
                <c:formatCode>General</c:formatCode>
                <c:ptCount val="3"/>
                <c:pt idx="0">
                  <c:v>2020</c:v>
                </c:pt>
                <c:pt idx="1">
                  <c:v>2022</c:v>
                </c:pt>
                <c:pt idx="2">
                  <c:v>2024</c:v>
                </c:pt>
              </c:numCache>
            </c:numRef>
          </c:cat>
          <c:val>
            <c:numRef>
              <c:f>Лист1!$C$65:$E$65</c:f>
              <c:numCache>
                <c:formatCode>General</c:formatCode>
                <c:ptCount val="3"/>
                <c:pt idx="0">
                  <c:v>2444</c:v>
                </c:pt>
                <c:pt idx="1">
                  <c:v>3097</c:v>
                </c:pt>
                <c:pt idx="2">
                  <c:v>3916</c:v>
                </c:pt>
              </c:numCache>
            </c:numRef>
          </c:val>
          <c:smooth val="0"/>
          <c:extLst>
            <c:ext xmlns:c16="http://schemas.microsoft.com/office/drawing/2014/chart" uri="{C3380CC4-5D6E-409C-BE32-E72D297353CC}">
              <c16:uniqueId val="{00000008-BFB6-4172-B43A-851868667F52}"/>
            </c:ext>
          </c:extLst>
        </c:ser>
        <c:dLbls>
          <c:showLegendKey val="0"/>
          <c:showVal val="0"/>
          <c:showCatName val="0"/>
          <c:showSerName val="0"/>
          <c:showPercent val="0"/>
          <c:showBubbleSize val="0"/>
        </c:dLbls>
        <c:marker val="1"/>
        <c:smooth val="0"/>
        <c:axId val="255878272"/>
        <c:axId val="255634816"/>
      </c:lineChart>
      <c:catAx>
        <c:axId val="25546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5469440"/>
        <c:crosses val="autoZero"/>
        <c:auto val="1"/>
        <c:lblAlgn val="ctr"/>
        <c:lblOffset val="100"/>
        <c:noMultiLvlLbl val="0"/>
      </c:catAx>
      <c:valAx>
        <c:axId val="25546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5467904"/>
        <c:crosses val="autoZero"/>
        <c:crossBetween val="between"/>
      </c:valAx>
      <c:valAx>
        <c:axId val="25563481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5878272"/>
        <c:crosses val="max"/>
        <c:crossBetween val="between"/>
      </c:valAx>
      <c:catAx>
        <c:axId val="255878272"/>
        <c:scaling>
          <c:orientation val="minMax"/>
        </c:scaling>
        <c:delete val="1"/>
        <c:axPos val="b"/>
        <c:numFmt formatCode="General" sourceLinked="1"/>
        <c:majorTickMark val="out"/>
        <c:minorTickMark val="none"/>
        <c:tickLblPos val="nextTo"/>
        <c:crossAx val="2556348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0.82444</cdr:x>
      <cdr:y>0.20621</cdr:y>
    </cdr:from>
    <cdr:to>
      <cdr:x>0.97935</cdr:x>
      <cdr:y>0.28814</cdr:y>
    </cdr:to>
    <cdr:sp macro="" textlink="">
      <cdr:nvSpPr>
        <cdr:cNvPr id="2" name="TextBox 1"/>
        <cdr:cNvSpPr txBox="1"/>
      </cdr:nvSpPr>
      <cdr:spPr>
        <a:xfrm xmlns:a="http://schemas.openxmlformats.org/drawingml/2006/main">
          <a:off x="4562476" y="695325"/>
          <a:ext cx="85725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0.7969</cdr:x>
      <cdr:y>0.16384</cdr:y>
    </cdr:from>
    <cdr:to>
      <cdr:x>0.95869</cdr:x>
      <cdr:y>0.27401</cdr:y>
    </cdr:to>
    <cdr:sp macro="" textlink="">
      <cdr:nvSpPr>
        <cdr:cNvPr id="3" name="TextBox 2"/>
        <cdr:cNvSpPr txBox="1"/>
      </cdr:nvSpPr>
      <cdr:spPr>
        <a:xfrm xmlns:a="http://schemas.openxmlformats.org/drawingml/2006/main">
          <a:off x="4410076" y="552450"/>
          <a:ext cx="895349"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endParaRPr lang="ru-RU" sz="900"/>
        </a:p>
      </cdr:txBody>
    </cdr:sp>
  </cdr:relSizeAnchor>
  <cdr:relSizeAnchor xmlns:cdr="http://schemas.openxmlformats.org/drawingml/2006/chartDrawing">
    <cdr:from>
      <cdr:x>0.8296</cdr:x>
      <cdr:y>0.09605</cdr:y>
    </cdr:from>
    <cdr:to>
      <cdr:x>0.99449</cdr:x>
      <cdr:y>0.24919</cdr:y>
    </cdr:to>
    <cdr:sp macro="" textlink="">
      <cdr:nvSpPr>
        <cdr:cNvPr id="4" name="Выноска 2 3"/>
        <cdr:cNvSpPr/>
      </cdr:nvSpPr>
      <cdr:spPr>
        <a:xfrm xmlns:a="http://schemas.openxmlformats.org/drawingml/2006/main">
          <a:off x="4298655" y="263484"/>
          <a:ext cx="854370" cy="420094"/>
        </a:xfrm>
        <a:prstGeom xmlns:a="http://schemas.openxmlformats.org/drawingml/2006/main" prst="borderCallout2">
          <a:avLst>
            <a:gd name="adj1" fmla="val 60826"/>
            <a:gd name="adj2" fmla="val -1416"/>
            <a:gd name="adj3" fmla="val 165302"/>
            <a:gd name="adj4" fmla="val -9596"/>
            <a:gd name="adj5" fmla="val 267923"/>
            <a:gd name="adj6" fmla="val 7487"/>
          </a:avLst>
        </a:prstGeom>
        <a:noFill xmlns:a="http://schemas.openxmlformats.org/drawingml/2006/main"/>
        <a:ln xmlns:a="http://schemas.openxmlformats.org/drawingml/2006/main">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wrap="square">
          <a:noAutofit/>
        </a:bodyPr>
        <a:lstStyle xmlns:a="http://schemas.openxmlformats.org/drawingml/2006/main"/>
        <a:p xmlns:a="http://schemas.openxmlformats.org/drawingml/2006/main">
          <a:pPr algn="ctr"/>
          <a:r>
            <a:rPr lang="ru-RU" sz="1000">
              <a:solidFill>
                <a:sysClr val="windowText" lastClr="000000"/>
              </a:solidFill>
              <a:effectLst/>
              <a:latin typeface="+mn-lt"/>
              <a:ea typeface="+mn-ea"/>
              <a:cs typeface="+mn-cs"/>
            </a:rPr>
            <a:t>*оценочные</a:t>
          </a:r>
          <a:r>
            <a:rPr lang="ru-RU" sz="1000" baseline="0">
              <a:solidFill>
                <a:sysClr val="windowText" lastClr="000000"/>
              </a:solidFill>
              <a:effectLst/>
              <a:latin typeface="+mn-lt"/>
              <a:ea typeface="+mn-ea"/>
              <a:cs typeface="+mn-cs"/>
            </a:rPr>
            <a:t> данные</a:t>
          </a:r>
          <a:endParaRPr lang="ru-RU" sz="1000">
            <a:solidFill>
              <a:sysClr val="windowText" lastClr="000000"/>
            </a:solidFill>
            <a:effectLst/>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1D1BC4-0AF7-433E-937C-69C7586F1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1</Pages>
  <Words>2116</Words>
  <Characters>12063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122</cp:revision>
  <dcterms:created xsi:type="dcterms:W3CDTF">2025-04-27T14:21:00Z</dcterms:created>
  <dcterms:modified xsi:type="dcterms:W3CDTF">2026-05-13T13:14:00Z</dcterms:modified>
</cp:coreProperties>
</file>