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A4923" w14:textId="77777777" w:rsidR="009B727F" w:rsidRDefault="0057788B">
      <w:pPr>
        <w:pStyle w:val="a7"/>
        <w:overflowPunct/>
        <w:spacing w:after="0" w:line="240" w:lineRule="auto"/>
      </w:pPr>
      <w:r>
        <w:rPr>
          <w:rStyle w:val="a4"/>
          <w:rFonts w:ascii="Times New Roman" w:hAnsi="Times New Roman"/>
        </w:rPr>
        <w:t>УДК 332.1:338.11:379.85:504.062.4(73+430+71+510)</w:t>
      </w:r>
    </w:p>
    <w:p w14:paraId="48E4BD79" w14:textId="77777777" w:rsidR="009B727F" w:rsidRDefault="0057788B">
      <w:pPr>
        <w:pStyle w:val="a7"/>
        <w:overflowPunct/>
        <w:spacing w:after="0" w:line="240" w:lineRule="auto"/>
      </w:pPr>
      <w:r>
        <w:rPr>
          <w:rStyle w:val="a4"/>
          <w:rFonts w:ascii="Times New Roman" w:hAnsi="Times New Roman"/>
        </w:rPr>
        <w:t>ББК 65.9(7Сое+4Гем+7Кан+5Кит)-11</w:t>
      </w:r>
    </w:p>
    <w:p w14:paraId="0A45AB3E" w14:textId="77777777" w:rsidR="009B727F" w:rsidRDefault="0057788B">
      <w:pPr>
        <w:pStyle w:val="a7"/>
        <w:overflowPunct/>
        <w:spacing w:after="0" w:line="240" w:lineRule="auto"/>
        <w:jc w:val="right"/>
      </w:pPr>
      <w:r>
        <w:rPr>
          <w:rStyle w:val="a4"/>
          <w:rFonts w:ascii="Times New Roman" w:hAnsi="Times New Roman"/>
        </w:rPr>
        <w:t>Шимановская М.В.</w:t>
      </w:r>
    </w:p>
    <w:p w14:paraId="2DC72CA9" w14:textId="77777777" w:rsidR="009B727F" w:rsidRDefault="0057788B">
      <w:pPr>
        <w:pStyle w:val="a7"/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ЗАРУБЕЖНЫЙ ОПЫТ РЕШЕНИЯ ПРОБЛЕМ МОНОПРОФИЛЬНЫХ ТЕРРИТОРИЙ: СТРАТЕГИИ, ИНСТРУМЕНТЫ И РЕЗУЛЬТАТЫ</w:t>
      </w:r>
    </w:p>
    <w:p w14:paraId="4D091FA4" w14:textId="77777777" w:rsidR="009B727F" w:rsidRDefault="0057788B">
      <w:pPr>
        <w:pStyle w:val="a7"/>
        <w:spacing w:after="0" w:line="240" w:lineRule="auto"/>
        <w:ind w:firstLine="709"/>
        <w:jc w:val="both"/>
        <w:rPr>
          <w:rStyle w:val="a4"/>
        </w:rPr>
      </w:pPr>
      <w:r>
        <w:rPr>
          <w:rStyle w:val="a4"/>
          <w:rFonts w:ascii="Times New Roman" w:hAnsi="Times New Roman"/>
        </w:rPr>
        <w:t xml:space="preserve">Аннотация: </w:t>
      </w:r>
      <w:r>
        <w:rPr>
          <w:rStyle w:val="a4"/>
          <w:rFonts w:ascii="Times New Roman" w:hAnsi="Times New Roman"/>
          <w:b w:val="0"/>
          <w:bCs w:val="0"/>
        </w:rPr>
        <w:t xml:space="preserve">В статье анализируется зарубежный опыт реструктуризации моногородов (США, Германия, Канада, Китай). Выделены стратегии диверсификации: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реиндустриализация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,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турификация</w:t>
      </w:r>
      <w:proofErr w:type="spellEnd"/>
      <w:r>
        <w:rPr>
          <w:rStyle w:val="a4"/>
          <w:rFonts w:ascii="Times New Roman" w:hAnsi="Times New Roman"/>
          <w:b w:val="0"/>
          <w:bCs w:val="0"/>
        </w:rPr>
        <w:t>, экологическая реновация. Оценена применимость инструментов в российских условиях.</w:t>
      </w:r>
    </w:p>
    <w:p w14:paraId="720FC505" w14:textId="77777777" w:rsidR="009B727F" w:rsidRDefault="0057788B">
      <w:pPr>
        <w:pStyle w:val="a7"/>
        <w:spacing w:after="0" w:line="240" w:lineRule="auto"/>
        <w:ind w:firstLine="709"/>
        <w:jc w:val="both"/>
      </w:pPr>
      <w:r>
        <w:rPr>
          <w:rStyle w:val="a4"/>
          <w:rFonts w:ascii="Times New Roman" w:hAnsi="Times New Roman"/>
        </w:rPr>
        <w:t xml:space="preserve">Ключевые слова: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монопрофильные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 территории, зарубежный опыт, реструктуризация моногородов, диверсификация экономики, устойчивое развитие регионов.</w:t>
      </w:r>
    </w:p>
    <w:p w14:paraId="620646FA" w14:textId="77777777" w:rsidR="009B727F" w:rsidRDefault="009B727F">
      <w:pPr>
        <w:pStyle w:val="a7"/>
        <w:spacing w:after="0" w:line="240" w:lineRule="auto"/>
        <w:ind w:firstLine="709"/>
        <w:jc w:val="both"/>
        <w:rPr>
          <w:rStyle w:val="a4"/>
          <w:rFonts w:ascii="Times New Roman" w:hAnsi="Times New Roman"/>
          <w:b w:val="0"/>
          <w:bCs w:val="0"/>
        </w:rPr>
      </w:pPr>
    </w:p>
    <w:p w14:paraId="25DDCFE5" w14:textId="77777777" w:rsidR="009B727F" w:rsidRDefault="0057788B">
      <w:pPr>
        <w:pStyle w:val="a7"/>
        <w:spacing w:after="0" w:line="240" w:lineRule="auto"/>
        <w:ind w:firstLine="709"/>
        <w:jc w:val="both"/>
      </w:pPr>
      <w:r>
        <w:rPr>
          <w:rStyle w:val="a4"/>
          <w:rFonts w:ascii="Times New Roman" w:hAnsi="Times New Roman"/>
          <w:b w:val="0"/>
          <w:bCs w:val="0"/>
        </w:rPr>
        <w:t xml:space="preserve">Устойчивое развитие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монопрофильных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 территорий является одной из наиболее острых и сложных проблем современной региональной экономики. Несмотря на специфику отечественного институционального ландшафта, феномен зависимости города от градообразующего предприятия носит глобальный характер. Особый научный и практический интерес в данном контексте представляет исследование эволюции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монотерриторий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 за рубежом: «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company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towns</w:t>
      </w:r>
      <w:proofErr w:type="spellEnd"/>
      <w:r>
        <w:rPr>
          <w:rStyle w:val="a4"/>
          <w:rFonts w:ascii="Times New Roman" w:hAnsi="Times New Roman"/>
          <w:b w:val="0"/>
          <w:bCs w:val="0"/>
        </w:rPr>
        <w:t>» в США, «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Bergbaustädte</w:t>
      </w:r>
      <w:proofErr w:type="spellEnd"/>
      <w:r>
        <w:rPr>
          <w:rStyle w:val="a4"/>
          <w:rFonts w:ascii="Times New Roman" w:hAnsi="Times New Roman"/>
          <w:b w:val="0"/>
          <w:bCs w:val="0"/>
        </w:rPr>
        <w:t>» в Германии, «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resource-based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settlements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» в Австралии и государственными индустриальными поселениями Китая. В мировой практике накоплен значительный опыт преодоления кризисных явлений, вызванных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деиндустриализацией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 и трансформацией глобальных цепочек добавленной стоимости. </w:t>
      </w:r>
    </w:p>
    <w:p w14:paraId="497D4D52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зарубежной литературе и практике представлено широкое разнообразие подходов к решению проблем </w:t>
      </w:r>
      <w:proofErr w:type="spellStart"/>
      <w:r>
        <w:rPr>
          <w:rFonts w:ascii="Times New Roman" w:hAnsi="Times New Roman"/>
        </w:rPr>
        <w:t>монопрофильных</w:t>
      </w:r>
      <w:proofErr w:type="spellEnd"/>
      <w:r>
        <w:rPr>
          <w:rFonts w:ascii="Times New Roman" w:hAnsi="Times New Roman"/>
        </w:rPr>
        <w:t xml:space="preserve"> территорий. Несмотря на различия в институциональных условиях (рыночные экономики, сильные частные корпорации, высокая роль региональных институтов), можно выделить несколько повторяющихся стратегических линий: </w:t>
      </w:r>
    </w:p>
    <w:p w14:paraId="670C276A" w14:textId="77777777" w:rsidR="009B727F" w:rsidRDefault="0057788B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реиндустриализация</w:t>
      </w:r>
      <w:proofErr w:type="spellEnd"/>
      <w:r>
        <w:rPr>
          <w:rFonts w:ascii="Times New Roman" w:hAnsi="Times New Roman"/>
        </w:rPr>
        <w:t xml:space="preserve"> и модернизация основного производства;</w:t>
      </w:r>
    </w:p>
    <w:p w14:paraId="58510B89" w14:textId="77777777" w:rsidR="009B727F" w:rsidRDefault="0057788B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диверсификация через развитие малого и среднего бизнеса и кластеров;</w:t>
      </w:r>
    </w:p>
    <w:p w14:paraId="3834748A" w14:textId="77777777" w:rsidR="009B727F" w:rsidRDefault="0057788B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преобразование промышленного наследия в ресурсы туризма и культуры;</w:t>
      </w:r>
    </w:p>
    <w:p w14:paraId="4F67AFF1" w14:textId="77777777" w:rsidR="009B727F" w:rsidRDefault="0057788B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экологическую реновацию и «зелёную» реструктуризацию;</w:t>
      </w:r>
    </w:p>
    <w:p w14:paraId="57D59A46" w14:textId="77777777" w:rsidR="009B727F" w:rsidRDefault="0057788B">
      <w:pPr>
        <w:pStyle w:val="a7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создание «якорных» институтов (университеты, исследовательские центры) как драйверов нового развития.</w:t>
      </w:r>
    </w:p>
    <w:p w14:paraId="388C5495" w14:textId="77777777" w:rsidR="009B727F" w:rsidRDefault="0057788B">
      <w:pPr>
        <w:pStyle w:val="a7"/>
        <w:spacing w:after="0" w:line="240" w:lineRule="auto"/>
        <w:ind w:firstLine="709"/>
        <w:jc w:val="both"/>
      </w:pPr>
      <w:r>
        <w:rPr>
          <w:rFonts w:ascii="Times New Roman" w:hAnsi="Times New Roman"/>
        </w:rPr>
        <w:t>Рассмотрим подробнее ключевые примеры и механизмы.</w:t>
      </w:r>
    </w:p>
    <w:p w14:paraId="7A95BA35" w14:textId="77777777" w:rsidR="009B727F" w:rsidRDefault="0057788B">
      <w:pPr>
        <w:pStyle w:val="a7"/>
        <w:spacing w:after="0" w:line="240" w:lineRule="auto"/>
        <w:ind w:firstLine="709"/>
        <w:jc w:val="right"/>
      </w:pPr>
      <w:r>
        <w:t xml:space="preserve">Таблица </w:t>
      </w:r>
      <w:fldSimple w:instr=" SEQ Таблица \* ARABIC ">
        <w:r>
          <w:t>1</w:t>
        </w:r>
      </w:fldSimple>
    </w:p>
    <w:p w14:paraId="5D157A8A" w14:textId="77777777" w:rsidR="009B727F" w:rsidRDefault="0057788B">
      <w:pPr>
        <w:pStyle w:val="ab"/>
        <w:keepNext/>
        <w:spacing w:before="119" w:after="119"/>
        <w:jc w:val="center"/>
        <w:rPr>
          <w:i w:val="0"/>
          <w:iCs w:val="0"/>
        </w:rPr>
      </w:pPr>
      <w:r>
        <w:rPr>
          <w:i w:val="0"/>
          <w:iCs w:val="0"/>
        </w:rPr>
        <w:t xml:space="preserve">Зарубежный опыт преодоления кризиса </w:t>
      </w:r>
      <w:proofErr w:type="spellStart"/>
      <w:r>
        <w:rPr>
          <w:i w:val="0"/>
          <w:iCs w:val="0"/>
        </w:rPr>
        <w:t>монопрофильности</w:t>
      </w:r>
      <w:proofErr w:type="spellEnd"/>
    </w:p>
    <w:tbl>
      <w:tblPr>
        <w:tblW w:w="9650" w:type="dxa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74"/>
        <w:gridCol w:w="2050"/>
        <w:gridCol w:w="1476"/>
        <w:gridCol w:w="2775"/>
        <w:gridCol w:w="1775"/>
      </w:tblGrid>
      <w:tr w:rsidR="009B727F" w14:paraId="0EDF9C4B" w14:textId="77777777">
        <w:trPr>
          <w:trHeight w:val="338"/>
          <w:tblHeader/>
          <w:jc w:val="center"/>
        </w:trPr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0AE091" w14:textId="77777777" w:rsidR="009B727F" w:rsidRDefault="0057788B">
            <w:pPr>
              <w:pStyle w:val="a7"/>
              <w:keepNext/>
              <w:spacing w:after="0" w:line="240" w:lineRule="auto"/>
              <w:jc w:val="center"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Страна/ Тип городов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55EBBF" w14:textId="77777777" w:rsidR="009B727F" w:rsidRDefault="0057788B">
            <w:pPr>
              <w:pStyle w:val="a7"/>
              <w:spacing w:after="0" w:line="240" w:lineRule="auto"/>
              <w:jc w:val="center"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 xml:space="preserve">Причина </w:t>
            </w:r>
            <w:proofErr w:type="spellStart"/>
            <w:r>
              <w:rPr>
                <w:rStyle w:val="a4"/>
                <w:rFonts w:ascii="Times New Roman" w:hAnsi="Times New Roman"/>
                <w:sz w:val="20"/>
                <w:szCs w:val="20"/>
              </w:rPr>
              <w:t>монопрофильности</w:t>
            </w:r>
            <w:proofErr w:type="spellEnd"/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41ECC2" w14:textId="77777777" w:rsidR="009B727F" w:rsidRDefault="0057788B">
            <w:pPr>
              <w:pStyle w:val="a7"/>
              <w:spacing w:after="0" w:line="240" w:lineRule="auto"/>
              <w:jc w:val="center"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Кризисный период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24974E" w14:textId="77777777" w:rsidR="009B727F" w:rsidRDefault="0057788B">
            <w:pPr>
              <w:pStyle w:val="a7"/>
              <w:spacing w:after="0" w:line="240" w:lineRule="auto"/>
              <w:jc w:val="center"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Основная стратегия выхода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D7A74" w14:textId="77777777" w:rsidR="009B727F" w:rsidRDefault="0057788B">
            <w:pPr>
              <w:pStyle w:val="a7"/>
              <w:spacing w:after="0" w:line="240" w:lineRule="auto"/>
              <w:jc w:val="center"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Применимость к России</w:t>
            </w:r>
          </w:p>
        </w:tc>
      </w:tr>
      <w:tr w:rsidR="009B727F" w14:paraId="5EE63355" w14:textId="77777777">
        <w:trPr>
          <w:trHeight w:val="591"/>
          <w:jc w:val="center"/>
        </w:trPr>
        <w:tc>
          <w:tcPr>
            <w:tcW w:w="15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7BAF28" w14:textId="77777777" w:rsidR="009B727F" w:rsidRDefault="0057788B">
            <w:pPr>
              <w:pStyle w:val="a7"/>
              <w:keepNext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США/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company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towns</w:t>
            </w:r>
            <w:proofErr w:type="spellEnd"/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FB5711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Частная корпоративная зависимость</w:t>
            </w:r>
          </w:p>
        </w:tc>
        <w:tc>
          <w:tcPr>
            <w:tcW w:w="14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47F03C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1950–1970-е (уголь, сталь)</w:t>
            </w: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D7E517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Частичная конверсия,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туристификация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музеефикация</w:t>
            </w:r>
          </w:p>
        </w:tc>
        <w:tc>
          <w:tcPr>
            <w:tcW w:w="1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CA582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Ограниченно применимо</w:t>
            </w:r>
          </w:p>
        </w:tc>
      </w:tr>
      <w:tr w:rsidR="009B727F" w14:paraId="49D1E929" w14:textId="77777777">
        <w:trPr>
          <w:trHeight w:val="538"/>
          <w:jc w:val="center"/>
        </w:trPr>
        <w:tc>
          <w:tcPr>
            <w:tcW w:w="15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4C2C2E" w14:textId="77777777" w:rsidR="009B727F" w:rsidRDefault="0057788B">
            <w:pPr>
              <w:pStyle w:val="a7"/>
              <w:keepNext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Германия/ Рурские шахтёрские города</w:t>
            </w: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47B48E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Государственно-корпоративный симбиоз</w:t>
            </w:r>
          </w:p>
        </w:tc>
        <w:tc>
          <w:tcPr>
            <w:tcW w:w="14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E68F3D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1960–1980-е</w:t>
            </w: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120754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Диверсификация через университеты, креативные индустрии</w:t>
            </w:r>
          </w:p>
        </w:tc>
        <w:tc>
          <w:tcPr>
            <w:tcW w:w="1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FF836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Возможна в крупных центрах</w:t>
            </w:r>
          </w:p>
        </w:tc>
      </w:tr>
      <w:tr w:rsidR="009B727F" w14:paraId="76DE8219" w14:textId="77777777">
        <w:trPr>
          <w:trHeight w:val="327"/>
          <w:jc w:val="center"/>
        </w:trPr>
        <w:tc>
          <w:tcPr>
            <w:tcW w:w="15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EAB6EB" w14:textId="77777777" w:rsidR="009B727F" w:rsidRDefault="0057788B">
            <w:pPr>
              <w:pStyle w:val="a7"/>
              <w:keepNext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Канада/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resource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towns</w:t>
            </w:r>
            <w:proofErr w:type="spellEnd"/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7813DD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Отдалённые промышленные анклавы</w:t>
            </w:r>
          </w:p>
        </w:tc>
        <w:tc>
          <w:tcPr>
            <w:tcW w:w="14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89ECB7F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1980-е</w:t>
            </w: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F1822F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Природно-экологический туризм, вторичная миграция</w:t>
            </w:r>
          </w:p>
        </w:tc>
        <w:tc>
          <w:tcPr>
            <w:tcW w:w="1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BFDA5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Актуально для Севера</w:t>
            </w:r>
          </w:p>
        </w:tc>
      </w:tr>
      <w:tr w:rsidR="009B727F" w14:paraId="6A39DA1C" w14:textId="77777777">
        <w:trPr>
          <w:trHeight w:val="438"/>
          <w:jc w:val="center"/>
        </w:trPr>
        <w:tc>
          <w:tcPr>
            <w:tcW w:w="15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31ED25" w14:textId="77777777" w:rsidR="009B727F" w:rsidRDefault="0057788B">
            <w:pPr>
              <w:pStyle w:val="a7"/>
              <w:keepNext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Китай/индустриальные города</w:t>
            </w: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638C39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Государственно-плановая специализация</w:t>
            </w:r>
          </w:p>
        </w:tc>
        <w:tc>
          <w:tcPr>
            <w:tcW w:w="147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0709C7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 1980-х</w:t>
            </w: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0ECB12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Жёсткая модернизация предприятий и перенос функций</w:t>
            </w:r>
          </w:p>
        </w:tc>
        <w:tc>
          <w:tcPr>
            <w:tcW w:w="1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138B8" w14:textId="77777777" w:rsidR="009B727F" w:rsidRDefault="0057788B">
            <w:pPr>
              <w:pStyle w:val="a7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Частично применимо</w:t>
            </w:r>
          </w:p>
        </w:tc>
      </w:tr>
    </w:tbl>
    <w:p w14:paraId="48715A55" w14:textId="77777777" w:rsidR="009B727F" w:rsidRDefault="009B727F">
      <w:pPr>
        <w:pStyle w:val="ab"/>
        <w:ind w:firstLine="567"/>
        <w:jc w:val="center"/>
        <w:rPr>
          <w:rFonts w:ascii="Times New Roman" w:hAnsi="Times New Roman"/>
        </w:rPr>
      </w:pPr>
    </w:p>
    <w:p w14:paraId="3FA359E0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lastRenderedPageBreak/>
        <w:t>Рур (Германия)</w:t>
      </w:r>
      <w:r>
        <w:rPr>
          <w:rFonts w:ascii="Times New Roman" w:hAnsi="Times New Roman"/>
        </w:rPr>
        <w:t>: комплексная реструктуризация через культурные, экологические и институциональные интервенции</w:t>
      </w:r>
    </w:p>
    <w:p w14:paraId="78BBCEE6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Рурская агломерация в Западной Германии стала классическим примером успешной трансформации угольно-сталелитейного региона. Стратегия включала масштабную программу реновации ландшафта (</w:t>
      </w:r>
      <w:proofErr w:type="spellStart"/>
      <w:r>
        <w:rPr>
          <w:rFonts w:ascii="Times New Roman" w:hAnsi="Times New Roman"/>
        </w:rPr>
        <w:t>Emscher</w:t>
      </w:r>
      <w:proofErr w:type="spellEnd"/>
      <w:r>
        <w:rPr>
          <w:rFonts w:ascii="Times New Roman" w:hAnsi="Times New Roman"/>
        </w:rPr>
        <w:t xml:space="preserve"> Park), развитие культурных инициатив (музеи индустриального наследия, фестивали), а также формирование сетей малых и средних предприятий в смежных секторах. По мнению исследователей, успех Рура во многом обусловлен координацией на межуровневом уровне (федеральный — земельный — муниципальный), долгосрочностью инвестиций и умением конвертировать индустриальное наследие в культурный капитал. Инструменты: федеральное финансирование, программа реструктуризации угольных городов, программы перепрофилирования кадров, поддержка университетских инициатив.</w:t>
      </w:r>
    </w:p>
    <w:p w14:paraId="57FD364E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Детройт и места </w:t>
      </w:r>
      <w:proofErr w:type="spellStart"/>
      <w:r>
        <w:rPr>
          <w:rFonts w:ascii="Times New Roman" w:hAnsi="Times New Roman"/>
          <w:b/>
          <w:bCs/>
        </w:rPr>
        <w:t>деиндустриализации</w:t>
      </w:r>
      <w:proofErr w:type="spellEnd"/>
      <w:r>
        <w:rPr>
          <w:rFonts w:ascii="Times New Roman" w:hAnsi="Times New Roman"/>
          <w:b/>
          <w:bCs/>
        </w:rPr>
        <w:t xml:space="preserve"> в США</w:t>
      </w:r>
      <w:r>
        <w:rPr>
          <w:rFonts w:ascii="Times New Roman" w:hAnsi="Times New Roman"/>
        </w:rPr>
        <w:t>: сложный и неоднозначный опыт диверсификации.</w:t>
      </w:r>
    </w:p>
    <w:p w14:paraId="281925C7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Детройт как символ индустриального подъёма и последующей депрессии демонстрирует сложности диверсификации в условиях крупного одного работодателя и сильной зависимости от глобальных цепочек добавленной стоимости. Различные инициативы по привлечению стартапов, развитию креативных индустрий и реставрации городского центра дали частичные успехи, но трансформация шла фрагментарно и сопровождалась существенными социальными затратами. По мнению аналитиков, урок США заключается в необходимости сочетать поддержку местного предпринимательства, институциональные реформы и инвестиции в человеческий капитал; простая «культурная» реновация без экономических оснований не приводит к устойчивой диверсификации.</w:t>
      </w:r>
    </w:p>
    <w:p w14:paraId="67CB1C28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Угольные регионы в Великобритании и Франции</w:t>
      </w:r>
      <w:r>
        <w:rPr>
          <w:rFonts w:ascii="Times New Roman" w:hAnsi="Times New Roman"/>
        </w:rPr>
        <w:t>: от производства к услугам и туризму.</w:t>
      </w:r>
    </w:p>
    <w:p w14:paraId="760414B4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постиндустриальных зонах Великобритании и Франции применялись программы закрытия нерентабельных шахт с параллельными мероприятиями по социальной защите, переквалификации и привлечению инвестиций в сферу услуг. Опыт показывает, что развитие туризма (индустриальные музеи, туристические маршруты) может стать важной составляющей, но чаще всего туристический сегмент дополняет, а не заменяет экономическую базу. По мнению исследователей, туристический путь наиболее успешен в сочетании с другими мерами — созданием малых предприятий, привлечением образовательных учреждений и инфраструктурой для удалённой работы.</w:t>
      </w:r>
    </w:p>
    <w:p w14:paraId="159B25FE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Канада и Австралия</w:t>
      </w:r>
      <w:r>
        <w:rPr>
          <w:rFonts w:ascii="Times New Roman" w:hAnsi="Times New Roman"/>
        </w:rPr>
        <w:t>: ресурсные города и «адресная» политика развития</w:t>
      </w:r>
    </w:p>
    <w:p w14:paraId="7C0D4AA0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Канаде (например, в районах добычи никеля или после закрытия шахт) применялись меры по экологической рекультивации, государственное субсидирование и программы переобучения. В Австралии </w:t>
      </w:r>
      <w:proofErr w:type="spellStart"/>
      <w:r>
        <w:rPr>
          <w:rFonts w:ascii="Times New Roman" w:hAnsi="Times New Roman"/>
        </w:rPr>
        <w:t>resource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towns</w:t>
      </w:r>
      <w:proofErr w:type="spellEnd"/>
      <w:r>
        <w:rPr>
          <w:rFonts w:ascii="Times New Roman" w:hAnsi="Times New Roman"/>
        </w:rPr>
        <w:t xml:space="preserve"> подвергались политике циклической поддержки и инвестициям в логистику — но здесь климатические и географические ограничения предопределили акцент на корпоративных решениях и партнёрстве с крупными компаниями. По мнению практиков, успех зависит от способности государств создавать «мосты» к новым секторам экономики — например, за счёт развития экологического и приключенческого туризма в соседних территориях.</w:t>
      </w:r>
    </w:p>
    <w:p w14:paraId="24F4D5A9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Китай</w:t>
      </w:r>
      <w:r>
        <w:rPr>
          <w:rFonts w:ascii="Times New Roman" w:hAnsi="Times New Roman"/>
        </w:rPr>
        <w:t xml:space="preserve">: государственно-мобилизованная модернизация </w:t>
      </w:r>
      <w:proofErr w:type="spellStart"/>
      <w:r>
        <w:rPr>
          <w:rFonts w:ascii="Times New Roman" w:hAnsi="Times New Roman"/>
        </w:rPr>
        <w:t>монопрофильных</w:t>
      </w:r>
      <w:proofErr w:type="spellEnd"/>
      <w:r>
        <w:rPr>
          <w:rFonts w:ascii="Times New Roman" w:hAnsi="Times New Roman"/>
        </w:rPr>
        <w:t xml:space="preserve"> городов.</w:t>
      </w:r>
    </w:p>
    <w:p w14:paraId="5FB57FD9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Китай демонстрирует иной путь: при значимых ресурсах центральной власти возможна быстрая перенастройка промышленных производств, перенос производственных мощностей и создание новых промышленных парков. Однако такой путь требует значительных финансовых и политических ресурсов и не всегда переносим на контексты с более ограниченной фискальной ёмкостью, как в России. По мнению наблюдателей, китайская модель полезна с позиций скорого обновления производственной базы, но она менее применима там, где необходима преемственность социальных институтов и экологическая реконструкция.</w:t>
      </w:r>
    </w:p>
    <w:p w14:paraId="50F67E4C" w14:textId="77777777" w:rsidR="009B727F" w:rsidRDefault="0057788B">
      <w:pPr>
        <w:pStyle w:val="ab"/>
        <w:keepNext/>
        <w:spacing w:before="0" w:after="0"/>
        <w:jc w:val="right"/>
        <w:rPr>
          <w:i w:val="0"/>
          <w:iCs w:val="0"/>
        </w:rPr>
      </w:pPr>
      <w:r>
        <w:rPr>
          <w:i w:val="0"/>
          <w:iCs w:val="0"/>
        </w:rPr>
        <w:lastRenderedPageBreak/>
        <w:t xml:space="preserve">Таблица </w:t>
      </w:r>
      <w:r>
        <w:rPr>
          <w:i w:val="0"/>
          <w:iCs w:val="0"/>
        </w:rPr>
        <w:fldChar w:fldCharType="begin"/>
      </w:r>
      <w:r>
        <w:rPr>
          <w:i w:val="0"/>
          <w:iCs w:val="0"/>
        </w:rPr>
        <w:instrText xml:space="preserve"> SEQ Таблица \* ARABIC </w:instrText>
      </w:r>
      <w:r>
        <w:rPr>
          <w:i w:val="0"/>
          <w:iCs w:val="0"/>
        </w:rPr>
        <w:fldChar w:fldCharType="separate"/>
      </w:r>
      <w:r>
        <w:rPr>
          <w:i w:val="0"/>
          <w:iCs w:val="0"/>
        </w:rPr>
        <w:t>2</w:t>
      </w:r>
      <w:r>
        <w:rPr>
          <w:i w:val="0"/>
          <w:iCs w:val="0"/>
        </w:rPr>
        <w:fldChar w:fldCharType="end"/>
      </w:r>
      <w:r>
        <w:rPr>
          <w:i w:val="0"/>
          <w:iCs w:val="0"/>
        </w:rPr>
        <w:t xml:space="preserve"> </w:t>
      </w:r>
    </w:p>
    <w:p w14:paraId="1B581AFA" w14:textId="77777777" w:rsidR="009B727F" w:rsidRDefault="0057788B">
      <w:pPr>
        <w:pStyle w:val="ab"/>
        <w:spacing w:before="0" w:after="0"/>
        <w:jc w:val="center"/>
        <w:rPr>
          <w:i w:val="0"/>
          <w:iCs w:val="0"/>
        </w:rPr>
      </w:pPr>
      <w:r>
        <w:rPr>
          <w:i w:val="0"/>
          <w:iCs w:val="0"/>
        </w:rPr>
        <w:t xml:space="preserve">Зарубежный опыт реструктуризации </w:t>
      </w:r>
      <w:proofErr w:type="spellStart"/>
      <w:r>
        <w:rPr>
          <w:i w:val="0"/>
          <w:iCs w:val="0"/>
        </w:rPr>
        <w:t>монопрофильных</w:t>
      </w:r>
      <w:proofErr w:type="spellEnd"/>
      <w:r>
        <w:rPr>
          <w:i w:val="0"/>
          <w:iCs w:val="0"/>
        </w:rPr>
        <w:t xml:space="preserve"> территорий </w:t>
      </w:r>
      <w:r>
        <w:rPr>
          <w:i w:val="0"/>
          <w:iCs w:val="0"/>
        </w:rPr>
        <w:br/>
        <w:t>и возможности адаптации в российских условиях</w:t>
      </w:r>
    </w:p>
    <w:tbl>
      <w:tblPr>
        <w:tblW w:w="9617" w:type="dxa"/>
        <w:tblInd w:w="3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301"/>
        <w:gridCol w:w="1300"/>
        <w:gridCol w:w="2215"/>
        <w:gridCol w:w="1364"/>
        <w:gridCol w:w="1651"/>
        <w:gridCol w:w="1786"/>
      </w:tblGrid>
      <w:tr w:rsidR="009B727F" w14:paraId="76F30CB1" w14:textId="77777777">
        <w:trPr>
          <w:trHeight w:val="725"/>
          <w:tblHeader/>
        </w:trPr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0FBBD8" w14:textId="77777777" w:rsidR="009B727F" w:rsidRDefault="0057788B">
            <w:pPr>
              <w:pStyle w:val="ad"/>
              <w:keepNext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Страна / регион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A60AD5" w14:textId="77777777" w:rsidR="009B727F" w:rsidRDefault="0057788B">
            <w:pPr>
              <w:pStyle w:val="a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Тип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монопрофильности</w:t>
            </w:r>
            <w:proofErr w:type="spellEnd"/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FA8483" w14:textId="77777777" w:rsidR="009B727F" w:rsidRDefault="0057788B">
            <w:pPr>
              <w:pStyle w:val="a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Основные инструменты преобразования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BA8E72" w14:textId="77777777" w:rsidR="009B727F" w:rsidRDefault="0057788B">
            <w:pPr>
              <w:pStyle w:val="a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Роль туризма и культуры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F7AB18" w14:textId="77777777" w:rsidR="009B727F" w:rsidRDefault="0057788B">
            <w:pPr>
              <w:pStyle w:val="a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Ключевые результаты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B7EFA" w14:textId="77777777" w:rsidR="009B727F" w:rsidRDefault="0057788B">
            <w:pPr>
              <w:pStyle w:val="a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Возможность адаптации в РФ / Пермском крае</w:t>
            </w:r>
          </w:p>
        </w:tc>
      </w:tr>
      <w:tr w:rsidR="009B727F" w14:paraId="61C70642" w14:textId="77777777">
        <w:trPr>
          <w:trHeight w:val="1475"/>
        </w:trPr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3AD444" w14:textId="77777777" w:rsidR="009B727F" w:rsidRDefault="0057788B">
            <w:pPr>
              <w:pStyle w:val="ac"/>
              <w:keepNext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Рур (Германия)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EE192F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Угольная и металлургическая промышленность</w:t>
            </w:r>
          </w:p>
        </w:tc>
        <w:tc>
          <w:tcPr>
            <w:tcW w:w="22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48E9CD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Государственно-региональные программы реструктуризации</w:t>
            </w:r>
          </w:p>
          <w:p w14:paraId="093E537D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Экологическая реновация территорий</w:t>
            </w:r>
          </w:p>
          <w:p w14:paraId="3715992F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Преобразование заводов в музеи / парки</w:t>
            </w:r>
          </w:p>
        </w:tc>
        <w:tc>
          <w:tcPr>
            <w:tcW w:w="13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2A27172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Индустриальный туризм, фестивали, культурные маршруты</w:t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E7064B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Стабилизация занятости, привлечение инвестиций, рост внутреннего туризма</w:t>
            </w: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949F6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Высокая применимость: Пермские моногорода имеют схожую индустриальную материальную базу</w:t>
            </w:r>
          </w:p>
        </w:tc>
      </w:tr>
      <w:tr w:rsidR="009B727F" w14:paraId="3BAE875E" w14:textId="77777777">
        <w:trPr>
          <w:trHeight w:val="1286"/>
        </w:trPr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B47EC0B" w14:textId="77777777" w:rsidR="009B727F" w:rsidRDefault="0057788B">
            <w:pPr>
              <w:pStyle w:val="ac"/>
              <w:keepNext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Детройт (США)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1372237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Автомобилестроение</w:t>
            </w:r>
          </w:p>
        </w:tc>
        <w:tc>
          <w:tcPr>
            <w:tcW w:w="22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283EA5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Поддержка малого бизнеса</w:t>
            </w:r>
          </w:p>
          <w:p w14:paraId="11F80F4B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Креативная реновация центра</w:t>
            </w:r>
          </w:p>
          <w:p w14:paraId="746F7CE5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Частные фонды и венчурные проекты</w:t>
            </w:r>
          </w:p>
        </w:tc>
        <w:tc>
          <w:tcPr>
            <w:tcW w:w="13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17566C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Культурные мероприятия, арт-кварталы</w:t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5B698A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Частичный успех, но высокая социальная поляризация</w:t>
            </w: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CBA29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Частичная применимость: требует сильного частного сектора, ограниченно для РФ</w:t>
            </w:r>
          </w:p>
        </w:tc>
      </w:tr>
      <w:tr w:rsidR="009B727F" w14:paraId="1A581954" w14:textId="77777777">
        <w:trPr>
          <w:trHeight w:val="1255"/>
        </w:trPr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8BFE23" w14:textId="77777777" w:rsidR="009B727F" w:rsidRDefault="0057788B">
            <w:pPr>
              <w:pStyle w:val="ac"/>
              <w:keepNext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Угольные регионы Великобритании (Йоркшир, Уэльс)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2A14826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Добывающая промышленность</w:t>
            </w:r>
          </w:p>
        </w:tc>
        <w:tc>
          <w:tcPr>
            <w:tcW w:w="22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59C5ED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Закрытие нерентабельных шахт</w:t>
            </w:r>
          </w:p>
          <w:p w14:paraId="6F0AF30E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Программы переквалификации</w:t>
            </w:r>
          </w:p>
          <w:p w14:paraId="121B57C0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Создание тематических парков</w:t>
            </w:r>
          </w:p>
        </w:tc>
        <w:tc>
          <w:tcPr>
            <w:tcW w:w="13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021760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Индустриальные музеи, парки-аттракционы</w:t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47814F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Умеренный успех, сильная зависимость от поддержки государства</w:t>
            </w: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89FD2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Возможна адаптация: музейные маршруты на базе карьеров / шахт (напр. Соликамск)</w:t>
            </w:r>
          </w:p>
        </w:tc>
      </w:tr>
      <w:tr w:rsidR="009B727F" w14:paraId="49EC0F6A" w14:textId="77777777">
        <w:trPr>
          <w:trHeight w:val="1212"/>
        </w:trPr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D05D6B" w14:textId="77777777" w:rsidR="009B727F" w:rsidRDefault="0057788B">
            <w:pPr>
              <w:pStyle w:val="ac"/>
              <w:keepNext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Канада (Онтарио, Манитоба)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9CAAAA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Горнодобывающие города</w:t>
            </w:r>
          </w:p>
        </w:tc>
        <w:tc>
          <w:tcPr>
            <w:tcW w:w="22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94BF899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Инфраструктурные инвестиции</w:t>
            </w:r>
          </w:p>
          <w:p w14:paraId="528CF24D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Социальные гранты для общин</w:t>
            </w:r>
          </w:p>
          <w:p w14:paraId="04386352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Поддержка этнотуризма</w:t>
            </w:r>
          </w:p>
        </w:tc>
        <w:tc>
          <w:tcPr>
            <w:tcW w:w="13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46F11F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Экотуризм, исторический туризм</w:t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9CEBCE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Устойчивое развитие малых городов, улучшение качества среды</w:t>
            </w: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F2ADB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Применимо: этнокультурные маршруты и экотуризм в Пермском крае</w:t>
            </w:r>
          </w:p>
        </w:tc>
      </w:tr>
      <w:tr w:rsidR="009B727F" w14:paraId="7A04E615" w14:textId="77777777">
        <w:trPr>
          <w:trHeight w:val="1468"/>
        </w:trPr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183917" w14:textId="77777777" w:rsidR="009B727F" w:rsidRDefault="0057788B">
            <w:pPr>
              <w:pStyle w:val="ac"/>
              <w:keepNext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Австралия (</w:t>
            </w:r>
            <w:proofErr w:type="spellStart"/>
            <w:r>
              <w:rPr>
                <w:rStyle w:val="a4"/>
                <w:rFonts w:ascii="Times New Roman" w:hAnsi="Times New Roman"/>
                <w:sz w:val="20"/>
                <w:szCs w:val="20"/>
              </w:rPr>
              <w:t>resource</w:t>
            </w:r>
            <w:proofErr w:type="spellEnd"/>
            <w:r>
              <w:rPr>
                <w:rStyle w:val="a4"/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4"/>
                <w:rFonts w:ascii="Times New Roman" w:hAnsi="Times New Roman"/>
                <w:sz w:val="20"/>
                <w:szCs w:val="20"/>
              </w:rPr>
              <w:t>towns</w:t>
            </w:r>
            <w:proofErr w:type="spellEnd"/>
            <w:r>
              <w:rPr>
                <w:rStyle w:val="a4"/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C52EA31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Шахтёрские и горнодобывающие поселения</w:t>
            </w:r>
          </w:p>
        </w:tc>
        <w:tc>
          <w:tcPr>
            <w:tcW w:w="22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EF348A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Корпоративно-государственное партнерство</w:t>
            </w:r>
          </w:p>
          <w:p w14:paraId="1ABF7856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Переход на сервисные функции</w:t>
            </w:r>
          </w:p>
          <w:p w14:paraId="3E784BCA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Локальная логистика</w:t>
            </w:r>
          </w:p>
        </w:tc>
        <w:tc>
          <w:tcPr>
            <w:tcW w:w="13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006857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Экотуризм, приключенческий туризм</w:t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AF90EC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Сокращение зависимости от добычи</w:t>
            </w: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773DF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Частичная применимость: требует присутствия крупных компаний — возможно в городах Прикамья</w:t>
            </w:r>
          </w:p>
        </w:tc>
      </w:tr>
      <w:tr w:rsidR="009B727F" w14:paraId="71491E99" w14:textId="77777777">
        <w:trPr>
          <w:trHeight w:val="1094"/>
        </w:trPr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FBBD0D" w14:textId="77777777" w:rsidR="009B727F" w:rsidRDefault="0057788B">
            <w:pPr>
              <w:pStyle w:val="ac"/>
              <w:keepNext/>
            </w:pPr>
            <w:r>
              <w:rPr>
                <w:rStyle w:val="a4"/>
                <w:rFonts w:ascii="Times New Roman" w:hAnsi="Times New Roman"/>
                <w:sz w:val="20"/>
                <w:szCs w:val="20"/>
              </w:rPr>
              <w:t>Китай (индустриальные зоны)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C90544B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Заводские города и ВПК</w:t>
            </w:r>
          </w:p>
        </w:tc>
        <w:tc>
          <w:tcPr>
            <w:tcW w:w="221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7FEA068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Масштабная государственная модернизация</w:t>
            </w:r>
          </w:p>
          <w:p w14:paraId="6E5C837B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· Создание индустриальных парков</w:t>
            </w:r>
          </w:p>
        </w:tc>
        <w:tc>
          <w:tcPr>
            <w:tcW w:w="136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2CED62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Туризм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второстепеннен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акцент на производстве</w:t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9BB16D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Быстрая диверсификация, но высокая директивность</w:t>
            </w: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280F0" w14:textId="77777777" w:rsidR="009B727F" w:rsidRDefault="0057788B">
            <w:pPr>
              <w:pStyle w:val="ac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Ограниченная применимость: возможна для «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госкорпоративных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 городов РФ</w:t>
            </w:r>
          </w:p>
        </w:tc>
      </w:tr>
    </w:tbl>
    <w:p w14:paraId="1D27C241" w14:textId="77777777" w:rsidR="009B727F" w:rsidRDefault="009B727F">
      <w:pPr>
        <w:pStyle w:val="ab"/>
        <w:jc w:val="center"/>
        <w:rPr>
          <w:rFonts w:ascii="Times New Roman" w:hAnsi="Times New Roman"/>
        </w:rPr>
      </w:pPr>
    </w:p>
    <w:p w14:paraId="1953F608" w14:textId="77777777" w:rsidR="009B727F" w:rsidRDefault="0057788B">
      <w:pPr>
        <w:pStyle w:val="a7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Обобщая зарубежную практику, можно выделить следующие инструменты и принципы, которые оказываются эффективными в тех или иных сочетаниях:</w:t>
      </w:r>
    </w:p>
    <w:p w14:paraId="45125025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t>Многоуровневая координация и долгосрочное планирование</w:t>
      </w:r>
      <w:r>
        <w:rPr>
          <w:rFonts w:ascii="Times New Roman" w:hAnsi="Times New Roman"/>
        </w:rPr>
        <w:t xml:space="preserve"> (федеральная и региональная кооперация);</w:t>
      </w:r>
    </w:p>
    <w:p w14:paraId="6A9980F8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t>Финансовые механизмы</w:t>
      </w:r>
      <w:r>
        <w:rPr>
          <w:rFonts w:ascii="Times New Roman" w:hAnsi="Times New Roman"/>
        </w:rPr>
        <w:t xml:space="preserve"> (специальные фонды реструктуризации, гранты, налоговые стимулы);</w:t>
      </w:r>
    </w:p>
    <w:p w14:paraId="1DF588A8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t>Институциональные якоря</w:t>
      </w:r>
      <w:r>
        <w:rPr>
          <w:rFonts w:ascii="Times New Roman" w:hAnsi="Times New Roman"/>
        </w:rPr>
        <w:t xml:space="preserve"> (университеты, исследовательские центры, DMO) как стабилизаторы;</w:t>
      </w:r>
    </w:p>
    <w:p w14:paraId="6F885159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t>Рекультивация и экологическая реставрация</w:t>
      </w:r>
      <w:r>
        <w:rPr>
          <w:rFonts w:ascii="Times New Roman" w:hAnsi="Times New Roman"/>
        </w:rPr>
        <w:t xml:space="preserve"> как условие для развития рекреации;</w:t>
      </w:r>
    </w:p>
    <w:p w14:paraId="5BA5A5A3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lastRenderedPageBreak/>
        <w:t>Работа с индустриальным наследием</w:t>
      </w:r>
      <w:r>
        <w:rPr>
          <w:rFonts w:ascii="Times New Roman" w:hAnsi="Times New Roman"/>
        </w:rPr>
        <w:t xml:space="preserve"> (музеи, индустриальный туризм, креативные кластеры);</w:t>
      </w:r>
    </w:p>
    <w:p w14:paraId="7CD0440A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t>Фокус на человеческом капитале</w:t>
      </w:r>
      <w:r>
        <w:rPr>
          <w:rFonts w:ascii="Times New Roman" w:hAnsi="Times New Roman"/>
        </w:rPr>
        <w:t>: переквалификация, создание условий для малого бизнеса;</w:t>
      </w:r>
    </w:p>
    <w:p w14:paraId="5CCF2E10" w14:textId="77777777" w:rsidR="009B727F" w:rsidRDefault="0057788B">
      <w:pPr>
        <w:pStyle w:val="a7"/>
        <w:numPr>
          <w:ilvl w:val="0"/>
          <w:numId w:val="2"/>
        </w:numPr>
        <w:tabs>
          <w:tab w:val="left" w:pos="709"/>
        </w:tabs>
        <w:spacing w:after="0" w:line="240" w:lineRule="auto"/>
        <w:ind w:firstLine="426"/>
        <w:jc w:val="both"/>
      </w:pPr>
      <w:r>
        <w:rPr>
          <w:rStyle w:val="a4"/>
          <w:rFonts w:ascii="Times New Roman" w:hAnsi="Times New Roman"/>
          <w:b w:val="0"/>
          <w:bCs w:val="0"/>
        </w:rPr>
        <w:t>Комбинация мер</w:t>
      </w:r>
      <w:r>
        <w:rPr>
          <w:rFonts w:ascii="Times New Roman" w:hAnsi="Times New Roman"/>
        </w:rPr>
        <w:t>: туризм сам по себе редко «спасает» город, но в сочетании с другими мерами он становится важным компонентом диверсификации.</w:t>
      </w:r>
    </w:p>
    <w:p w14:paraId="13271486" w14:textId="77777777" w:rsidR="009B727F" w:rsidRDefault="009B727F">
      <w:pPr>
        <w:pStyle w:val="a7"/>
        <w:spacing w:after="0" w:line="240" w:lineRule="auto"/>
        <w:ind w:firstLine="567"/>
        <w:jc w:val="both"/>
        <w:rPr>
          <w:rFonts w:ascii="Times New Roman" w:hAnsi="Times New Roman"/>
          <w:b/>
          <w:bCs/>
        </w:rPr>
      </w:pPr>
    </w:p>
    <w:p w14:paraId="5D4B240E" w14:textId="77777777" w:rsidR="009B727F" w:rsidRDefault="0057788B">
      <w:pPr>
        <w:ind w:left="-540" w:firstLine="540"/>
        <w:jc w:val="center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bCs/>
          <w:lang w:eastAsia="ru-RU"/>
        </w:rPr>
        <w:t>Библиографический список</w:t>
      </w:r>
    </w:p>
    <w:p w14:paraId="26B322F3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Быстрова, Т. Ю. Парк </w:t>
      </w:r>
      <w:proofErr w:type="spellStart"/>
      <w:r>
        <w:rPr>
          <w:rFonts w:ascii="Times New Roman" w:hAnsi="Times New Roman"/>
        </w:rPr>
        <w:t>Эмшер</w:t>
      </w:r>
      <w:proofErr w:type="spellEnd"/>
      <w:r>
        <w:rPr>
          <w:rFonts w:ascii="Times New Roman" w:hAnsi="Times New Roman"/>
        </w:rPr>
        <w:t xml:space="preserve">: принципы и приемы реабилитации промышленных территорий / Т. Ю. Быстрова // Академический вестник </w:t>
      </w:r>
      <w:proofErr w:type="spellStart"/>
      <w:r>
        <w:rPr>
          <w:rFonts w:ascii="Times New Roman" w:hAnsi="Times New Roman"/>
        </w:rPr>
        <w:t>УралНИИпроект</w:t>
      </w:r>
      <w:proofErr w:type="spellEnd"/>
      <w:r>
        <w:rPr>
          <w:rFonts w:ascii="Times New Roman" w:hAnsi="Times New Roman"/>
        </w:rPr>
        <w:t xml:space="preserve"> РААСН. – 2014. – № 2. – С. 9-14.</w:t>
      </w:r>
    </w:p>
    <w:p w14:paraId="41509367" w14:textId="77777777" w:rsidR="009B727F" w:rsidRPr="00E16AAB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lang w:val="en-US"/>
        </w:rPr>
      </w:pPr>
      <w:proofErr w:type="spellStart"/>
      <w:r w:rsidRPr="00E16AAB">
        <w:rPr>
          <w:rFonts w:ascii="Times New Roman" w:hAnsi="Times New Roman"/>
          <w:lang w:val="en-US"/>
        </w:rPr>
        <w:t>Ulyanychev</w:t>
      </w:r>
      <w:proofErr w:type="spellEnd"/>
      <w:r w:rsidRPr="00E16AAB">
        <w:rPr>
          <w:rFonts w:ascii="Times New Roman" w:hAnsi="Times New Roman"/>
          <w:lang w:val="en-US"/>
        </w:rPr>
        <w:t xml:space="preserve">, M. A. The Phenomenon of Company Towns: Specific Features of Their Genesis and Development / M. A. </w:t>
      </w:r>
      <w:proofErr w:type="spellStart"/>
      <w:r w:rsidRPr="00E16AAB">
        <w:rPr>
          <w:rFonts w:ascii="Times New Roman" w:hAnsi="Times New Roman"/>
          <w:lang w:val="en-US"/>
        </w:rPr>
        <w:t>Ulyanychev</w:t>
      </w:r>
      <w:proofErr w:type="spellEnd"/>
      <w:r w:rsidRPr="00E16AAB">
        <w:rPr>
          <w:rFonts w:ascii="Times New Roman" w:hAnsi="Times New Roman"/>
          <w:lang w:val="en-US"/>
        </w:rPr>
        <w:t xml:space="preserve"> // RUDN Journal of Public Administration. – 2020. – Vol. 7, No. 2. – P. 118-123.</w:t>
      </w:r>
    </w:p>
    <w:p w14:paraId="4B33A910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Ганин, О. Б. Российский и зарубежный опыт преодоления депрессивности территорий / О. Б. Ганин // Регионы в политике, политика в регионах. Политическая </w:t>
      </w:r>
      <w:proofErr w:type="gramStart"/>
      <w:r>
        <w:rPr>
          <w:rFonts w:ascii="Times New Roman" w:hAnsi="Times New Roman"/>
        </w:rPr>
        <w:t>наука :</w:t>
      </w:r>
      <w:proofErr w:type="gramEnd"/>
      <w:r>
        <w:rPr>
          <w:rFonts w:ascii="Times New Roman" w:hAnsi="Times New Roman"/>
        </w:rPr>
        <w:t xml:space="preserve"> Ежегодник-2023. – </w:t>
      </w:r>
      <w:proofErr w:type="gramStart"/>
      <w:r>
        <w:rPr>
          <w:rFonts w:ascii="Times New Roman" w:hAnsi="Times New Roman"/>
        </w:rPr>
        <w:t>Пермь :</w:t>
      </w:r>
      <w:proofErr w:type="gramEnd"/>
      <w:r>
        <w:rPr>
          <w:rFonts w:ascii="Times New Roman" w:hAnsi="Times New Roman"/>
        </w:rPr>
        <w:t xml:space="preserve"> Общество с ограниченной ответственностью "ИЦ "Титул", Пермский государственный национальный исследовательский университет, 2023. – С. 175-200.</w:t>
      </w:r>
    </w:p>
    <w:p w14:paraId="17E9B211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Глебова, А. Г. Проблемы моногородов: мировой опыт и российская практика / А. Г. Глебова, В. Н. Зеленский, А. С. Лазарева // Вестник университета. – 2022. – № 11. – С. 86-93.</w:t>
      </w:r>
    </w:p>
    <w:p w14:paraId="7B60F530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</w:rPr>
        <w:t>Кулай, С. В. Зарубежный опыт модернизации и реструктуризации экономики моногородов / С. В. Кулай // Государственное управление. Электронный вестник. – 2019. – № 73. – С. 224-248.</w:t>
      </w:r>
    </w:p>
    <w:p w14:paraId="51AB296C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Оборин М.С., Фролова Н.В., Мальцева М.А. Туристско-рекреационная деятельность как фактор диверсификации экономики моногородов региона. Сервис в России и за рубежом. 2018. Т. 12. № 4 (82). С. 16-26.</w:t>
      </w:r>
    </w:p>
    <w:p w14:paraId="2E60FF29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</w:pPr>
      <w:r>
        <w:rPr>
          <w:rFonts w:ascii="Times New Roman" w:hAnsi="Times New Roman"/>
        </w:rPr>
        <w:t>Севастьянова А. Е. Стратегические аспекты диверсификации и модернизации экономики моногородов // Вестник Кемеровского государственного университета. Серия: Политические, социологические и экономические науки. 2018. № 2. С. 139–145</w:t>
      </w:r>
    </w:p>
    <w:p w14:paraId="5A298316" w14:textId="77777777" w:rsidR="009B727F" w:rsidRDefault="0057788B">
      <w:pPr>
        <w:pStyle w:val="a7"/>
        <w:numPr>
          <w:ilvl w:val="0"/>
          <w:numId w:val="3"/>
        </w:numPr>
        <w:spacing w:after="0" w:line="240" w:lineRule="auto"/>
        <w:ind w:left="0" w:firstLine="709"/>
        <w:jc w:val="both"/>
      </w:pPr>
      <w:proofErr w:type="spellStart"/>
      <w:r>
        <w:rPr>
          <w:rFonts w:ascii="Times New Roman" w:hAnsi="Times New Roman"/>
        </w:rPr>
        <w:t>Урожаева</w:t>
      </w:r>
      <w:proofErr w:type="spellEnd"/>
      <w:r>
        <w:rPr>
          <w:rFonts w:ascii="Times New Roman" w:hAnsi="Times New Roman"/>
        </w:rPr>
        <w:t xml:space="preserve">, Т. П. Моногорода в 1980-1990-е годы: зарубежный, российский и региональный опыт решения социально-экономических проблем / Т. П. </w:t>
      </w:r>
      <w:proofErr w:type="spellStart"/>
      <w:r>
        <w:rPr>
          <w:rFonts w:ascii="Times New Roman" w:hAnsi="Times New Roman"/>
        </w:rPr>
        <w:t>Урожаева</w:t>
      </w:r>
      <w:proofErr w:type="spellEnd"/>
      <w:r>
        <w:rPr>
          <w:rFonts w:ascii="Times New Roman" w:hAnsi="Times New Roman"/>
        </w:rPr>
        <w:t xml:space="preserve"> // Ученые записки Петрозаводского государственного университета. – 2016. – № 3(156). – С. 35-39.</w:t>
      </w:r>
    </w:p>
    <w:p w14:paraId="0596CFDE" w14:textId="77777777" w:rsidR="009B727F" w:rsidRDefault="009B727F">
      <w:pPr>
        <w:pStyle w:val="a7"/>
        <w:spacing w:after="0" w:line="240" w:lineRule="auto"/>
        <w:ind w:firstLine="709"/>
        <w:jc w:val="both"/>
        <w:rPr>
          <w:rStyle w:val="a4"/>
          <w:rFonts w:ascii="Times New Roman" w:hAnsi="Times New Roman"/>
        </w:rPr>
      </w:pPr>
    </w:p>
    <w:p w14:paraId="05B12835" w14:textId="77777777" w:rsidR="009B727F" w:rsidRDefault="0057788B">
      <w:pPr>
        <w:ind w:left="-540" w:firstLine="540"/>
        <w:jc w:val="center"/>
        <w:rPr>
          <w:rFonts w:ascii="Times New Roman" w:eastAsia="Calibri" w:hAnsi="Times New Roman" w:cs="Times New Roman"/>
          <w:b/>
        </w:rPr>
      </w:pPr>
      <w:r>
        <w:rPr>
          <w:rStyle w:val="a4"/>
          <w:rFonts w:ascii="Times New Roman" w:eastAsia="Calibri" w:hAnsi="Times New Roman" w:cs="Times New Roman"/>
        </w:rPr>
        <w:t>Информация об авторах</w:t>
      </w:r>
    </w:p>
    <w:p w14:paraId="78602156" w14:textId="77777777" w:rsidR="009B727F" w:rsidRDefault="0057788B">
      <w:pPr>
        <w:pStyle w:val="a7"/>
        <w:spacing w:after="0" w:line="240" w:lineRule="auto"/>
        <w:ind w:firstLine="709"/>
        <w:jc w:val="both"/>
      </w:pPr>
      <w:r>
        <w:rPr>
          <w:rStyle w:val="a4"/>
          <w:rFonts w:ascii="Times New Roman" w:hAnsi="Times New Roman"/>
          <w:b w:val="0"/>
          <w:bCs w:val="0"/>
        </w:rPr>
        <w:t xml:space="preserve">Шимановская Мария Валерьевна старший преподаватель ФГБОУ ВО Пермский ГАТУ, аспирант ПГНИУ, 614068, г. Пермь, ул.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Букирева</w:t>
      </w:r>
      <w:proofErr w:type="spellEnd"/>
      <w:r>
        <w:rPr>
          <w:rStyle w:val="a4"/>
          <w:rFonts w:ascii="Times New Roman" w:hAnsi="Times New Roman"/>
          <w:b w:val="0"/>
          <w:bCs w:val="0"/>
        </w:rPr>
        <w:t>, 15, mariashimshim@yandex.ru</w:t>
      </w:r>
    </w:p>
    <w:p w14:paraId="1AEBE744" w14:textId="0E819D23" w:rsidR="009B727F" w:rsidRDefault="0057788B">
      <w:pPr>
        <w:pStyle w:val="a7"/>
        <w:spacing w:after="0" w:line="240" w:lineRule="auto"/>
        <w:ind w:firstLine="709"/>
        <w:jc w:val="both"/>
      </w:pPr>
      <w:r>
        <w:rPr>
          <w:rStyle w:val="a4"/>
          <w:rFonts w:ascii="Times New Roman" w:hAnsi="Times New Roman"/>
          <w:b w:val="0"/>
          <w:bCs w:val="0"/>
        </w:rPr>
        <w:t xml:space="preserve">научный руководитель Оборин Матвей Сергеевич доктор экономических наук, профессор Пермского института(филиала) РЭУ им. </w:t>
      </w:r>
      <w:proofErr w:type="spellStart"/>
      <w:r>
        <w:rPr>
          <w:rStyle w:val="a4"/>
          <w:rFonts w:ascii="Times New Roman" w:hAnsi="Times New Roman"/>
          <w:b w:val="0"/>
          <w:bCs w:val="0"/>
        </w:rPr>
        <w:t>Г.В.Плеханова</w:t>
      </w:r>
      <w:proofErr w:type="spellEnd"/>
      <w:r>
        <w:rPr>
          <w:rStyle w:val="a4"/>
          <w:rFonts w:ascii="Times New Roman" w:hAnsi="Times New Roman"/>
          <w:b w:val="0"/>
          <w:bCs w:val="0"/>
        </w:rPr>
        <w:t xml:space="preserve">, 614072, г. Пермь, б-р Гагарина, 57 </w:t>
      </w:r>
      <w:r w:rsidRPr="0057788B">
        <w:rPr>
          <w:rStyle w:val="a4"/>
          <w:rFonts w:ascii="Times New Roman" w:hAnsi="Times New Roman"/>
          <w:b w:val="0"/>
          <w:bCs w:val="0"/>
        </w:rPr>
        <w:t>recreachin@rambler.ru</w:t>
      </w:r>
    </w:p>
    <w:p w14:paraId="6713DB77" w14:textId="77777777" w:rsidR="009B727F" w:rsidRDefault="009B727F">
      <w:pPr>
        <w:pStyle w:val="a7"/>
        <w:spacing w:after="0" w:line="240" w:lineRule="auto"/>
        <w:ind w:firstLine="709"/>
        <w:jc w:val="both"/>
        <w:rPr>
          <w:rStyle w:val="a4"/>
          <w:rFonts w:ascii="Times New Roman" w:hAnsi="Times New Roman"/>
          <w:b w:val="0"/>
          <w:bCs w:val="0"/>
        </w:rPr>
      </w:pPr>
    </w:p>
    <w:p w14:paraId="7FD7542B" w14:textId="77777777" w:rsidR="009B727F" w:rsidRPr="0057788B" w:rsidRDefault="0057788B">
      <w:pPr>
        <w:pStyle w:val="a7"/>
        <w:spacing w:after="0" w:line="240" w:lineRule="auto"/>
        <w:ind w:firstLine="709"/>
        <w:jc w:val="right"/>
        <w:rPr>
          <w:lang w:val="en-US"/>
        </w:rPr>
      </w:pP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Shimanovskaya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M.V.</w:t>
      </w:r>
    </w:p>
    <w:p w14:paraId="02C50410" w14:textId="77777777" w:rsidR="009B727F" w:rsidRPr="0057788B" w:rsidRDefault="0057788B">
      <w:pPr>
        <w:pStyle w:val="a7"/>
        <w:spacing w:after="0" w:line="240" w:lineRule="auto"/>
        <w:jc w:val="center"/>
        <w:rPr>
          <w:lang w:val="en-US"/>
        </w:rPr>
      </w:pPr>
      <w:r w:rsidRPr="0057788B">
        <w:rPr>
          <w:rStyle w:val="a4"/>
          <w:rFonts w:ascii="Times New Roman" w:hAnsi="Times New Roman"/>
          <w:lang w:val="en-US"/>
        </w:rPr>
        <w:t>FOREIGN EXPERIENCE IN RESOLVING THE PROBLEM OF SINGLE-INDUSTRIAL TERRITORIES: STRATEGIES, TOOLS, AND RESULTS</w:t>
      </w:r>
    </w:p>
    <w:p w14:paraId="5B3998D3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lang w:val="en-US"/>
        </w:rPr>
        <w:t>Abstract:</w:t>
      </w: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This article analyzes international experience in restructuring single-industry towns (USA, Germany, Canada, China). Diversification strategies are highlighted: reindustrialization, tourism, and environmental renovation. The applicability of these tools to Russian conditions is assessed.</w:t>
      </w:r>
    </w:p>
    <w:p w14:paraId="4BA8CDA4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lang w:val="en-US"/>
        </w:rPr>
        <w:t>Keywords:</w:t>
      </w: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single-industry towns, international experience, single-industry town restructuring, economic diversification, sustainable regional development.</w:t>
      </w:r>
    </w:p>
    <w:p w14:paraId="25E5E824" w14:textId="77777777" w:rsidR="009B727F" w:rsidRPr="0057788B" w:rsidRDefault="009B727F">
      <w:pPr>
        <w:pStyle w:val="a7"/>
        <w:spacing w:after="0" w:line="240" w:lineRule="auto"/>
        <w:ind w:firstLine="709"/>
        <w:jc w:val="both"/>
        <w:rPr>
          <w:rStyle w:val="a4"/>
          <w:rFonts w:ascii="Times New Roman" w:hAnsi="Times New Roman"/>
          <w:b w:val="0"/>
          <w:bCs w:val="0"/>
          <w:lang w:val="en-US"/>
        </w:rPr>
      </w:pPr>
    </w:p>
    <w:p w14:paraId="00078593" w14:textId="77777777" w:rsidR="009B727F" w:rsidRPr="0057788B" w:rsidRDefault="0057788B">
      <w:pPr>
        <w:pStyle w:val="a7"/>
        <w:spacing w:after="0" w:line="240" w:lineRule="auto"/>
        <w:jc w:val="center"/>
        <w:rPr>
          <w:lang w:val="en-US"/>
        </w:rPr>
      </w:pPr>
      <w:bookmarkStart w:id="0" w:name="tw-target-text_Копия_1"/>
      <w:bookmarkEnd w:id="0"/>
      <w:r w:rsidRPr="0057788B">
        <w:rPr>
          <w:rStyle w:val="a4"/>
          <w:lang w:val="en-US"/>
        </w:rPr>
        <w:t>Author information</w:t>
      </w:r>
    </w:p>
    <w:p w14:paraId="3B9BF95F" w14:textId="77777777" w:rsidR="009B727F" w:rsidRPr="00E16AA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bookmarkStart w:id="1" w:name="tw-target-text"/>
      <w:bookmarkEnd w:id="1"/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lastRenderedPageBreak/>
        <w:t>Shimanovskaya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Maria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Valerievna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senior lecturer at Perm State Technical University, postgraduate student at Perm State National Research University, 614068, Perm,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st.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</w:t>
      </w:r>
      <w:proofErr w:type="spellStart"/>
      <w:r w:rsidRPr="00E16AAB">
        <w:rPr>
          <w:rStyle w:val="a4"/>
          <w:rFonts w:ascii="Times New Roman" w:hAnsi="Times New Roman"/>
          <w:b w:val="0"/>
          <w:bCs w:val="0"/>
          <w:lang w:val="en-US"/>
        </w:rPr>
        <w:t>Bukireva</w:t>
      </w:r>
      <w:proofErr w:type="spellEnd"/>
      <w:r w:rsidRPr="00E16AAB">
        <w:rPr>
          <w:rStyle w:val="a4"/>
          <w:rFonts w:ascii="Times New Roman" w:hAnsi="Times New Roman"/>
          <w:b w:val="0"/>
          <w:bCs w:val="0"/>
          <w:lang w:val="en-US"/>
        </w:rPr>
        <w:t>, 15, mariashimshim@yandex.ru</w:t>
      </w:r>
    </w:p>
    <w:p w14:paraId="69BA885A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scientific supervisor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Oborin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Matvey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Sergeevich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Doctor of Economics, Professor of the Perm Institute (branch) of the Russian Economic University named after. G.V. Plekhanov, 614072, Perm, Gagarin Blvd., 57</w:t>
      </w:r>
    </w:p>
    <w:p w14:paraId="340DE02E" w14:textId="77777777" w:rsidR="009B727F" w:rsidRPr="0057788B" w:rsidRDefault="009B727F">
      <w:pPr>
        <w:pStyle w:val="a7"/>
        <w:spacing w:after="0" w:line="240" w:lineRule="auto"/>
        <w:ind w:firstLine="709"/>
        <w:jc w:val="both"/>
        <w:rPr>
          <w:rStyle w:val="a4"/>
          <w:rFonts w:ascii="Times New Roman" w:hAnsi="Times New Roman"/>
          <w:b w:val="0"/>
          <w:bCs w:val="0"/>
          <w:lang w:val="en-US"/>
        </w:rPr>
      </w:pPr>
    </w:p>
    <w:p w14:paraId="135E0561" w14:textId="77777777" w:rsidR="009B727F" w:rsidRPr="0057788B" w:rsidRDefault="0057788B">
      <w:pPr>
        <w:pStyle w:val="a7"/>
        <w:spacing w:after="0" w:line="240" w:lineRule="auto"/>
        <w:jc w:val="center"/>
        <w:rPr>
          <w:b/>
          <w:bCs/>
          <w:lang w:val="en-US"/>
        </w:rPr>
      </w:pPr>
      <w:r w:rsidRPr="0057788B">
        <w:rPr>
          <w:b/>
          <w:bCs/>
          <w:lang w:val="en-US"/>
        </w:rPr>
        <w:t>Bibliographic list</w:t>
      </w:r>
    </w:p>
    <w:p w14:paraId="1901045A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1.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Bystrova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, T. Yu.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Emscher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Park: Principles and Methods of Rehabilitation of Industrial Territories / T. Yu.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Bystrova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// Academic Bulletin of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UralNIIproekt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RAASN. - 2014. - No. 2. - P. 9-14.</w:t>
      </w:r>
    </w:p>
    <w:p w14:paraId="5710A751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2.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Ulyanychev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, M. A. The Phenomenon of Company Towns: Specific Features of Their Genesis and Development / M. A.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Ulyanychev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// RUDN Journal of Public Administration. - 2020. - Vol. 7, No. 2. - P. 118-123.</w:t>
      </w:r>
    </w:p>
    <w:p w14:paraId="34EFB83A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3.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Ganin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, O. B. Russian and Foreign Experience in Overcoming Territorial Depression / O. B.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Ganin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// Regions in Politics, Policy in the Regions. Political Science: Yearbook-2023. – Perm: Limited Liability Company "IC"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Titul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", Perm State National Research University, 2023. – Pp. 175-200.</w:t>
      </w:r>
    </w:p>
    <w:p w14:paraId="6B7B4ED4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4. Glebova, A. G. Problems of single-industry towns: global experience and Russian practice / A. G. Glebova, V. N. Zelensky, A. S.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Lazareva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// Bulletin of the University. – 2022. – No. 11. – Pp. 86-93.</w:t>
      </w:r>
    </w:p>
    <w:p w14:paraId="748BF8F9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5.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Kulay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, S. V. Foreign experience of modernization and restructuring of the economy of single-industry towns / S. V.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Kulay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// Public administration. Electronic Bulletin. - 2019. - No. 73. - Pp. 224-248.</w:t>
      </w:r>
    </w:p>
    <w:p w14:paraId="38DB6045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6.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Oborin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M.S.,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Frolova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N.V.,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Maltseva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M.A. Tourist and recreational activities as a factor in the diversification of the economy of single-industry towns in the region. </w:t>
      </w:r>
      <w:r w:rsidRPr="00E16AAB">
        <w:rPr>
          <w:rStyle w:val="a4"/>
          <w:rFonts w:ascii="Times New Roman" w:hAnsi="Times New Roman"/>
          <w:b w:val="0"/>
          <w:bCs w:val="0"/>
          <w:lang w:val="en-US"/>
        </w:rPr>
        <w:t xml:space="preserve">Service in Russia and abroad. 2018. Vol. 12. No. 4 (82). </w:t>
      </w:r>
      <w:r w:rsidRPr="0057788B">
        <w:rPr>
          <w:rStyle w:val="a4"/>
          <w:rFonts w:ascii="Times New Roman" w:hAnsi="Times New Roman"/>
          <w:b w:val="0"/>
          <w:bCs w:val="0"/>
          <w:lang w:val="en-US"/>
        </w:rPr>
        <w:t>Pp. 16-26.</w:t>
      </w:r>
    </w:p>
    <w:p w14:paraId="5308FBA0" w14:textId="77777777" w:rsidR="009B727F" w:rsidRPr="0057788B" w:rsidRDefault="0057788B">
      <w:pPr>
        <w:pStyle w:val="a7"/>
        <w:spacing w:after="0" w:line="240" w:lineRule="auto"/>
        <w:ind w:firstLine="709"/>
        <w:jc w:val="both"/>
        <w:rPr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7.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Sevast'yanova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A.E. Strategic aspects of diversification and modernization of the economy of single-industry towns // Bulletin of Kemerovo State University. Series: Political, sociological and economic sciences. 2018. No. 2. Pp. 139-145</w:t>
      </w:r>
    </w:p>
    <w:p w14:paraId="44A528E1" w14:textId="3E1D7DF1" w:rsidR="009B727F" w:rsidRPr="00E16AAB" w:rsidRDefault="0057788B" w:rsidP="00E16AAB">
      <w:pPr>
        <w:pStyle w:val="a7"/>
        <w:spacing w:after="0" w:line="240" w:lineRule="auto"/>
        <w:ind w:firstLine="709"/>
        <w:jc w:val="both"/>
        <w:rPr>
          <w:rFonts w:ascii="Times New Roman" w:hAnsi="Times New Roman"/>
          <w:lang w:val="en-US"/>
        </w:rPr>
      </w:pPr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8.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Urozhaeva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, T. P. Single-industry towns in the 1980s-1990s: foreign, Russian and regional experience in solving socio-economic problems / T. P. </w:t>
      </w:r>
      <w:proofErr w:type="spellStart"/>
      <w:r w:rsidRPr="0057788B">
        <w:rPr>
          <w:rStyle w:val="a4"/>
          <w:rFonts w:ascii="Times New Roman" w:hAnsi="Times New Roman"/>
          <w:b w:val="0"/>
          <w:bCs w:val="0"/>
          <w:lang w:val="en-US"/>
        </w:rPr>
        <w:t>Urozhaeva</w:t>
      </w:r>
      <w:proofErr w:type="spellEnd"/>
      <w:r w:rsidRPr="0057788B">
        <w:rPr>
          <w:rStyle w:val="a4"/>
          <w:rFonts w:ascii="Times New Roman" w:hAnsi="Times New Roman"/>
          <w:b w:val="0"/>
          <w:bCs w:val="0"/>
          <w:lang w:val="en-US"/>
        </w:rPr>
        <w:t xml:space="preserve"> // Scientific notes of Petrozavodsk State University. - 2016. - No. 3 (156). - P. 35-39.</w:t>
      </w:r>
    </w:p>
    <w:sectPr w:rsidR="009B727F" w:rsidRPr="00E16AAB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nos">
    <w:altName w:val="Cambria"/>
    <w:charset w:val="01"/>
    <w:family w:val="roman"/>
    <w:pitch w:val="variable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FreeSans">
    <w:altName w:val="Cambria"/>
    <w:panose1 w:val="00000000000000000000"/>
    <w:charset w:val="00"/>
    <w:family w:val="roman"/>
    <w:notTrueType/>
    <w:pitch w:val="default"/>
  </w:font>
  <w:font w:name="OpenSymbol">
    <w:altName w:val="Cambria"/>
    <w:charset w:val="01"/>
    <w:family w:val="roman"/>
    <w:pitch w:val="variable"/>
  </w:font>
  <w:font w:name="Arimo">
    <w:altName w:val="arial"/>
    <w:charset w:val="01"/>
    <w:family w:val="roman"/>
    <w:pitch w:val="variable"/>
  </w:font>
  <w:font w:name="Cousine">
    <w:altName w:val="Courier New"/>
    <w:charset w:val="01"/>
    <w:family w:val="roman"/>
    <w:pitch w:val="variable"/>
  </w:font>
  <w:font w:name="DejaVu Sans Mono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0277F9"/>
    <w:multiLevelType w:val="multilevel"/>
    <w:tmpl w:val="B19C1E26"/>
    <w:lvl w:ilvl="0">
      <w:start w:val="1"/>
      <w:numFmt w:val="decimal"/>
      <w:lvlText w:val="%1."/>
      <w:lvlJc w:val="left"/>
      <w:pPr>
        <w:tabs>
          <w:tab w:val="num" w:pos="982"/>
        </w:tabs>
        <w:ind w:left="982" w:hanging="360"/>
      </w:pPr>
    </w:lvl>
    <w:lvl w:ilvl="1">
      <w:start w:val="1"/>
      <w:numFmt w:val="decimal"/>
      <w:lvlText w:val="%2."/>
      <w:lvlJc w:val="left"/>
      <w:pPr>
        <w:tabs>
          <w:tab w:val="num" w:pos="1342"/>
        </w:tabs>
        <w:ind w:left="1342" w:hanging="360"/>
      </w:pPr>
    </w:lvl>
    <w:lvl w:ilvl="2">
      <w:start w:val="1"/>
      <w:numFmt w:val="decimal"/>
      <w:lvlText w:val="%3."/>
      <w:lvlJc w:val="left"/>
      <w:pPr>
        <w:tabs>
          <w:tab w:val="num" w:pos="1702"/>
        </w:tabs>
        <w:ind w:left="1702" w:hanging="360"/>
      </w:pPr>
    </w:lvl>
    <w:lvl w:ilvl="3">
      <w:start w:val="1"/>
      <w:numFmt w:val="decimal"/>
      <w:lvlText w:val="%4."/>
      <w:lvlJc w:val="left"/>
      <w:pPr>
        <w:tabs>
          <w:tab w:val="num" w:pos="2062"/>
        </w:tabs>
        <w:ind w:left="2062" w:hanging="360"/>
      </w:pPr>
    </w:lvl>
    <w:lvl w:ilvl="4">
      <w:start w:val="1"/>
      <w:numFmt w:val="decimal"/>
      <w:lvlText w:val="%5."/>
      <w:lvlJc w:val="left"/>
      <w:pPr>
        <w:tabs>
          <w:tab w:val="num" w:pos="2422"/>
        </w:tabs>
        <w:ind w:left="2422" w:hanging="360"/>
      </w:pPr>
    </w:lvl>
    <w:lvl w:ilvl="5">
      <w:start w:val="1"/>
      <w:numFmt w:val="decimal"/>
      <w:lvlText w:val="%6."/>
      <w:lvlJc w:val="left"/>
      <w:pPr>
        <w:tabs>
          <w:tab w:val="num" w:pos="2782"/>
        </w:tabs>
        <w:ind w:left="2782" w:hanging="360"/>
      </w:pPr>
    </w:lvl>
    <w:lvl w:ilvl="6">
      <w:start w:val="1"/>
      <w:numFmt w:val="decimal"/>
      <w:lvlText w:val="%7."/>
      <w:lvlJc w:val="left"/>
      <w:pPr>
        <w:tabs>
          <w:tab w:val="num" w:pos="3142"/>
        </w:tabs>
        <w:ind w:left="3142" w:hanging="360"/>
      </w:pPr>
    </w:lvl>
    <w:lvl w:ilvl="7">
      <w:start w:val="1"/>
      <w:numFmt w:val="decimal"/>
      <w:lvlText w:val="%8."/>
      <w:lvlJc w:val="left"/>
      <w:pPr>
        <w:tabs>
          <w:tab w:val="num" w:pos="3502"/>
        </w:tabs>
        <w:ind w:left="3502" w:hanging="360"/>
      </w:pPr>
    </w:lvl>
    <w:lvl w:ilvl="8">
      <w:start w:val="1"/>
      <w:numFmt w:val="decimal"/>
      <w:lvlText w:val="%9."/>
      <w:lvlJc w:val="left"/>
      <w:pPr>
        <w:tabs>
          <w:tab w:val="num" w:pos="3862"/>
        </w:tabs>
        <w:ind w:left="3862" w:hanging="360"/>
      </w:pPr>
    </w:lvl>
  </w:abstractNum>
  <w:abstractNum w:abstractNumId="1" w15:restartNumberingAfterBreak="0">
    <w:nsid w:val="3D484240"/>
    <w:multiLevelType w:val="multilevel"/>
    <w:tmpl w:val="AD60B6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2347A61"/>
    <w:multiLevelType w:val="multilevel"/>
    <w:tmpl w:val="71649C8C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7A7F1F3F"/>
    <w:multiLevelType w:val="multilevel"/>
    <w:tmpl w:val="F93C1D3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727F"/>
    <w:rsid w:val="0057788B"/>
    <w:rsid w:val="009B727F"/>
    <w:rsid w:val="00E16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ED68C"/>
  <w15:docId w15:val="{0E6D09DF-3398-48E6-A8C3-BE7C05EE5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nos" w:eastAsia="Noto Sans" w:hAnsi="Tinos" w:cs="FreeSans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Маркеры"/>
    <w:qFormat/>
    <w:rPr>
      <w:rFonts w:ascii="OpenSymbol" w:eastAsia="OpenSymbol" w:hAnsi="OpenSymbol" w:cs="OpenSymbol"/>
    </w:rPr>
  </w:style>
  <w:style w:type="character" w:styleId="a4">
    <w:name w:val="Strong"/>
    <w:qFormat/>
    <w:rPr>
      <w:b/>
      <w:bCs/>
    </w:rPr>
  </w:style>
  <w:style w:type="character" w:customStyle="1" w:styleId="a5">
    <w:name w:val="Символ нумерации"/>
    <w:qFormat/>
  </w:style>
  <w:style w:type="paragraph" w:styleId="a6">
    <w:name w:val="Title"/>
    <w:basedOn w:val="a"/>
    <w:next w:val="a7"/>
    <w:uiPriority w:val="10"/>
    <w:qFormat/>
    <w:pPr>
      <w:keepNext/>
      <w:spacing w:before="240" w:after="120"/>
    </w:pPr>
    <w:rPr>
      <w:rFonts w:ascii="Arimo" w:hAnsi="Arimo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  <w:style w:type="paragraph" w:customStyle="1" w:styleId="ab">
    <w:name w:val="Таблица"/>
    <w:basedOn w:val="a9"/>
    <w:qFormat/>
  </w:style>
  <w:style w:type="paragraph" w:customStyle="1" w:styleId="ac">
    <w:name w:val="Содержимое таблицы"/>
    <w:basedOn w:val="a"/>
    <w:qFormat/>
    <w:pPr>
      <w:widowControl w:val="0"/>
      <w:suppressLineNumbers/>
    </w:pPr>
  </w:style>
  <w:style w:type="paragraph" w:customStyle="1" w:styleId="ad">
    <w:name w:val="Заголовок таблицы"/>
    <w:basedOn w:val="ac"/>
    <w:qFormat/>
    <w:pPr>
      <w:jc w:val="center"/>
    </w:pPr>
    <w:rPr>
      <w:b/>
      <w:bCs/>
    </w:rPr>
  </w:style>
  <w:style w:type="paragraph" w:customStyle="1" w:styleId="ae">
    <w:name w:val="Текст в заданном формате"/>
    <w:basedOn w:val="a"/>
    <w:qFormat/>
    <w:rPr>
      <w:rFonts w:ascii="Cousine" w:eastAsia="DejaVu Sans Mono" w:hAnsi="Cousine" w:cs="Cousine"/>
      <w:sz w:val="20"/>
      <w:szCs w:val="20"/>
    </w:rPr>
  </w:style>
  <w:style w:type="paragraph" w:customStyle="1" w:styleId="af">
    <w:name w:val="Содержимое врезки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5</Pages>
  <Words>2170</Words>
  <Characters>12375</Characters>
  <Application>Microsoft Office Word</Application>
  <DocSecurity>0</DocSecurity>
  <Lines>103</Lines>
  <Paragraphs>29</Paragraphs>
  <ScaleCrop>false</ScaleCrop>
  <Company/>
  <LinksUpToDate>false</LinksUpToDate>
  <CharactersWithSpaces>14516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DopryndaNA</cp:lastModifiedBy>
  <cp:revision>3</cp:revision>
  <dcterms:created xsi:type="dcterms:W3CDTF">2026-05-07T05:08:00Z</dcterms:created>
  <dcterms:modified xsi:type="dcterms:W3CDTF">2026-05-07T05:40:00Z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2025-11-30T13:08:19Z</dcterms:created>
  <dc:creator/>
  <dc:description/>
  <dc:language>ru-RU</dc:language>
  <cp:lastModifiedBy/>
  <dcterms:modified xsi:type="dcterms:W3CDTF">2026-05-06T15:05:34Z</dcterms:modified>
  <cp:revision>8</cp:revision>
  <dc:subject/>
  <dc:title/>
</cp:coreProperties>
</file>