
<file path=[Content_Types].xml><?xml version="1.0" encoding="utf-8"?>
<Types xmlns="http://schemas.openxmlformats.org/package/2006/content-types">
  <Default Extension="xml" ContentType="application/xml"/>
  <Default Extension="rels" ContentType="application/vnd.openxmlformats-package.relationships+xml"/>
  <Override PartName="/word/theme/theme1.xml" ContentType="application/vnd.openxmlformats-officedocument.theme+xml"/>
  <Override PartName="/customXml/itemProps1.xml" ContentType="application/vnd.openxmlformats-officedocument.customXmlProperties+xml"/>
  <Override PartName="/word/styles.xml" ContentType="application/vnd.openxmlformats-officedocument.wordprocessingml.styles+xml"/>
  <Override PartName="/word/webSettings.xml" ContentType="application/vnd.openxmlformats-officedocument.wordprocessingml.webSettings+xml"/>
  <Override PartName="/word/numbering.xml" ContentType="application/vnd.openxmlformats-officedocument.wordprocessingml.numbering+xml"/>
  <Override PartName="/word/settings.xml" ContentType="application/vnd.openxmlformats-officedocument.wordprocessingml.settings+xml"/>
  <Override PartName="/word/document.xml" ContentType="application/vnd.openxmlformats-officedocument.wordprocessingml.document.main+xml"/>
  <Override PartName="/docProps/app.xml" ContentType="application/vnd.openxmlformats-officedocument.extended-properties+xml"/>
  <Override PartName="/word/stylesWithEffects.xml" ContentType="application/vnd.ms-word.stylesWithEffects+xml"/>
  <Override PartName="/word/fontTable.xml" ContentType="application/vnd.openxmlformats-officedocument.wordprocessingml.fontTable+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mc="http://schemas.openxmlformats.org/markup-compatibility/2006" xmlns:a="http://schemas.openxmlformats.org/drawingml/2006/main" xmlns:wps="http://schemas.microsoft.com/office/word/2010/wordprocessingShape" xmlns:wpg="http://schemas.microsoft.com/office/word/2010/wordprocessingGroup" xmlns:wp14="http://schemas.microsoft.com/office/word/2010/wordprocessingDrawing" xmlns:w14="http://schemas.microsoft.com/office/word/2010/wordml" xmlns:wpi="http://schemas.microsoft.com/office/word/2010/wordprocessingInk" xmlns:aink="http://schemas.microsoft.com/office/drawing/2016/ink" xmlns:dgm="http://schemas.openxmlformats.org/drawingml/2006/diagram">
  <w:body>
    <w:p w14:paraId="00000001">
      <w:pPr>
        <w:spacing w:after="0" w:line="360" w:lineRule="auto"/>
        <w:ind w:left="709"/>
        <w:rPr>
          <w:rFonts w:ascii="Times New Roman" w:cs="Times New Roman" w:hAnsi="Times New Roman"/>
          <w:b/>
          <w:sz w:val="24"/>
          <w:szCs w:val="24"/>
        </w:rPr>
      </w:pPr>
      <w:r>
        <w:rPr>
          <w:rFonts w:ascii="Times New Roman" w:cs="Times New Roman" w:hAnsi="Times New Roman"/>
          <w:b/>
          <w:sz w:val="24"/>
          <w:szCs w:val="24"/>
        </w:rPr>
        <w:t xml:space="preserve">УДК 336.1.07 </w:t>
      </w:r>
    </w:p>
    <w:p w14:paraId="00000002">
      <w:pPr>
        <w:spacing w:after="0" w:line="360" w:lineRule="auto"/>
        <w:ind w:left="709"/>
        <w:jc w:val="right"/>
        <w:rPr>
          <w:rFonts w:ascii="Times New Roman" w:cs="Times New Roman" w:hAnsi="Times New Roman"/>
          <w:b/>
          <w:sz w:val="24"/>
          <w:szCs w:val="24"/>
        </w:rPr>
      </w:pPr>
      <w:r>
        <w:rPr>
          <w:rFonts w:ascii="Times New Roman" w:cs="Times New Roman" w:hAnsi="Times New Roman"/>
          <w:b/>
          <w:sz w:val="24"/>
          <w:szCs w:val="24"/>
        </w:rPr>
        <w:t xml:space="preserve"> Гоцко Т.В.</w:t>
      </w:r>
    </w:p>
    <w:p w14:paraId="00000003">
      <w:pPr>
        <w:spacing w:after="0" w:line="240" w:lineRule="auto"/>
        <w:ind w:left="709"/>
        <w:jc w:val="center"/>
        <w:rPr>
          <w:rFonts w:ascii="Times New Roman" w:cs="Times New Roman" w:hAnsi="Times New Roman"/>
          <w:b/>
          <w:color w:val="000000"/>
          <w:sz w:val="24"/>
          <w:szCs w:val="24"/>
        </w:rPr>
      </w:pPr>
      <w:r>
        <w:rPr>
          <w:rFonts w:ascii="Times New Roman" w:cs="Times New Roman" w:hAnsi="Times New Roman"/>
          <w:b/>
          <w:color w:val="ff0000"/>
          <w:sz w:val="24"/>
          <w:szCs w:val="24"/>
        </w:rPr>
        <w:t xml:space="preserve"> </w:t>
      </w:r>
      <w:r>
        <w:rPr>
          <w:rFonts w:ascii="Times New Roman" w:cs="Times New Roman" w:hAnsi="Times New Roman"/>
          <w:b/>
          <w:color w:val="000000"/>
          <w:sz w:val="24"/>
          <w:szCs w:val="24"/>
        </w:rPr>
        <w:t xml:space="preserve">ПРОБЛЕМЫ НОРМИРОВАНИЯ В ФИНАНСОВЫХ ОРГАНАХ МУНИЦИПАЛЬНЫХ ОБРАЗОВАНИЙ </w:t>
      </w:r>
    </w:p>
    <w:p w14:paraId="00000004">
      <w:pPr>
        <w:spacing w:after="0" w:line="240" w:lineRule="auto"/>
        <w:ind w:left="709"/>
        <w:jc w:val="center"/>
        <w:rPr>
          <w:rFonts w:ascii="Times New Roman" w:cs="Times New Roman" w:hAnsi="Times New Roman"/>
          <w:b/>
          <w:color w:val="000000"/>
          <w:sz w:val="24"/>
          <w:szCs w:val="24"/>
        </w:rPr>
      </w:pPr>
    </w:p>
    <w:p w14:paraId="00000005">
      <w:pPr>
        <w:spacing w:after="0" w:line="240" w:lineRule="auto"/>
        <w:ind w:firstLine="709"/>
        <w:jc w:val="both"/>
        <w:rPr>
          <w:rFonts w:ascii="Times New Roman" w:cs="Times New Roman" w:eastAsia="Times New Roman" w:hAnsi="Times New Roman"/>
          <w:color w:val="000000"/>
          <w:sz w:val="24"/>
          <w:szCs w:val="24"/>
        </w:rPr>
      </w:pPr>
      <w:r>
        <w:rPr>
          <w:rFonts w:ascii="Times New Roman" w:cs="Times New Roman" w:hAnsi="Times New Roman"/>
          <w:b/>
          <w:sz w:val="24"/>
          <w:szCs w:val="24"/>
        </w:rPr>
        <w:t>Аннотация:</w:t>
      </w:r>
      <w:r>
        <w:rPr>
          <w:rFonts w:ascii="Times New Roman" w:cs="Times New Roman" w:hAnsi="Times New Roman"/>
          <w:sz w:val="24"/>
          <w:szCs w:val="24"/>
        </w:rPr>
        <w:t xml:space="preserve"> Обоснована целесообразность распространения  нормирования </w:t>
      </w:r>
      <w:r>
        <w:rPr>
          <w:rFonts w:ascii="Times New Roman" w:cs="Times New Roman" w:hAnsi="Times New Roman"/>
          <w:sz w:val="24"/>
          <w:szCs w:val="24"/>
        </w:rPr>
        <w:t xml:space="preserve">до финансовых органов  для обеспечения взаимосвязи </w:t>
      </w:r>
      <w:r>
        <w:rPr>
          <w:rFonts w:ascii="Times New Roman" w:cs="Times New Roman" w:eastAsia="Times New Roman" w:hAnsi="Times New Roman"/>
          <w:color w:val="000000"/>
          <w:sz w:val="24"/>
          <w:szCs w:val="24"/>
        </w:rPr>
        <w:t xml:space="preserve"> объем</w:t>
      </w:r>
      <w:r>
        <w:rPr>
          <w:rFonts w:ascii="Times New Roman" w:cs="Times New Roman" w:eastAsia="Times New Roman" w:hAnsi="Times New Roman"/>
          <w:color w:val="000000"/>
          <w:sz w:val="24"/>
          <w:szCs w:val="24"/>
        </w:rPr>
        <w:t>а</w:t>
      </w:r>
      <w:r>
        <w:rPr>
          <w:rFonts w:ascii="Times New Roman" w:cs="Times New Roman" w:eastAsia="Times New Roman" w:hAnsi="Times New Roman"/>
          <w:color w:val="000000"/>
          <w:sz w:val="24"/>
          <w:szCs w:val="24"/>
        </w:rPr>
        <w:t xml:space="preserve"> их финансового обеспечения  из-за  прогнозируемого тренда на  сокращение муниципальных служащих в связи</w:t>
      </w:r>
      <w:r>
        <w:rPr>
          <w:rFonts w:ascii="Times New Roman" w:cs="Times New Roman" w:eastAsia="Times New Roman" w:hAnsi="Times New Roman"/>
          <w:color w:val="000000"/>
          <w:sz w:val="24"/>
          <w:szCs w:val="24"/>
        </w:rPr>
        <w:t xml:space="preserve"> с перераспределением полномочий и цифровизацией бюджетного процесса.</w:t>
      </w:r>
    </w:p>
    <w:p w14:paraId="00000006">
      <w:pPr>
        <w:spacing w:after="0" w:line="240" w:lineRule="auto"/>
        <w:ind w:firstLine="709"/>
        <w:jc w:val="both"/>
        <w:rPr>
          <w:rFonts w:ascii="Times New Roman" w:cs="Times New Roman" w:hAnsi="Times New Roman"/>
          <w:sz w:val="24"/>
          <w:szCs w:val="24"/>
        </w:rPr>
      </w:pPr>
      <w:r>
        <w:rPr>
          <w:rFonts w:ascii="Times New Roman" w:cs="Times New Roman" w:hAnsi="Times New Roman"/>
          <w:b/>
          <w:sz w:val="24"/>
          <w:szCs w:val="24"/>
        </w:rPr>
        <w:t>Ключевые слова</w:t>
      </w:r>
      <w:r>
        <w:rPr>
          <w:rFonts w:ascii="Times New Roman" w:cs="Times New Roman" w:hAnsi="Times New Roman"/>
          <w:sz w:val="24"/>
          <w:szCs w:val="24"/>
        </w:rPr>
        <w:t xml:space="preserve">:  </w:t>
      </w:r>
      <w:r>
        <w:rPr>
          <w:rFonts w:ascii="Times New Roman" w:cs="Times New Roman" w:hAnsi="Times New Roman"/>
          <w:sz w:val="24"/>
          <w:szCs w:val="24"/>
        </w:rPr>
        <w:t xml:space="preserve"> нормирование, финансовые органы,  эффективность, бюджетный  </w:t>
      </w:r>
      <w:r>
        <w:rPr>
          <w:rFonts w:ascii="Times New Roman" w:cs="Times New Roman" w:hAnsi="Times New Roman"/>
          <w:sz w:val="24"/>
          <w:szCs w:val="24"/>
        </w:rPr>
        <w:t xml:space="preserve">   процесс, проблемы.</w:t>
      </w:r>
    </w:p>
    <w:p w14:paraId="00000007">
      <w:pPr>
        <w:spacing w:after="0" w:line="240" w:lineRule="auto"/>
        <w:ind w:firstLine="709"/>
        <w:jc w:val="both"/>
        <w:rPr>
          <w:rFonts w:ascii="Times New Roman" w:cs="Times New Roman" w:hAnsi="Times New Roman"/>
          <w:sz w:val="24"/>
          <w:szCs w:val="24"/>
        </w:rPr>
      </w:pPr>
    </w:p>
    <w:p w14:paraId="00000008">
      <w:pPr>
        <w:pBdr>
          <w:top w:val="none" w:sz="4" w:space="0"/>
          <w:left w:val="none" w:sz="4" w:space="0"/>
          <w:bottom w:val="none" w:sz="4" w:space="0"/>
          <w:right w:val="none" w:sz="4" w:space="0"/>
          <w:between w:val="none" w:sz="4" w:space="0"/>
        </w:pBdr>
        <w:spacing w:after="0" w:line="240" w:lineRule="auto"/>
        <w:ind w:firstLine="709"/>
        <w:jc w:val="both"/>
        <w:rPr>
          <w:rFonts w:ascii="Times New Roman" w:cs="Times New Roman" w:hAnsi="Times New Roman"/>
          <w:sz w:val="24"/>
          <w:szCs w:val="24"/>
        </w:rPr>
      </w:pPr>
      <w:r>
        <w:rPr>
          <w:rFonts w:ascii="Times New Roman" w:cs="Times New Roman" w:hAnsi="Times New Roman"/>
          <w:sz w:val="24"/>
          <w:szCs w:val="24"/>
        </w:rPr>
        <w:t xml:space="preserve">В условиях реформы местного самоуправления  приоритетной задачей  является   повышение эффективности использования ресурсов. Одним из возможных направлений достижения этой цели становится  установление </w:t>
      </w:r>
      <w:r>
        <w:rPr>
          <w:rFonts w:ascii="Times New Roman" w:cs="Times New Roman" w:hAnsi="Times New Roman"/>
          <w:sz w:val="24"/>
          <w:szCs w:val="24"/>
        </w:rPr>
        <w:t xml:space="preserve">синхронизации объемов </w:t>
      </w:r>
      <w:r>
        <w:rPr>
          <w:rFonts w:ascii="Times New Roman" w:cs="Times New Roman" w:hAnsi="Times New Roman"/>
          <w:sz w:val="24"/>
          <w:szCs w:val="24"/>
        </w:rPr>
        <w:t xml:space="preserve"> финансового обеспечения  организационных структур органов местного самоуправления</w:t>
      </w:r>
      <w:r>
        <w:rPr>
          <w:rFonts w:ascii="Times New Roman" w:cs="Times New Roman" w:hAnsi="Times New Roman"/>
          <w:sz w:val="24"/>
          <w:szCs w:val="24"/>
        </w:rPr>
        <w:t xml:space="preserve">   с  их вкладом в пов</w:t>
      </w:r>
      <w:r>
        <w:rPr>
          <w:rFonts w:ascii="Times New Roman" w:cs="Times New Roman" w:hAnsi="Times New Roman"/>
          <w:sz w:val="24"/>
          <w:szCs w:val="24"/>
        </w:rPr>
        <w:t>ышение качества жизни населения</w:t>
      </w:r>
      <w:r>
        <w:rPr>
          <w:rFonts w:ascii="Times New Roman" w:cs="Times New Roman" w:hAnsi="Times New Roman"/>
          <w:sz w:val="24"/>
          <w:szCs w:val="24"/>
        </w:rPr>
        <w:t xml:space="preserve"> </w:t>
      </w:r>
      <w:r>
        <w:rPr>
          <w:rFonts w:ascii="Times New Roman" w:cs="Times New Roman" w:hAnsi="Times New Roman"/>
          <w:sz w:val="24"/>
          <w:szCs w:val="24"/>
        </w:rPr>
        <w:t xml:space="preserve">и уровнем их ответственности.  </w:t>
      </w:r>
      <w:r>
        <w:rPr>
          <w:rFonts w:ascii="Times New Roman" w:cs="Times New Roman" w:hAnsi="Times New Roman"/>
          <w:sz w:val="24"/>
          <w:szCs w:val="24"/>
        </w:rPr>
        <w:t xml:space="preserve">Актуальность этой темы обусловлена трендом на сокращение численности работников органов </w:t>
      </w:r>
      <w:r>
        <w:rPr>
          <w:rFonts w:ascii="Times New Roman" w:cs="Times New Roman" w:hAnsi="Times New Roman"/>
          <w:sz w:val="24"/>
          <w:szCs w:val="24"/>
        </w:rPr>
        <w:t>местного самоуправления, особенно в структурах, занятых  вопросами общего профиля и финансово-экономическом блоке</w:t>
      </w:r>
      <w:r>
        <w:rPr>
          <w:rFonts w:ascii="Times New Roman" w:cs="Times New Roman" w:hAnsi="Times New Roman"/>
          <w:sz w:val="24"/>
          <w:szCs w:val="24"/>
        </w:rPr>
        <w:t xml:space="preserve"> из-за все более широкого использования инновационных цифровых технология и перераспределения полномочий в соответствии с федеральным законо</w:t>
      </w:r>
      <w:r>
        <w:rPr>
          <w:rFonts w:ascii="Times New Roman" w:cs="Times New Roman" w:hAnsi="Times New Roman"/>
          <w:sz w:val="24"/>
          <w:szCs w:val="24"/>
        </w:rPr>
        <w:t>м от 20 марта 2025 г. №</w:t>
      </w:r>
      <w:r>
        <w:rPr>
          <w:rFonts w:ascii="Times New Roman" w:cs="Times New Roman" w:hAnsi="Times New Roman"/>
          <w:sz w:val="24"/>
          <w:szCs w:val="24"/>
        </w:rPr>
        <w:t xml:space="preserve"> 33-ФЗ, </w:t>
      </w:r>
      <w:r>
        <w:rPr>
          <w:rFonts w:ascii="Times New Roman" w:cs="Times New Roman" w:hAnsi="Times New Roman"/>
          <w:sz w:val="24"/>
          <w:szCs w:val="24"/>
        </w:rPr>
        <w:t xml:space="preserve"> Сегодня многие специалисты важнейшим инструментом рационального использования ресурсов  признают нормирование, которое позволяет эффективно организовать деятельность органов</w:t>
      </w:r>
      <w:r>
        <w:rPr>
          <w:rFonts w:ascii="Times New Roman" w:cs="Times New Roman" w:hAnsi="Times New Roman"/>
          <w:sz w:val="24"/>
          <w:szCs w:val="24"/>
        </w:rPr>
        <w:t xml:space="preserve"> исполнительной власти,  измерить и определить труд</w:t>
      </w:r>
      <w:r>
        <w:rPr>
          <w:rFonts w:ascii="Times New Roman" w:cs="Times New Roman" w:hAnsi="Times New Roman"/>
          <w:sz w:val="24"/>
          <w:szCs w:val="24"/>
        </w:rPr>
        <w:t>овой вклад каждого работника, определить трудоемкость работ и установить оптимальную нагрузку работников</w:t>
      </w:r>
      <w:r>
        <w:rPr>
          <w:rFonts w:ascii="Times New Roman" w:cs="Times New Roman" w:hAnsi="Times New Roman"/>
          <w:color w:val="000000"/>
          <w:sz w:val="24"/>
          <w:szCs w:val="24"/>
        </w:rPr>
        <w:t xml:space="preserve"> [4, </w:t>
      </w:r>
      <w:r>
        <w:rPr>
          <w:rFonts w:ascii="Times New Roman" w:cs="Times New Roman" w:hAnsi="Times New Roman"/>
          <w:color w:val="000000"/>
          <w:sz w:val="24"/>
          <w:szCs w:val="24"/>
        </w:rPr>
        <w:t xml:space="preserve">с. 44]. </w:t>
      </w:r>
      <w:r>
        <w:rPr>
          <w:rFonts w:ascii="Times New Roman" w:cs="Times New Roman" w:hAnsi="Times New Roman"/>
          <w:sz w:val="24"/>
          <w:szCs w:val="24"/>
        </w:rPr>
        <w:t xml:space="preserve">Ключевыми участниками бюджетного процесса в муниципальных образованиях являются финансовые органы и  эффективность использования бюджетных </w:t>
      </w:r>
      <w:r>
        <w:rPr>
          <w:rFonts w:ascii="Times New Roman" w:cs="Times New Roman" w:hAnsi="Times New Roman"/>
          <w:sz w:val="24"/>
          <w:szCs w:val="24"/>
        </w:rPr>
        <w:t>средств в значительной степени зависит от результатов их деятельности.</w:t>
      </w:r>
      <w:r>
        <w:rPr>
          <w:rFonts w:ascii="Times New Roman" w:cs="Times New Roman" w:hAnsi="Times New Roman"/>
          <w:sz w:val="24"/>
          <w:szCs w:val="24"/>
        </w:rPr>
        <w:t xml:space="preserve"> Однако в муниципальных образованиях приоритетным подходом при формировании организационно-штатной структуры и стимулировании работников местных администраций преимущественно применяется</w:t>
      </w:r>
      <w:r>
        <w:rPr>
          <w:rFonts w:ascii="Times New Roman" w:cs="Times New Roman" w:hAnsi="Times New Roman"/>
          <w:sz w:val="24"/>
          <w:szCs w:val="24"/>
        </w:rPr>
        <w:t xml:space="preserve"> формально-бюрократический подход.</w:t>
      </w:r>
    </w:p>
    <w:p w14:paraId="00000009">
      <w:pPr>
        <w:pBdr>
          <w:top w:val="none" w:sz="4" w:space="0"/>
          <w:left w:val="none" w:sz="4" w:space="0"/>
          <w:bottom w:val="none" w:sz="4" w:space="0"/>
          <w:right w:val="none" w:sz="4" w:space="0"/>
          <w:between w:val="none" w:sz="4" w:space="0"/>
        </w:pBdr>
        <w:spacing w:after="0" w:line="240" w:lineRule="auto"/>
        <w:ind w:firstLine="709"/>
        <w:jc w:val="both"/>
        <w:rPr>
          <w:rFonts w:ascii="Times New Roman" w:cs="Times New Roman" w:hAnsi="Times New Roman"/>
          <w:color w:val="000000"/>
          <w:sz w:val="24"/>
          <w:szCs w:val="24"/>
        </w:rPr>
      </w:pPr>
      <w:r>
        <w:rPr>
          <w:rFonts w:ascii="Times New Roman" w:cs="Times New Roman" w:hAnsi="Times New Roman"/>
          <w:color w:val="000000"/>
          <w:sz w:val="24"/>
          <w:szCs w:val="24"/>
        </w:rPr>
        <w:t xml:space="preserve">Обязанность использовать в управленческом процессе  </w:t>
      </w:r>
      <w:r>
        <w:rPr>
          <w:rFonts w:ascii="Times New Roman" w:cs="Times New Roman" w:hAnsi="Times New Roman"/>
          <w:sz w:val="24"/>
          <w:szCs w:val="24"/>
        </w:rPr>
        <w:t>нормирования  предусмотрена законодательно по разным направлениям.</w:t>
      </w:r>
      <w:r>
        <w:rPr>
          <w:rFonts w:ascii="Times New Roman" w:cs="Times New Roman" w:hAnsi="Times New Roman"/>
          <w:color w:val="000000"/>
          <w:sz w:val="24"/>
          <w:szCs w:val="24"/>
        </w:rPr>
        <w:t xml:space="preserve"> Так для</w:t>
      </w:r>
      <w:r>
        <w:rPr>
          <w:rFonts w:ascii="Times New Roman" w:cs="Times New Roman" w:hAnsi="Times New Roman"/>
          <w:color w:val="000000"/>
          <w:sz w:val="24"/>
          <w:szCs w:val="24"/>
        </w:rPr>
        <w:t xml:space="preserve"> сферы закупок</w:t>
      </w:r>
      <w:r>
        <w:rPr>
          <w:rFonts w:ascii="Times New Roman" w:cs="Times New Roman" w:hAnsi="Times New Roman"/>
          <w:color w:val="000000"/>
          <w:sz w:val="24"/>
          <w:szCs w:val="24"/>
        </w:rPr>
        <w:t xml:space="preserve"> нормирование предусмотрено </w:t>
      </w:r>
      <w:r>
        <w:rPr>
          <w:rFonts w:ascii="Times New Roman" w:cs="Times New Roman" w:hAnsi="Times New Roman"/>
          <w:color w:val="000000"/>
          <w:sz w:val="24"/>
          <w:szCs w:val="24"/>
        </w:rPr>
        <w:t>федеральным законом от 5 апреля 2013 года № 44-</w:t>
      </w:r>
      <w:r>
        <w:rPr>
          <w:rFonts w:ascii="Times New Roman" w:cs="Times New Roman" w:hAnsi="Times New Roman"/>
          <w:color w:val="000000"/>
          <w:sz w:val="24"/>
          <w:szCs w:val="24"/>
        </w:rPr>
        <w:t>ФЗ с установлением требований к закупаемым товарам (работам, услугам) и (или) нормативные затраты в порядке, установ</w:t>
      </w:r>
      <w:r>
        <w:rPr>
          <w:rFonts w:ascii="Times New Roman" w:cs="Times New Roman" w:hAnsi="Times New Roman"/>
          <w:color w:val="000000"/>
          <w:sz w:val="24"/>
          <w:szCs w:val="24"/>
        </w:rPr>
        <w:t xml:space="preserve">ленном местной администрацией. </w:t>
      </w:r>
      <w:r>
        <w:rPr>
          <w:rFonts w:ascii="Times New Roman" w:cs="Times New Roman" w:hAnsi="Times New Roman"/>
          <w:color w:val="000000"/>
          <w:sz w:val="24"/>
          <w:szCs w:val="24"/>
        </w:rPr>
        <w:t xml:space="preserve">Таким </w:t>
      </w:r>
      <w:r>
        <w:rPr>
          <w:rFonts w:ascii="Times New Roman" w:cs="Times New Roman" w:hAnsi="Times New Roman"/>
          <w:color w:val="000000"/>
          <w:sz w:val="24"/>
          <w:szCs w:val="24"/>
        </w:rPr>
        <w:t>образом</w:t>
      </w:r>
      <w:r>
        <w:rPr>
          <w:rFonts w:ascii="Times New Roman" w:cs="Times New Roman" w:hAnsi="Times New Roman"/>
          <w:color w:val="000000"/>
          <w:sz w:val="24"/>
          <w:szCs w:val="24"/>
        </w:rPr>
        <w:t xml:space="preserve"> единый порядок должен распространяться не только на исполнительные, но и представительные орга</w:t>
      </w:r>
      <w:r>
        <w:rPr>
          <w:rFonts w:ascii="Times New Roman" w:cs="Times New Roman" w:hAnsi="Times New Roman"/>
          <w:color w:val="000000"/>
          <w:sz w:val="24"/>
          <w:szCs w:val="24"/>
        </w:rPr>
        <w:t>ны и органы внешнего муници</w:t>
      </w:r>
      <w:r>
        <w:rPr>
          <w:rFonts w:ascii="Times New Roman" w:cs="Times New Roman" w:hAnsi="Times New Roman"/>
          <w:color w:val="000000"/>
          <w:sz w:val="24"/>
          <w:szCs w:val="24"/>
        </w:rPr>
        <w:t>пального финансового контроля.</w:t>
      </w:r>
    </w:p>
    <w:p w14:paraId="0000000A">
      <w:pPr>
        <w:spacing w:after="0" w:line="240" w:lineRule="auto"/>
        <w:ind w:firstLine="709"/>
        <w:jc w:val="both"/>
        <w:rPr>
          <w:rFonts w:ascii="Times New Roman" w:cs="Times New Roman" w:hAnsi="Times New Roman"/>
          <w:color w:val="000000"/>
          <w:sz w:val="24"/>
          <w:szCs w:val="24"/>
        </w:rPr>
      </w:pPr>
      <w:r>
        <w:rPr>
          <w:rFonts w:ascii="Times New Roman" w:cs="Times New Roman" w:hAnsi="Times New Roman"/>
          <w:color w:val="000000"/>
          <w:sz w:val="24"/>
          <w:szCs w:val="24"/>
        </w:rPr>
        <w:t xml:space="preserve">Вместе с тем формализованные требования к </w:t>
      </w:r>
      <w:r>
        <w:rPr>
          <w:rFonts w:ascii="Times New Roman" w:cs="Times New Roman" w:hAnsi="Times New Roman"/>
          <w:color w:val="000000"/>
          <w:sz w:val="24"/>
          <w:szCs w:val="24"/>
        </w:rPr>
        <w:t xml:space="preserve">результатам, </w:t>
      </w:r>
      <w:r>
        <w:rPr>
          <w:rFonts w:ascii="Times New Roman" w:cs="Times New Roman" w:hAnsi="Times New Roman"/>
          <w:color w:val="000000"/>
          <w:sz w:val="24"/>
          <w:szCs w:val="24"/>
        </w:rPr>
        <w:t>этапности</w:t>
      </w:r>
      <w:r>
        <w:rPr>
          <w:rFonts w:ascii="Times New Roman" w:cs="Times New Roman" w:hAnsi="Times New Roman"/>
          <w:color w:val="000000"/>
          <w:sz w:val="24"/>
          <w:szCs w:val="24"/>
        </w:rPr>
        <w:t xml:space="preserve"> и отчетности процесса закупок не позволяют  использовать гибкие модели использования </w:t>
      </w:r>
      <w:r>
        <w:rPr>
          <w:rFonts w:ascii="Times New Roman" w:cs="Times New Roman" w:hAnsi="Times New Roman"/>
          <w:color w:val="000000"/>
          <w:sz w:val="24"/>
          <w:szCs w:val="24"/>
          <w:lang w:val="en-US"/>
        </w:rPr>
        <w:t>IT</w:t>
      </w:r>
      <w:r>
        <w:rPr>
          <w:rFonts w:ascii="Times New Roman" w:cs="Times New Roman" w:hAnsi="Times New Roman"/>
          <w:color w:val="000000"/>
          <w:sz w:val="24"/>
          <w:szCs w:val="24"/>
        </w:rPr>
        <w:t xml:space="preserve">- </w:t>
      </w:r>
      <w:r>
        <w:rPr>
          <w:rFonts w:ascii="Times New Roman" w:cs="Times New Roman" w:hAnsi="Times New Roman"/>
          <w:color w:val="000000"/>
          <w:sz w:val="24"/>
          <w:szCs w:val="24"/>
        </w:rPr>
        <w:t xml:space="preserve">проектов </w:t>
      </w:r>
      <w:r>
        <w:rPr>
          <w:rFonts w:ascii="Times New Roman" w:cs="Times New Roman" w:hAnsi="Times New Roman"/>
          <w:color w:val="000000"/>
          <w:sz w:val="24"/>
          <w:szCs w:val="24"/>
        </w:rPr>
        <w:t xml:space="preserve">[6, </w:t>
      </w:r>
      <w:r>
        <w:rPr>
          <w:rFonts w:ascii="Times New Roman" w:cs="Times New Roman" w:hAnsi="Times New Roman"/>
          <w:color w:val="000000"/>
          <w:sz w:val="24"/>
          <w:szCs w:val="24"/>
        </w:rPr>
        <w:t>с. 5310]. П</w:t>
      </w:r>
      <w:r>
        <w:rPr>
          <w:rFonts w:ascii="Times New Roman" w:cs="Times New Roman" w:hAnsi="Times New Roman"/>
          <w:sz w:val="24"/>
          <w:szCs w:val="24"/>
        </w:rPr>
        <w:t>оложительн</w:t>
      </w:r>
      <w:r>
        <w:rPr>
          <w:rFonts w:ascii="Times New Roman" w:cs="Times New Roman" w:hAnsi="Times New Roman"/>
          <w:sz w:val="24"/>
          <w:szCs w:val="24"/>
        </w:rPr>
        <w:t xml:space="preserve">ый опыт </w:t>
      </w:r>
      <w:r>
        <w:rPr>
          <w:rFonts w:ascii="Times New Roman" w:cs="Times New Roman" w:hAnsi="Times New Roman"/>
          <w:color w:val="000000"/>
          <w:sz w:val="24"/>
          <w:szCs w:val="24"/>
        </w:rPr>
        <w:t>решения этой проблемы накоплен</w:t>
      </w:r>
      <w:r>
        <w:rPr>
          <w:rFonts w:ascii="Times New Roman" w:cs="Times New Roman" w:hAnsi="Times New Roman"/>
          <w:sz w:val="24"/>
          <w:szCs w:val="24"/>
        </w:rPr>
        <w:t xml:space="preserve"> в Московской области, где</w:t>
      </w:r>
      <w:r>
        <w:rPr>
          <w:rFonts w:ascii="Times New Roman" w:cs="Times New Roman" w:hAnsi="Times New Roman"/>
          <w:sz w:val="24"/>
          <w:szCs w:val="24"/>
        </w:rPr>
        <w:t xml:space="preserve"> </w:t>
      </w:r>
      <w:r>
        <w:rPr>
          <w:rFonts w:ascii="Times New Roman" w:cs="Times New Roman" w:hAnsi="Times New Roman"/>
          <w:sz w:val="24"/>
          <w:szCs w:val="24"/>
        </w:rPr>
        <w:t xml:space="preserve">внедрены «сквозные» цифровые технологии и платформенные решений на основе типового бюджета муниципальных образований </w:t>
      </w:r>
      <w:r>
        <w:rPr>
          <w:rFonts w:ascii="Times New Roman" w:cs="Times New Roman" w:hAnsi="Times New Roman"/>
          <w:sz w:val="24"/>
          <w:szCs w:val="24"/>
        </w:rPr>
        <w:t xml:space="preserve">с автоматизированным исполнением ряда функций.  В результате </w:t>
      </w:r>
      <w:r>
        <w:rPr>
          <w:rFonts w:ascii="Times New Roman" w:cs="Times New Roman" w:hAnsi="Times New Roman"/>
          <w:color w:val="000000"/>
          <w:sz w:val="24"/>
          <w:szCs w:val="24"/>
        </w:rPr>
        <w:t>формализо</w:t>
      </w:r>
      <w:r>
        <w:rPr>
          <w:rFonts w:ascii="Times New Roman" w:cs="Times New Roman" w:hAnsi="Times New Roman"/>
          <w:color w:val="000000"/>
          <w:sz w:val="24"/>
          <w:szCs w:val="24"/>
        </w:rPr>
        <w:t xml:space="preserve">ваны многие процедуры планирования, исполнения и формирования отчетности, а </w:t>
      </w:r>
      <w:r>
        <w:rPr>
          <w:rFonts w:ascii="Times New Roman" w:cs="Times New Roman" w:hAnsi="Times New Roman"/>
          <w:sz w:val="24"/>
          <w:szCs w:val="24"/>
        </w:rPr>
        <w:t xml:space="preserve">финансовые органы  не расходуют средства местных бюджетов </w:t>
      </w:r>
      <w:r>
        <w:rPr>
          <w:rFonts w:ascii="Times New Roman" w:cs="Times New Roman" w:hAnsi="Times New Roman"/>
          <w:sz w:val="24"/>
          <w:szCs w:val="24"/>
        </w:rPr>
        <w:t>на</w:t>
      </w:r>
      <w:r>
        <w:rPr>
          <w:rFonts w:ascii="Times New Roman" w:cs="Times New Roman" w:hAnsi="Times New Roman"/>
          <w:sz w:val="24"/>
          <w:szCs w:val="24"/>
        </w:rPr>
        <w:t xml:space="preserve"> закупка  </w:t>
      </w:r>
      <w:r>
        <w:rPr>
          <w:rFonts w:ascii="Times New Roman" w:cs="Times New Roman" w:hAnsi="Times New Roman"/>
          <w:color w:val="000000"/>
          <w:sz w:val="24"/>
          <w:szCs w:val="24"/>
          <w:lang w:val="en-US"/>
        </w:rPr>
        <w:t>IT</w:t>
      </w:r>
      <w:r>
        <w:rPr>
          <w:rFonts w:ascii="Times New Roman" w:cs="Times New Roman" w:hAnsi="Times New Roman"/>
          <w:color w:val="000000"/>
          <w:sz w:val="24"/>
          <w:szCs w:val="24"/>
        </w:rPr>
        <w:t xml:space="preserve">- </w:t>
      </w:r>
      <w:r>
        <w:rPr>
          <w:rFonts w:ascii="Times New Roman" w:cs="Times New Roman" w:hAnsi="Times New Roman"/>
          <w:color w:val="000000"/>
          <w:sz w:val="24"/>
          <w:szCs w:val="24"/>
        </w:rPr>
        <w:t xml:space="preserve">технологий. Кроме того </w:t>
      </w:r>
      <w:r>
        <w:rPr>
          <w:rFonts w:ascii="Times New Roman" w:cs="Times New Roman" w:hAnsi="Times New Roman"/>
          <w:sz w:val="24"/>
          <w:szCs w:val="24"/>
        </w:rPr>
        <w:t>осуществление</w:t>
      </w:r>
      <w:r>
        <w:rPr>
          <w:rFonts w:ascii="Times New Roman" w:cs="Times New Roman" w:hAnsi="Times New Roman"/>
          <w:sz w:val="24"/>
          <w:szCs w:val="24"/>
        </w:rPr>
        <w:t xml:space="preserve"> в режиме «</w:t>
      </w:r>
      <w:r>
        <w:rPr>
          <w:rFonts w:ascii="Times New Roman" w:cs="Times New Roman" w:hAnsi="Times New Roman"/>
          <w:sz w:val="24"/>
          <w:szCs w:val="24"/>
        </w:rPr>
        <w:t>онлайн</w:t>
      </w:r>
      <w:r>
        <w:rPr>
          <w:rFonts w:ascii="Times New Roman" w:cs="Times New Roman" w:hAnsi="Times New Roman"/>
          <w:sz w:val="24"/>
          <w:szCs w:val="24"/>
        </w:rPr>
        <w:t>» мониторинга</w:t>
      </w:r>
      <w:r>
        <w:rPr>
          <w:rFonts w:ascii="Times New Roman" w:cs="Times New Roman" w:hAnsi="Times New Roman"/>
          <w:sz w:val="24"/>
          <w:szCs w:val="24"/>
        </w:rPr>
        <w:t xml:space="preserve"> местных бюджетов </w:t>
      </w:r>
      <w:r>
        <w:rPr>
          <w:rFonts w:ascii="Times New Roman" w:cs="Times New Roman" w:hAnsi="Times New Roman"/>
          <w:sz w:val="24"/>
          <w:szCs w:val="24"/>
        </w:rPr>
        <w:t>позволяет оперативно реаг</w:t>
      </w:r>
      <w:r>
        <w:rPr>
          <w:rFonts w:ascii="Times New Roman" w:cs="Times New Roman" w:hAnsi="Times New Roman"/>
          <w:sz w:val="24"/>
          <w:szCs w:val="24"/>
        </w:rPr>
        <w:t>ировать на проблемные ситуации,</w:t>
      </w:r>
      <w:r>
        <w:rPr>
          <w:rFonts w:ascii="Times New Roman" w:cs="Times New Roman" w:hAnsi="Times New Roman"/>
          <w:sz w:val="24"/>
          <w:szCs w:val="24"/>
        </w:rPr>
        <w:t xml:space="preserve"> сокращать количество коррупционных рисков и дублирующие функции муниципальных служащих [2, с.9]</w:t>
      </w:r>
      <w:r>
        <w:rPr>
          <w:rFonts w:ascii="Times New Roman" w:cs="Times New Roman" w:hAnsi="Times New Roman"/>
          <w:sz w:val="24"/>
          <w:szCs w:val="24"/>
        </w:rPr>
        <w:t>.</w:t>
      </w:r>
      <w:r>
        <w:rPr>
          <w:rFonts w:ascii="Times New Roman" w:cs="Times New Roman" w:hAnsi="Times New Roman"/>
          <w:sz w:val="24"/>
          <w:szCs w:val="24"/>
        </w:rPr>
        <w:t xml:space="preserve"> </w:t>
      </w:r>
    </w:p>
    <w:p w14:paraId="0000000B">
      <w:pPr>
        <w:spacing w:after="0" w:line="240" w:lineRule="auto"/>
        <w:ind w:firstLine="709"/>
        <w:jc w:val="both"/>
        <w:rPr>
          <w:rFonts w:ascii="Times New Roman" w:cs="Times New Roman" w:hAnsi="Times New Roman"/>
          <w:color w:val="000000"/>
          <w:sz w:val="24"/>
          <w:szCs w:val="24"/>
        </w:rPr>
      </w:pPr>
      <w:r>
        <w:rPr>
          <w:rFonts w:ascii="Times New Roman" w:cs="Times New Roman" w:hAnsi="Times New Roman"/>
          <w:color w:val="000000"/>
          <w:sz w:val="24"/>
          <w:szCs w:val="24"/>
        </w:rPr>
        <w:t>Согласно</w:t>
      </w:r>
      <w:r>
        <w:rPr>
          <w:rFonts w:ascii="Times New Roman" w:cs="Times New Roman" w:hAnsi="Times New Roman"/>
          <w:color w:val="000000"/>
          <w:sz w:val="24"/>
          <w:szCs w:val="24"/>
        </w:rPr>
        <w:t xml:space="preserve"> Трудового кодекса РФ обязанность  нормирования труда распространяется и на работников </w:t>
      </w:r>
      <w:r>
        <w:rPr>
          <w:rFonts w:ascii="Times New Roman" w:cs="Times New Roman" w:hAnsi="Times New Roman"/>
          <w:color w:val="000000"/>
          <w:sz w:val="24"/>
          <w:szCs w:val="24"/>
        </w:rPr>
        <w:t xml:space="preserve">финансовых органов муниципальных образований с учетом особенностей, </w:t>
      </w:r>
      <w:r>
        <w:rPr>
          <w:rFonts w:ascii="Times New Roman" w:cs="Times New Roman" w:hAnsi="Times New Roman"/>
          <w:color w:val="000000"/>
          <w:sz w:val="24"/>
          <w:szCs w:val="24"/>
        </w:rPr>
        <w:t>предусмотренными законами и нормативно - правовыми актами  о муниципальной службе и бюджетном процессе.</w:t>
      </w:r>
      <w:r>
        <w:rPr>
          <w:rFonts w:ascii="Times New Roman" w:cs="Times New Roman" w:hAnsi="Times New Roman"/>
          <w:color w:val="000000"/>
          <w:sz w:val="24"/>
          <w:szCs w:val="24"/>
        </w:rPr>
        <w:t xml:space="preserve">  </w:t>
      </w:r>
    </w:p>
    <w:p w14:paraId="0000000C">
      <w:pPr>
        <w:spacing w:after="0" w:line="240" w:lineRule="auto"/>
        <w:ind w:firstLine="709"/>
        <w:jc w:val="both"/>
        <w:rPr>
          <w:rFonts w:ascii="Times New Roman" w:cs="Times New Roman" w:hAnsi="Times New Roman"/>
          <w:color w:val="000000"/>
          <w:sz w:val="24"/>
          <w:szCs w:val="24"/>
        </w:rPr>
      </w:pPr>
      <w:r>
        <w:rPr>
          <w:rFonts w:ascii="Times New Roman" w:cs="Times New Roman" w:hAnsi="Times New Roman"/>
          <w:sz w:val="24"/>
          <w:szCs w:val="24"/>
        </w:rPr>
        <w:t>Для муниципальных образований, у которых расчетная доля дотаций из вышестоящи</w:t>
      </w:r>
      <w:r>
        <w:rPr>
          <w:rFonts w:ascii="Times New Roman" w:cs="Times New Roman" w:hAnsi="Times New Roman"/>
          <w:sz w:val="24"/>
          <w:szCs w:val="24"/>
        </w:rPr>
        <w:t xml:space="preserve">х бюджетов с учетом доходов по дополнительным нормативам отчислений превышает 5 </w:t>
      </w:r>
      <w:r>
        <w:rPr>
          <w:rFonts w:ascii="Times New Roman" w:cs="Times New Roman" w:hAnsi="Times New Roman"/>
          <w:sz w:val="24"/>
          <w:szCs w:val="24"/>
        </w:rPr>
        <w:t xml:space="preserve">процентов доходов местного бюджета, не имеют права превышать </w:t>
      </w:r>
      <w:r>
        <w:rPr>
          <w:rFonts w:ascii="Times New Roman" w:cs="Times New Roman" w:hAnsi="Times New Roman"/>
          <w:sz w:val="24"/>
          <w:szCs w:val="24"/>
        </w:rPr>
        <w:t xml:space="preserve"> </w:t>
      </w:r>
      <w:r>
        <w:rPr>
          <w:rFonts w:ascii="Times New Roman" w:cs="Times New Roman" w:hAnsi="Times New Roman"/>
          <w:sz w:val="24"/>
          <w:szCs w:val="24"/>
        </w:rPr>
        <w:t xml:space="preserve">установленные высшим исполнительным органом субъекта РФ нормативы расходов на оплату труда муниципальных служащих </w:t>
      </w:r>
      <w:r>
        <w:rPr>
          <w:rFonts w:ascii="Times New Roman" w:cs="Times New Roman" w:hAnsi="Times New Roman"/>
          <w:sz w:val="24"/>
          <w:szCs w:val="24"/>
        </w:rPr>
        <w:t>и (или) содержание органов местного самоуправления [1, ст. 136], т. е. речь идет об установлении предельных размеров средств в</w:t>
      </w:r>
      <w:r>
        <w:rPr>
          <w:rFonts w:ascii="Times New Roman" w:cs="Times New Roman" w:hAnsi="Times New Roman"/>
          <w:sz w:val="24"/>
          <w:szCs w:val="24"/>
        </w:rPr>
        <w:t xml:space="preserve"> целом по муниципальному образованию. Расп</w:t>
      </w:r>
      <w:r>
        <w:rPr>
          <w:rFonts w:ascii="Times New Roman" w:cs="Times New Roman" w:hAnsi="Times New Roman"/>
          <w:sz w:val="24"/>
          <w:szCs w:val="24"/>
        </w:rPr>
        <w:t xml:space="preserve">ределение суммарного объема по </w:t>
      </w:r>
      <w:r>
        <w:rPr>
          <w:rFonts w:ascii="Times New Roman" w:cs="Times New Roman" w:hAnsi="Times New Roman"/>
          <w:sz w:val="24"/>
          <w:szCs w:val="24"/>
        </w:rPr>
        <w:t>организацио</w:t>
      </w:r>
      <w:r>
        <w:rPr>
          <w:rFonts w:ascii="Times New Roman" w:cs="Times New Roman" w:hAnsi="Times New Roman"/>
          <w:sz w:val="24"/>
          <w:szCs w:val="24"/>
        </w:rPr>
        <w:t xml:space="preserve">нным структурам и установление </w:t>
      </w:r>
      <w:r>
        <w:rPr>
          <w:rFonts w:ascii="Times New Roman" w:cs="Times New Roman" w:hAnsi="Times New Roman"/>
          <w:sz w:val="24"/>
          <w:szCs w:val="24"/>
        </w:rPr>
        <w:t>конкретного у</w:t>
      </w:r>
      <w:r>
        <w:rPr>
          <w:rFonts w:ascii="Times New Roman" w:cs="Times New Roman" w:hAnsi="Times New Roman"/>
          <w:sz w:val="24"/>
          <w:szCs w:val="24"/>
        </w:rPr>
        <w:t xml:space="preserve">ровня </w:t>
      </w:r>
      <w:r>
        <w:rPr>
          <w:rFonts w:ascii="Times New Roman" w:cs="Times New Roman" w:hAnsi="Times New Roman"/>
          <w:sz w:val="24"/>
          <w:szCs w:val="24"/>
        </w:rPr>
        <w:t>размера оплаты труда</w:t>
      </w:r>
      <w:r>
        <w:rPr>
          <w:rFonts w:ascii="Times New Roman" w:cs="Times New Roman" w:hAnsi="Times New Roman"/>
          <w:sz w:val="24"/>
          <w:szCs w:val="24"/>
        </w:rPr>
        <w:t xml:space="preserve"> </w:t>
      </w:r>
      <w:r>
        <w:rPr>
          <w:rFonts w:ascii="Times New Roman" w:cs="Times New Roman" w:hAnsi="Times New Roman"/>
          <w:sz w:val="24"/>
          <w:szCs w:val="24"/>
        </w:rPr>
        <w:t>специалиста</w:t>
      </w:r>
      <w:r>
        <w:rPr>
          <w:rFonts w:ascii="Times New Roman" w:cs="Times New Roman" w:hAnsi="Times New Roman"/>
          <w:sz w:val="24"/>
          <w:szCs w:val="24"/>
        </w:rPr>
        <w:t xml:space="preserve">м производится непосредственно </w:t>
      </w:r>
      <w:r>
        <w:rPr>
          <w:rFonts w:ascii="Times New Roman" w:cs="Times New Roman" w:hAnsi="Times New Roman"/>
          <w:sz w:val="24"/>
          <w:szCs w:val="24"/>
        </w:rPr>
        <w:t>в муниципалитете</w:t>
      </w:r>
      <w:r>
        <w:rPr>
          <w:rFonts w:ascii="Times New Roman" w:cs="Times New Roman" w:hAnsi="Times New Roman"/>
          <w:sz w:val="24"/>
          <w:szCs w:val="24"/>
        </w:rPr>
        <w:t xml:space="preserve">. </w:t>
      </w:r>
      <w:r>
        <w:rPr>
          <w:rFonts w:ascii="Times New Roman" w:cs="Times New Roman" w:hAnsi="Times New Roman"/>
          <w:sz w:val="24"/>
          <w:szCs w:val="24"/>
        </w:rPr>
        <w:t>Например, в Московской области устанавливается предельная численность работников всех органов местного самоуправления в зависимости от численности населения муниципа</w:t>
      </w:r>
      <w:r>
        <w:rPr>
          <w:rFonts w:ascii="Times New Roman" w:cs="Times New Roman" w:hAnsi="Times New Roman"/>
          <w:sz w:val="24"/>
          <w:szCs w:val="24"/>
        </w:rPr>
        <w:t>литета, а также опреде</w:t>
      </w:r>
      <w:r>
        <w:rPr>
          <w:rFonts w:ascii="Times New Roman" w:cs="Times New Roman" w:hAnsi="Times New Roman"/>
          <w:sz w:val="24"/>
          <w:szCs w:val="24"/>
        </w:rPr>
        <w:t>лен алгоритм расчета нормативов</w:t>
      </w:r>
      <w:r>
        <w:rPr>
          <w:rFonts w:ascii="Times New Roman" w:cs="Times New Roman" w:hAnsi="Times New Roman"/>
          <w:sz w:val="24"/>
          <w:szCs w:val="24"/>
        </w:rPr>
        <w:t xml:space="preserve"> расходов</w:t>
      </w:r>
      <w:r>
        <w:rPr>
          <w:rFonts w:ascii="Times New Roman" w:cs="Times New Roman" w:hAnsi="Times New Roman"/>
          <w:color w:val="000000"/>
          <w:sz w:val="24"/>
          <w:szCs w:val="24"/>
        </w:rPr>
        <w:t xml:space="preserve"> на обеспечение их деятельнос</w:t>
      </w:r>
      <w:r>
        <w:rPr>
          <w:rFonts w:ascii="Times New Roman" w:cs="Times New Roman" w:hAnsi="Times New Roman"/>
          <w:color w:val="000000"/>
          <w:sz w:val="24"/>
          <w:szCs w:val="24"/>
        </w:rPr>
        <w:t xml:space="preserve">ти и </w:t>
      </w:r>
      <w:r>
        <w:rPr>
          <w:rFonts w:ascii="Times New Roman" w:cs="Times New Roman" w:hAnsi="Times New Roman"/>
          <w:color w:val="000000"/>
          <w:sz w:val="24"/>
          <w:szCs w:val="24"/>
        </w:rPr>
        <w:t xml:space="preserve">критерии планирования </w:t>
      </w:r>
      <w:r>
        <w:rPr>
          <w:rFonts w:ascii="Times New Roman" w:cs="Times New Roman" w:hAnsi="Times New Roman"/>
          <w:color w:val="000000"/>
          <w:sz w:val="24"/>
          <w:szCs w:val="24"/>
        </w:rPr>
        <w:t>расходов на оплату труда</w:t>
      </w:r>
      <w:r>
        <w:rPr>
          <w:rFonts w:ascii="Times New Roman" w:cs="Times New Roman" w:hAnsi="Times New Roman"/>
          <w:color w:val="000000"/>
          <w:sz w:val="24"/>
          <w:szCs w:val="24"/>
        </w:rPr>
        <w:t xml:space="preserve"> для расчета межбюджетных трансфертов при составлении проекта бюджета Московской области. </w:t>
      </w:r>
    </w:p>
    <w:p w14:paraId="0000000D">
      <w:pPr>
        <w:spacing w:after="0" w:line="240" w:lineRule="auto"/>
        <w:ind w:firstLine="709"/>
        <w:jc w:val="both"/>
        <w:rPr>
          <w:rFonts w:ascii="Times New Roman" w:cs="Times New Roman" w:hAnsi="Times New Roman"/>
          <w:color w:val="000000"/>
          <w:sz w:val="24"/>
          <w:szCs w:val="24"/>
        </w:rPr>
      </w:pPr>
      <w:r>
        <w:rPr>
          <w:rFonts w:ascii="Times New Roman" w:cs="Times New Roman" w:hAnsi="Times New Roman"/>
          <w:sz w:val="24"/>
          <w:szCs w:val="24"/>
        </w:rPr>
        <w:t>Такой подход п</w:t>
      </w:r>
      <w:r>
        <w:rPr>
          <w:rFonts w:ascii="Times New Roman" w:cs="Times New Roman" w:hAnsi="Times New Roman"/>
          <w:sz w:val="24"/>
          <w:szCs w:val="24"/>
        </w:rPr>
        <w:t xml:space="preserve">реимущественно </w:t>
      </w:r>
      <w:r>
        <w:rPr>
          <w:rFonts w:ascii="Times New Roman" w:cs="Times New Roman" w:hAnsi="Times New Roman"/>
          <w:sz w:val="24"/>
          <w:szCs w:val="24"/>
        </w:rPr>
        <w:t>обосновывает бюрократический подход к формированию организационно-штатной структуры органов местного самоуправления, не стимулирует повышение компетенций специалистов и стремление к выполнению дополнительного объема функций.</w:t>
      </w:r>
      <w:r>
        <w:rPr>
          <w:rFonts w:ascii="Times New Roman"/>
          <w:color w:val="000000"/>
          <w:sz w:val="24"/>
          <w:szCs w:val="24"/>
        </w:rPr>
        <w:t xml:space="preserve"> </w:t>
      </w:r>
      <w:r>
        <w:rPr>
          <w:rFonts w:ascii="Times New Roman" w:cs="Times New Roman" w:hAnsi="Times New Roman"/>
          <w:color w:val="000000"/>
          <w:sz w:val="24"/>
          <w:szCs w:val="24"/>
        </w:rPr>
        <w:t>Поэтому целесоо</w:t>
      </w:r>
      <w:r>
        <w:rPr>
          <w:rFonts w:ascii="Times New Roman" w:cs="Times New Roman" w:hAnsi="Times New Roman"/>
          <w:color w:val="000000"/>
          <w:sz w:val="24"/>
          <w:szCs w:val="24"/>
        </w:rPr>
        <w:t xml:space="preserve">бразно интегрировать в </w:t>
      </w:r>
      <w:r>
        <w:rPr>
          <w:rFonts w:ascii="Times New Roman" w:cs="Times New Roman" w:hAnsi="Times New Roman"/>
          <w:color w:val="000000"/>
          <w:sz w:val="24"/>
          <w:szCs w:val="24"/>
        </w:rPr>
        <w:t xml:space="preserve">процесс управления муниципальными финансами </w:t>
      </w:r>
      <w:r>
        <w:rPr>
          <w:rFonts w:ascii="Times New Roman" w:cs="Times New Roman" w:hAnsi="Times New Roman"/>
          <w:color w:val="000000"/>
          <w:sz w:val="28"/>
          <w:szCs w:val="28"/>
        </w:rPr>
        <w:t xml:space="preserve"> </w:t>
      </w:r>
      <w:r>
        <w:rPr>
          <w:rFonts w:ascii="Times New Roman" w:cs="Times New Roman" w:hAnsi="Times New Roman"/>
          <w:sz w:val="24"/>
          <w:szCs w:val="24"/>
        </w:rPr>
        <w:t>инструменты нормирования труда позволит создать основу для оценки к</w:t>
      </w:r>
      <w:r>
        <w:rPr>
          <w:rFonts w:ascii="Times New Roman" w:cs="Times New Roman" w:hAnsi="Times New Roman"/>
          <w:sz w:val="24"/>
          <w:szCs w:val="24"/>
        </w:rPr>
        <w:t>ачества выполняемых полномочий.</w:t>
      </w:r>
      <w:r>
        <w:rPr>
          <w:rFonts w:ascii="Times New Roman" w:cs="Times New Roman" w:hAnsi="Times New Roman"/>
          <w:sz w:val="24"/>
          <w:szCs w:val="24"/>
        </w:rPr>
        <w:t xml:space="preserve"> На</w:t>
      </w:r>
      <w:r>
        <w:rPr>
          <w:rFonts w:ascii="Times New Roman" w:cs="Times New Roman" w:hAnsi="Times New Roman"/>
          <w:sz w:val="24"/>
          <w:szCs w:val="24"/>
        </w:rPr>
        <w:t xml:space="preserve">чинать внедрение нормирования </w:t>
      </w:r>
      <w:r>
        <w:rPr>
          <w:rFonts w:ascii="Times New Roman" w:cs="Times New Roman" w:hAnsi="Times New Roman"/>
          <w:sz w:val="24"/>
          <w:szCs w:val="24"/>
        </w:rPr>
        <w:t>в</w:t>
      </w:r>
      <w:r>
        <w:rPr>
          <w:rFonts w:ascii="Times New Roman" w:cs="Times New Roman" w:hAnsi="Times New Roman"/>
          <w:sz w:val="24"/>
          <w:szCs w:val="24"/>
        </w:rPr>
        <w:t>финансовых</w:t>
      </w:r>
      <w:r>
        <w:rPr>
          <w:rFonts w:ascii="Times New Roman" w:cs="Times New Roman" w:hAnsi="Times New Roman"/>
          <w:sz w:val="24"/>
          <w:szCs w:val="24"/>
        </w:rPr>
        <w:t xml:space="preserve"> </w:t>
      </w:r>
      <w:r>
        <w:rPr>
          <w:rFonts w:ascii="Times New Roman" w:cs="Times New Roman" w:hAnsi="Times New Roman"/>
          <w:sz w:val="24"/>
          <w:szCs w:val="24"/>
        </w:rPr>
        <w:t>органах</w:t>
      </w:r>
      <w:r>
        <w:rPr>
          <w:rFonts w:ascii="Times New Roman" w:cs="Times New Roman" w:hAnsi="Times New Roman"/>
          <w:sz w:val="24"/>
          <w:szCs w:val="24"/>
        </w:rPr>
        <w:t xml:space="preserve"> обусловлено тем, что целый ряд трудовых функций  характеризуются в существенной степени однородностью и стандартностью, базируются на следовании нормативно-правовым документам и регламентам, безусловном уважении к иерархии, дисциплине </w:t>
      </w:r>
      <w:r>
        <w:rPr>
          <w:rFonts w:ascii="Times New Roman" w:cs="Times New Roman" w:hAnsi="Times New Roman"/>
          <w:sz w:val="24"/>
          <w:szCs w:val="24"/>
        </w:rPr>
        <w:t xml:space="preserve">исполнения поручений [3, с. 71]. </w:t>
      </w:r>
      <w:r>
        <w:rPr>
          <w:rFonts w:ascii="Times New Roman" w:cs="Times New Roman" w:hAnsi="Times New Roman"/>
          <w:color w:val="000000"/>
          <w:sz w:val="24"/>
          <w:szCs w:val="24"/>
        </w:rPr>
        <w:t xml:space="preserve">Проблема при проведении </w:t>
      </w:r>
      <w:r>
        <w:rPr>
          <w:rFonts w:ascii="Times New Roman" w:cs="Times New Roman" w:hAnsi="Times New Roman"/>
          <w:color w:val="000000"/>
          <w:sz w:val="24"/>
          <w:szCs w:val="24"/>
        </w:rPr>
        <w:t>предиктивного</w:t>
      </w:r>
      <w:r>
        <w:rPr>
          <w:rFonts w:ascii="Times New Roman" w:cs="Times New Roman" w:hAnsi="Times New Roman"/>
          <w:color w:val="000000"/>
          <w:sz w:val="24"/>
          <w:szCs w:val="24"/>
        </w:rPr>
        <w:t xml:space="preserve"> анализа для подготовки к нормированию труда является отсутствие  публичной информации о численности работников по организационным структурам и уровня оплаты труда. Вместе с тем во мно</w:t>
      </w:r>
      <w:r>
        <w:rPr>
          <w:rFonts w:ascii="Times New Roman" w:cs="Times New Roman" w:hAnsi="Times New Roman"/>
          <w:color w:val="000000"/>
          <w:sz w:val="24"/>
          <w:szCs w:val="24"/>
        </w:rPr>
        <w:t xml:space="preserve">гих муниципальных образованиях финансовые органы являются главными распорядителями бюджетных средств, </w:t>
      </w:r>
      <w:r>
        <w:rPr>
          <w:rFonts w:ascii="Times New Roman" w:cs="Times New Roman" w:hAnsi="Times New Roman"/>
          <w:color w:val="000000"/>
          <w:sz w:val="24"/>
          <w:szCs w:val="24"/>
        </w:rPr>
        <w:t xml:space="preserve">что позволяет проанализировать </w:t>
      </w:r>
      <w:r>
        <w:rPr>
          <w:rFonts w:ascii="Times New Roman" w:cs="Times New Roman" w:hAnsi="Times New Roman"/>
          <w:color w:val="000000"/>
          <w:sz w:val="24"/>
          <w:szCs w:val="24"/>
        </w:rPr>
        <w:t>динамику расходов на выплаты персоналу в отдельных финансовых органах дотационных муниципальных образований Московской обл</w:t>
      </w:r>
      <w:r>
        <w:rPr>
          <w:rFonts w:ascii="Times New Roman" w:cs="Times New Roman" w:hAnsi="Times New Roman"/>
          <w:color w:val="000000"/>
          <w:sz w:val="24"/>
          <w:szCs w:val="24"/>
        </w:rPr>
        <w:t xml:space="preserve">асти </w:t>
      </w:r>
      <w:r>
        <w:rPr>
          <w:rFonts w:ascii="Times New Roman" w:cs="Times New Roman" w:hAnsi="Times New Roman"/>
          <w:color w:val="000000"/>
          <w:sz w:val="24"/>
          <w:szCs w:val="24"/>
        </w:rPr>
        <w:t>представлена</w:t>
      </w:r>
      <w:r>
        <w:rPr>
          <w:rFonts w:ascii="Times New Roman" w:cs="Times New Roman" w:hAnsi="Times New Roman"/>
          <w:color w:val="000000"/>
          <w:sz w:val="24"/>
          <w:szCs w:val="24"/>
        </w:rPr>
        <w:t xml:space="preserve"> в таблице  1.</w:t>
      </w:r>
    </w:p>
    <w:p w14:paraId="0000000E">
      <w:pPr>
        <w:pBdr>
          <w:top w:val="none" w:sz="4" w:space="0"/>
          <w:left w:val="none" w:sz="4" w:space="0"/>
          <w:bottom w:val="none" w:sz="4" w:space="0"/>
          <w:right w:val="none" w:sz="4" w:space="0"/>
          <w:between w:val="none" w:sz="4" w:space="0"/>
        </w:pBdr>
        <w:spacing w:after="0" w:line="240" w:lineRule="auto"/>
        <w:jc w:val="right"/>
        <w:rPr>
          <w:rFonts w:ascii="Times New Roman" w:cs="Times New Roman" w:hAnsi="Times New Roman"/>
          <w:color w:val="000000"/>
          <w:sz w:val="24"/>
          <w:szCs w:val="24"/>
        </w:rPr>
      </w:pPr>
      <w:r>
        <w:rPr>
          <w:rFonts w:ascii="Times New Roman" w:cs="Times New Roman" w:hAnsi="Times New Roman"/>
          <w:color w:val="000000"/>
          <w:sz w:val="24"/>
          <w:szCs w:val="24"/>
        </w:rPr>
        <w:t>Таблица 1</w:t>
      </w:r>
    </w:p>
    <w:p w14:paraId="0000000F">
      <w:pPr>
        <w:pBdr>
          <w:top w:val="none" w:sz="4" w:space="0"/>
          <w:left w:val="none" w:sz="4" w:space="0"/>
          <w:bottom w:val="none" w:sz="4" w:space="0"/>
          <w:right w:val="none" w:sz="4" w:space="0"/>
          <w:between w:val="none" w:sz="4" w:space="0"/>
        </w:pBdr>
        <w:spacing w:after="0" w:line="240" w:lineRule="auto"/>
        <w:jc w:val="center"/>
        <w:rPr>
          <w:rFonts w:ascii="Times New Roman" w:cs="Times New Roman" w:hAnsi="Times New Roman"/>
          <w:color w:val="000000"/>
          <w:sz w:val="24"/>
          <w:szCs w:val="24"/>
        </w:rPr>
      </w:pPr>
      <w:r>
        <w:rPr>
          <w:rFonts w:ascii="Times New Roman" w:cs="Times New Roman" w:hAnsi="Times New Roman"/>
          <w:color w:val="000000"/>
          <w:sz w:val="24"/>
          <w:szCs w:val="24"/>
        </w:rPr>
        <w:t xml:space="preserve">Динамика расходов на выплату персоналу в отдельных финансовых органах </w:t>
      </w:r>
    </w:p>
    <w:p w14:paraId="00000010">
      <w:pPr>
        <w:pBdr>
          <w:top w:val="none" w:sz="4" w:space="0"/>
          <w:left w:val="none" w:sz="4" w:space="0"/>
          <w:bottom w:val="none" w:sz="4" w:space="0"/>
          <w:right w:val="none" w:sz="4" w:space="0"/>
          <w:between w:val="none" w:sz="4" w:space="0"/>
        </w:pBdr>
        <w:spacing w:after="0" w:line="240" w:lineRule="auto"/>
        <w:jc w:val="center"/>
        <w:rPr>
          <w:rFonts w:ascii="Times New Roman" w:cs="Times New Roman" w:hAnsi="Times New Roman"/>
          <w:color w:val="000000"/>
          <w:sz w:val="24"/>
          <w:szCs w:val="24"/>
        </w:rPr>
      </w:pPr>
      <w:r>
        <w:rPr>
          <w:rFonts w:ascii="Times New Roman" w:cs="Times New Roman" w:hAnsi="Times New Roman"/>
          <w:color w:val="000000"/>
          <w:sz w:val="24"/>
          <w:szCs w:val="24"/>
        </w:rPr>
        <w:t>муниципальных образований Московской области</w:t>
      </w:r>
    </w:p>
    <w:p w14:paraId="00000011">
      <w:pPr>
        <w:pBdr>
          <w:top w:val="none" w:sz="4" w:space="0"/>
          <w:left w:val="none" w:sz="4" w:space="0"/>
          <w:bottom w:val="none" w:sz="4" w:space="0"/>
          <w:right w:val="none" w:sz="4" w:space="0"/>
          <w:between w:val="none" w:sz="4" w:space="0"/>
        </w:pBdr>
        <w:spacing w:after="0" w:line="240" w:lineRule="auto"/>
        <w:jc w:val="center"/>
        <w:rPr>
          <w:rFonts w:ascii="Times New Roman" w:cs="Times New Roman" w:hAnsi="Times New Roman"/>
          <w:color w:val="000000"/>
          <w:sz w:val="24"/>
          <w:szCs w:val="24"/>
        </w:rPr>
      </w:pPr>
    </w:p>
    <w:tbl>
      <w:tblPr>
        <w:tblStyle w:val="TableGrid"/>
        <w:tblW w:w="9132" w:type="dxa"/>
        <w:tblInd w:w="444" w:type="dxa"/>
        <w:tblLook w:val="04A0"/>
      </w:tblPr>
      <w:tblGrid>
        <w:gridCol w:w="2229"/>
        <w:gridCol w:w="1399"/>
        <w:gridCol w:w="1484"/>
        <w:gridCol w:w="1384"/>
        <w:gridCol w:w="1354"/>
        <w:gridCol w:w="1282"/>
      </w:tblGrid>
      <w:tr>
        <w:trPr/>
        <w:tc>
          <w:tcPr>
            <w:cnfStyle w:val="101000000000"/>
            <w:tcW w:w="2229" w:type="dxa"/>
            <w:vMerge w:val="restart"/>
            <w:tcBorders>
              <w:top w:val="single" w:color="auto" w:sz="4" w:space="0"/>
              <w:left w:val="single" w:color="auto" w:sz="4" w:space="0"/>
              <w:bottom w:val="single" w:color="auto" w:sz="4" w:space="0"/>
              <w:right w:val="single" w:color="auto" w:sz="4" w:space="0"/>
            </w:tcBorders>
            <w:shd w:val="clear" w:color="auto" w:fill="auto"/>
          </w:tcPr>
          <w:p w14:paraId="00000012">
            <w:pPr>
              <w:jc w:val="center"/>
              <w:rPr>
                <w:color w:val="000000"/>
                <w:sz w:val="22"/>
                <w:szCs w:val="22"/>
              </w:rPr>
            </w:pPr>
            <w:r>
              <w:rPr>
                <w:color w:val="000000"/>
                <w:sz w:val="22"/>
                <w:szCs w:val="22"/>
              </w:rPr>
              <w:t>Муниципальные образования</w:t>
            </w:r>
          </w:p>
        </w:tc>
        <w:tc>
          <w:tcPr>
            <w:cnfStyle w:val="100000000000"/>
            <w:tcW w:w="4267" w:type="dxa"/>
            <w:gridSpan w:val="3"/>
            <w:tcBorders>
              <w:top w:val="single" w:color="auto" w:sz="4" w:space="0"/>
              <w:left w:val="single" w:color="auto" w:sz="4" w:space="0"/>
              <w:bottom w:val="single" w:color="auto" w:sz="4" w:space="0"/>
              <w:right w:val="single" w:color="auto" w:sz="4" w:space="0"/>
            </w:tcBorders>
            <w:shd w:val="clear" w:color="auto" w:fill="auto"/>
          </w:tcPr>
          <w:p w14:paraId="00000013">
            <w:pPr>
              <w:jc w:val="center"/>
              <w:rPr>
                <w:color w:val="000000"/>
                <w:sz w:val="22"/>
                <w:szCs w:val="22"/>
              </w:rPr>
            </w:pPr>
            <w:r>
              <w:rPr>
                <w:color w:val="000000"/>
                <w:sz w:val="22"/>
                <w:szCs w:val="22"/>
              </w:rPr>
              <w:t>Расходы, тыс. руб.</w:t>
            </w:r>
          </w:p>
        </w:tc>
        <w:tc>
          <w:tcPr>
            <w:cnfStyle w:val="100000000000"/>
            <w:tcW w:w="2636" w:type="dxa"/>
            <w:gridSpan w:val="2"/>
            <w:tcBorders>
              <w:top w:val="single" w:color="auto" w:sz="4" w:space="0"/>
              <w:left w:val="single" w:color="auto" w:sz="4" w:space="0"/>
              <w:bottom w:val="single" w:color="auto" w:sz="4" w:space="0"/>
              <w:right w:val="single" w:color="auto" w:sz="4" w:space="0"/>
            </w:tcBorders>
            <w:shd w:val="clear" w:color="auto" w:fill="auto"/>
          </w:tcPr>
          <w:p w14:paraId="00000014">
            <w:pPr>
              <w:jc w:val="center"/>
              <w:rPr>
                <w:color w:val="000000"/>
                <w:sz w:val="22"/>
                <w:szCs w:val="22"/>
              </w:rPr>
            </w:pPr>
            <w:r>
              <w:rPr>
                <w:color w:val="000000"/>
                <w:sz w:val="22"/>
                <w:szCs w:val="22"/>
              </w:rPr>
              <w:t>Темпы роста, %</w:t>
            </w:r>
          </w:p>
        </w:tc>
      </w:tr>
      <w:tr>
        <w:trPr/>
        <w:tc>
          <w:tcPr>
            <w:cnfStyle w:val="001000100000"/>
            <w:tcW w:w="2229" w:type="dxa"/>
            <w:vMerge w:val="continue"/>
            <w:tcBorders>
              <w:top w:val="single" w:color="auto" w:sz="4" w:space="0"/>
              <w:left w:val="single" w:color="auto" w:sz="4" w:space="0"/>
              <w:bottom w:val="single" w:color="auto" w:sz="4" w:space="0"/>
              <w:right w:val="single" w:color="auto" w:sz="4" w:space="0"/>
            </w:tcBorders>
            <w:shd w:val="clear" w:color="auto" w:fill="auto"/>
          </w:tcPr>
          <w:p w14:paraId="00000015">
            <w:pPr>
              <w:jc w:val="center"/>
              <w:rPr>
                <w:color w:val="000000"/>
                <w:sz w:val="22"/>
                <w:szCs w:val="22"/>
              </w:rPr>
            </w:pPr>
          </w:p>
        </w:tc>
        <w:tc>
          <w:tcPr>
            <w:cnfStyle w:val="000000100000"/>
            <w:tcW w:w="1399" w:type="dxa"/>
            <w:tcBorders>
              <w:top w:val="single" w:color="auto" w:sz="4" w:space="0"/>
              <w:left w:val="single" w:color="auto" w:sz="4" w:space="0"/>
              <w:bottom w:val="single" w:color="auto" w:sz="4" w:space="0"/>
              <w:right w:val="single" w:color="auto" w:sz="4" w:space="0"/>
            </w:tcBorders>
            <w:shd w:val="clear" w:color="auto" w:fill="auto"/>
          </w:tcPr>
          <w:p w14:paraId="00000016">
            <w:pPr>
              <w:jc w:val="center"/>
              <w:rPr>
                <w:color w:val="000000"/>
                <w:sz w:val="22"/>
                <w:szCs w:val="22"/>
              </w:rPr>
            </w:pPr>
            <w:r>
              <w:rPr>
                <w:color w:val="000000"/>
                <w:sz w:val="22"/>
                <w:szCs w:val="22"/>
              </w:rPr>
              <w:t>2023</w:t>
            </w:r>
          </w:p>
        </w:tc>
        <w:tc>
          <w:tcPr>
            <w:cnfStyle w:val="000000100000"/>
            <w:tcW w:w="1484" w:type="dxa"/>
            <w:tcBorders>
              <w:top w:val="single" w:color="auto" w:sz="4" w:space="0"/>
              <w:left w:val="single" w:color="auto" w:sz="4" w:space="0"/>
              <w:bottom w:val="single" w:color="auto" w:sz="4" w:space="0"/>
              <w:right w:val="single" w:color="auto" w:sz="4" w:space="0"/>
            </w:tcBorders>
            <w:shd w:val="clear" w:color="auto" w:fill="auto"/>
          </w:tcPr>
          <w:p w14:paraId="00000017">
            <w:pPr>
              <w:jc w:val="center"/>
              <w:rPr>
                <w:color w:val="000000"/>
                <w:sz w:val="22"/>
                <w:szCs w:val="22"/>
              </w:rPr>
            </w:pPr>
            <w:r>
              <w:rPr>
                <w:color w:val="000000"/>
                <w:sz w:val="22"/>
                <w:szCs w:val="22"/>
              </w:rPr>
              <w:t>2024</w:t>
            </w:r>
          </w:p>
        </w:tc>
        <w:tc>
          <w:tcPr>
            <w:cnfStyle w:val="000000100000"/>
            <w:tcW w:w="1384" w:type="dxa"/>
            <w:tcBorders>
              <w:top w:val="single" w:color="auto" w:sz="4" w:space="0"/>
              <w:left w:val="single" w:color="auto" w:sz="4" w:space="0"/>
              <w:bottom w:val="single" w:color="auto" w:sz="4" w:space="0"/>
              <w:right w:val="single" w:color="auto" w:sz="4" w:space="0"/>
            </w:tcBorders>
            <w:shd w:val="clear" w:color="auto" w:fill="auto"/>
          </w:tcPr>
          <w:p w14:paraId="00000018">
            <w:pPr>
              <w:jc w:val="center"/>
              <w:rPr>
                <w:color w:val="000000"/>
                <w:sz w:val="22"/>
                <w:szCs w:val="22"/>
              </w:rPr>
            </w:pPr>
            <w:r>
              <w:rPr>
                <w:color w:val="000000"/>
                <w:sz w:val="22"/>
                <w:szCs w:val="22"/>
              </w:rPr>
              <w:t>2025</w:t>
            </w:r>
          </w:p>
        </w:tc>
        <w:tc>
          <w:tcPr>
            <w:cnfStyle w:val="000000100000"/>
            <w:tcW w:w="1354" w:type="dxa"/>
            <w:tcBorders>
              <w:top w:val="single" w:color="auto" w:sz="4" w:space="0"/>
              <w:left w:val="single" w:color="auto" w:sz="4" w:space="0"/>
              <w:bottom w:val="single" w:color="auto" w:sz="4" w:space="0"/>
              <w:right w:val="single" w:color="auto" w:sz="4" w:space="0"/>
            </w:tcBorders>
            <w:shd w:val="clear" w:color="auto" w:fill="auto"/>
          </w:tcPr>
          <w:p w14:paraId="00000019">
            <w:pPr>
              <w:jc w:val="center"/>
              <w:rPr>
                <w:color w:val="000000"/>
                <w:sz w:val="22"/>
                <w:szCs w:val="22"/>
              </w:rPr>
            </w:pPr>
            <w:r>
              <w:rPr>
                <w:color w:val="000000"/>
                <w:sz w:val="22"/>
                <w:szCs w:val="22"/>
              </w:rPr>
              <w:t>2024/2023</w:t>
            </w:r>
          </w:p>
        </w:tc>
        <w:tc>
          <w:tcPr>
            <w:cnfStyle w:val="000000100000"/>
            <w:tcW w:w="1282" w:type="dxa"/>
            <w:tcBorders>
              <w:top w:val="single" w:color="auto" w:sz="4" w:space="0"/>
              <w:left w:val="single" w:color="auto" w:sz="4" w:space="0"/>
              <w:bottom w:val="single" w:color="auto" w:sz="4" w:space="0"/>
              <w:right w:val="single" w:color="auto" w:sz="4" w:space="0"/>
            </w:tcBorders>
            <w:shd w:val="clear" w:color="auto" w:fill="auto"/>
          </w:tcPr>
          <w:p w14:paraId="0000001A">
            <w:pPr>
              <w:jc w:val="center"/>
              <w:rPr>
                <w:color w:val="000000"/>
                <w:sz w:val="22"/>
                <w:szCs w:val="22"/>
              </w:rPr>
            </w:pPr>
            <w:r>
              <w:rPr>
                <w:color w:val="000000"/>
                <w:sz w:val="22"/>
                <w:szCs w:val="22"/>
              </w:rPr>
              <w:t>2025/2024</w:t>
            </w:r>
          </w:p>
          <w:p w14:paraId="0000001B">
            <w:pPr>
              <w:jc w:val="center"/>
              <w:rPr>
                <w:color w:val="000000"/>
                <w:sz w:val="22"/>
                <w:szCs w:val="22"/>
              </w:rPr>
            </w:pPr>
          </w:p>
        </w:tc>
      </w:tr>
      <w:tr>
        <w:trPr/>
        <w:tc>
          <w:tcPr>
            <w:cnfStyle w:val="001000010000"/>
            <w:tcW w:w="2229" w:type="dxa"/>
            <w:tcBorders>
              <w:top w:val="single" w:color="auto" w:sz="4" w:space="0"/>
              <w:left w:val="single" w:color="auto" w:sz="4" w:space="0"/>
              <w:bottom w:val="single" w:color="auto" w:sz="4" w:space="0"/>
              <w:right w:val="single" w:color="auto" w:sz="4" w:space="0"/>
            </w:tcBorders>
            <w:shd w:val="clear" w:color="auto" w:fill="auto"/>
          </w:tcPr>
          <w:p w14:paraId="0000001C">
            <w:pPr>
              <w:jc w:val="center"/>
              <w:rPr>
                <w:color w:val="000000"/>
                <w:sz w:val="22"/>
                <w:szCs w:val="22"/>
              </w:rPr>
            </w:pPr>
            <w:r>
              <w:rPr>
                <w:color w:val="000000"/>
                <w:sz w:val="22"/>
                <w:szCs w:val="22"/>
              </w:rPr>
              <w:t>1</w:t>
            </w:r>
          </w:p>
        </w:tc>
        <w:tc>
          <w:tcPr>
            <w:cnfStyle w:val="000000010000"/>
            <w:tcW w:w="1399" w:type="dxa"/>
            <w:tcBorders>
              <w:top w:val="single" w:color="auto" w:sz="4" w:space="0"/>
              <w:left w:val="single" w:color="auto" w:sz="4" w:space="0"/>
              <w:bottom w:val="single" w:color="auto" w:sz="4" w:space="0"/>
              <w:right w:val="single" w:color="auto" w:sz="4" w:space="0"/>
            </w:tcBorders>
            <w:shd w:val="clear" w:color="auto" w:fill="auto"/>
          </w:tcPr>
          <w:p w14:paraId="0000001D">
            <w:pPr>
              <w:jc w:val="center"/>
              <w:rPr>
                <w:color w:val="000000"/>
                <w:sz w:val="22"/>
                <w:szCs w:val="22"/>
              </w:rPr>
            </w:pPr>
            <w:r>
              <w:rPr>
                <w:color w:val="000000"/>
                <w:sz w:val="22"/>
                <w:szCs w:val="22"/>
              </w:rPr>
              <w:t>2</w:t>
            </w:r>
          </w:p>
        </w:tc>
        <w:tc>
          <w:tcPr>
            <w:cnfStyle w:val="000000010000"/>
            <w:tcW w:w="1484" w:type="dxa"/>
            <w:tcBorders>
              <w:top w:val="single" w:color="auto" w:sz="4" w:space="0"/>
              <w:left w:val="single" w:color="auto" w:sz="4" w:space="0"/>
              <w:bottom w:val="single" w:color="auto" w:sz="4" w:space="0"/>
              <w:right w:val="single" w:color="auto" w:sz="4" w:space="0"/>
            </w:tcBorders>
            <w:shd w:val="clear" w:color="auto" w:fill="auto"/>
          </w:tcPr>
          <w:p w14:paraId="0000001E">
            <w:pPr>
              <w:jc w:val="center"/>
              <w:rPr>
                <w:color w:val="000000"/>
                <w:sz w:val="22"/>
                <w:szCs w:val="22"/>
              </w:rPr>
            </w:pPr>
            <w:r>
              <w:rPr>
                <w:color w:val="000000"/>
                <w:sz w:val="22"/>
                <w:szCs w:val="22"/>
              </w:rPr>
              <w:t>3</w:t>
            </w:r>
          </w:p>
        </w:tc>
        <w:tc>
          <w:tcPr>
            <w:cnfStyle w:val="000000010000"/>
            <w:tcW w:w="1384" w:type="dxa"/>
            <w:tcBorders>
              <w:top w:val="single" w:color="auto" w:sz="4" w:space="0"/>
              <w:left w:val="single" w:color="auto" w:sz="4" w:space="0"/>
              <w:bottom w:val="single" w:color="auto" w:sz="4" w:space="0"/>
              <w:right w:val="single" w:color="auto" w:sz="4" w:space="0"/>
            </w:tcBorders>
            <w:shd w:val="clear" w:color="auto" w:fill="auto"/>
          </w:tcPr>
          <w:p w14:paraId="0000001F">
            <w:pPr>
              <w:jc w:val="center"/>
              <w:rPr>
                <w:color w:val="000000"/>
                <w:sz w:val="22"/>
                <w:szCs w:val="22"/>
              </w:rPr>
            </w:pPr>
            <w:r>
              <w:rPr>
                <w:color w:val="000000"/>
                <w:sz w:val="22"/>
                <w:szCs w:val="22"/>
              </w:rPr>
              <w:t>4</w:t>
            </w:r>
          </w:p>
        </w:tc>
        <w:tc>
          <w:tcPr>
            <w:cnfStyle w:val="000000010000"/>
            <w:tcW w:w="1354" w:type="dxa"/>
            <w:tcBorders>
              <w:top w:val="single" w:color="auto" w:sz="4" w:space="0"/>
              <w:left w:val="single" w:color="auto" w:sz="4" w:space="0"/>
              <w:bottom w:val="single" w:color="auto" w:sz="4" w:space="0"/>
              <w:right w:val="single" w:color="auto" w:sz="4" w:space="0"/>
            </w:tcBorders>
            <w:shd w:val="clear" w:color="auto" w:fill="auto"/>
          </w:tcPr>
          <w:p w14:paraId="00000020">
            <w:pPr>
              <w:jc w:val="center"/>
              <w:rPr>
                <w:color w:val="000000"/>
                <w:sz w:val="22"/>
                <w:szCs w:val="22"/>
              </w:rPr>
            </w:pPr>
            <w:r>
              <w:rPr>
                <w:color w:val="000000"/>
                <w:sz w:val="22"/>
                <w:szCs w:val="22"/>
              </w:rPr>
              <w:t>5</w:t>
            </w:r>
          </w:p>
        </w:tc>
        <w:tc>
          <w:tcPr>
            <w:cnfStyle w:val="000000010000"/>
            <w:tcW w:w="1282" w:type="dxa"/>
            <w:tcBorders>
              <w:top w:val="single" w:color="auto" w:sz="4" w:space="0"/>
              <w:left w:val="single" w:color="auto" w:sz="4" w:space="0"/>
              <w:bottom w:val="single" w:color="auto" w:sz="4" w:space="0"/>
              <w:right w:val="single" w:color="auto" w:sz="4" w:space="0"/>
            </w:tcBorders>
            <w:shd w:val="clear" w:color="auto" w:fill="auto"/>
          </w:tcPr>
          <w:p w14:paraId="00000021">
            <w:pPr>
              <w:jc w:val="center"/>
              <w:rPr>
                <w:color w:val="000000"/>
                <w:sz w:val="22"/>
                <w:szCs w:val="22"/>
              </w:rPr>
            </w:pPr>
            <w:r>
              <w:rPr>
                <w:color w:val="000000"/>
                <w:sz w:val="22"/>
                <w:szCs w:val="22"/>
              </w:rPr>
              <w:t>6</w:t>
            </w:r>
          </w:p>
        </w:tc>
      </w:tr>
      <w:tr>
        <w:trPr>
          <w:trHeight w:val="252"/>
        </w:trPr>
        <w:tc>
          <w:tcPr>
            <w:cnfStyle w:val="001000100000"/>
            <w:tcW w:w="2229" w:type="dxa"/>
            <w:tcBorders>
              <w:top w:val="single" w:color="auto" w:sz="4" w:space="0"/>
              <w:left w:val="single" w:color="auto" w:sz="4" w:space="0"/>
              <w:bottom w:val="single" w:color="auto" w:sz="4" w:space="0"/>
              <w:right w:val="single" w:color="auto" w:sz="4" w:space="0"/>
            </w:tcBorders>
            <w:shd w:val="clear" w:color="auto" w:fill="auto"/>
          </w:tcPr>
          <w:p w14:paraId="00000022">
            <w:pPr>
              <w:rPr>
                <w:color w:val="000000"/>
                <w:sz w:val="22"/>
                <w:szCs w:val="22"/>
              </w:rPr>
            </w:pPr>
            <w:r>
              <w:rPr>
                <w:color w:val="000000"/>
                <w:sz w:val="22"/>
                <w:szCs w:val="22"/>
              </w:rPr>
              <w:t>Воскресенск</w:t>
            </w:r>
          </w:p>
        </w:tc>
        <w:tc>
          <w:tcPr>
            <w:cnfStyle w:val="000000100000"/>
            <w:tcW w:w="1399" w:type="dxa"/>
            <w:tcBorders>
              <w:top w:val="single" w:color="auto" w:sz="4" w:space="0"/>
              <w:left w:val="single" w:color="auto" w:sz="4" w:space="0"/>
              <w:bottom w:val="single" w:color="auto" w:sz="4" w:space="0"/>
              <w:right w:val="single" w:color="auto" w:sz="4" w:space="0"/>
            </w:tcBorders>
            <w:shd w:val="clear" w:color="auto" w:fill="auto"/>
          </w:tcPr>
          <w:p w14:paraId="00000023">
            <w:pPr>
              <w:jc w:val="center"/>
              <w:rPr>
                <w:color w:val="000000"/>
                <w:sz w:val="22"/>
                <w:szCs w:val="22"/>
              </w:rPr>
            </w:pPr>
            <w:r>
              <w:rPr>
                <w:color w:val="000000"/>
                <w:sz w:val="22"/>
                <w:szCs w:val="22"/>
              </w:rPr>
              <w:t>30 067</w:t>
            </w:r>
          </w:p>
        </w:tc>
        <w:tc>
          <w:tcPr>
            <w:cnfStyle w:val="000000100000"/>
            <w:tcW w:w="1484" w:type="dxa"/>
            <w:tcBorders>
              <w:top w:val="single" w:color="auto" w:sz="4" w:space="0"/>
              <w:left w:val="single" w:color="auto" w:sz="4" w:space="0"/>
              <w:bottom w:val="single" w:color="auto" w:sz="4" w:space="0"/>
              <w:right w:val="single" w:color="auto" w:sz="4" w:space="0"/>
            </w:tcBorders>
            <w:shd w:val="clear" w:color="auto" w:fill="auto"/>
          </w:tcPr>
          <w:p w14:paraId="00000024">
            <w:pPr>
              <w:jc w:val="center"/>
              <w:rPr>
                <w:color w:val="000000"/>
                <w:sz w:val="22"/>
                <w:szCs w:val="22"/>
              </w:rPr>
            </w:pPr>
            <w:r>
              <w:rPr>
                <w:color w:val="000000"/>
                <w:sz w:val="22"/>
                <w:szCs w:val="22"/>
              </w:rPr>
              <w:t>33 168</w:t>
            </w:r>
          </w:p>
        </w:tc>
        <w:tc>
          <w:tcPr>
            <w:cnfStyle w:val="000000100000"/>
            <w:tcW w:w="1384" w:type="dxa"/>
            <w:tcBorders>
              <w:top w:val="single" w:color="auto" w:sz="4" w:space="0"/>
              <w:left w:val="single" w:color="auto" w:sz="4" w:space="0"/>
              <w:bottom w:val="single" w:color="auto" w:sz="4" w:space="0"/>
              <w:right w:val="single" w:color="auto" w:sz="4" w:space="0"/>
            </w:tcBorders>
            <w:shd w:val="clear" w:color="auto" w:fill="auto"/>
          </w:tcPr>
          <w:p w14:paraId="00000025">
            <w:pPr>
              <w:jc w:val="center"/>
              <w:rPr>
                <w:color w:val="000000"/>
                <w:sz w:val="22"/>
                <w:szCs w:val="22"/>
              </w:rPr>
            </w:pPr>
            <w:r>
              <w:rPr>
                <w:color w:val="000000"/>
                <w:sz w:val="22"/>
                <w:szCs w:val="22"/>
              </w:rPr>
              <w:t>39 996</w:t>
            </w:r>
          </w:p>
        </w:tc>
        <w:tc>
          <w:tcPr>
            <w:cnfStyle w:val="000000100000"/>
            <w:tcW w:w="1354" w:type="dxa"/>
            <w:tcBorders>
              <w:top w:val="single" w:color="auto" w:sz="4" w:space="0"/>
              <w:left w:val="single" w:color="auto" w:sz="4" w:space="0"/>
              <w:bottom w:val="single" w:color="auto" w:sz="4" w:space="0"/>
              <w:right w:val="single" w:color="auto" w:sz="4" w:space="0"/>
            </w:tcBorders>
            <w:shd w:val="clear" w:color="auto" w:fill="auto"/>
          </w:tcPr>
          <w:p w14:paraId="00000026">
            <w:pPr>
              <w:jc w:val="center"/>
              <w:rPr>
                <w:color w:val="000000"/>
                <w:sz w:val="22"/>
                <w:szCs w:val="22"/>
              </w:rPr>
            </w:pPr>
            <w:r>
              <w:rPr>
                <w:color w:val="000000"/>
                <w:sz w:val="22"/>
                <w:szCs w:val="22"/>
              </w:rPr>
              <w:t>110,3</w:t>
            </w:r>
          </w:p>
        </w:tc>
        <w:tc>
          <w:tcPr>
            <w:cnfStyle w:val="000000100000"/>
            <w:tcW w:w="1282" w:type="dxa"/>
            <w:tcBorders>
              <w:top w:val="single" w:color="auto" w:sz="4" w:space="0"/>
              <w:left w:val="single" w:color="auto" w:sz="4" w:space="0"/>
              <w:bottom w:val="single" w:color="auto" w:sz="4" w:space="0"/>
              <w:right w:val="single" w:color="auto" w:sz="4" w:space="0"/>
            </w:tcBorders>
            <w:shd w:val="clear" w:color="auto" w:fill="auto"/>
          </w:tcPr>
          <w:p w14:paraId="00000027">
            <w:pPr>
              <w:jc w:val="center"/>
              <w:rPr>
                <w:color w:val="000000"/>
                <w:sz w:val="22"/>
                <w:szCs w:val="22"/>
              </w:rPr>
            </w:pPr>
            <w:r>
              <w:rPr>
                <w:color w:val="000000"/>
                <w:sz w:val="22"/>
                <w:szCs w:val="22"/>
              </w:rPr>
              <w:t>120,6</w:t>
            </w:r>
          </w:p>
        </w:tc>
      </w:tr>
      <w:tr>
        <w:trPr/>
        <w:tc>
          <w:tcPr>
            <w:cnfStyle w:val="001000010000"/>
            <w:tcW w:w="2229" w:type="dxa"/>
            <w:tcBorders>
              <w:top w:val="single" w:color="auto" w:sz="4" w:space="0"/>
              <w:left w:val="single" w:color="auto" w:sz="4" w:space="0"/>
              <w:bottom w:val="single" w:color="auto" w:sz="4" w:space="0"/>
              <w:right w:val="single" w:color="auto" w:sz="4" w:space="0"/>
            </w:tcBorders>
            <w:shd w:val="clear" w:color="auto" w:fill="auto"/>
          </w:tcPr>
          <w:p w14:paraId="00000028">
            <w:pPr>
              <w:rPr>
                <w:color w:val="000000"/>
                <w:sz w:val="22"/>
                <w:szCs w:val="22"/>
              </w:rPr>
            </w:pPr>
            <w:r>
              <w:rPr>
                <w:color w:val="000000"/>
                <w:sz w:val="22"/>
                <w:szCs w:val="22"/>
              </w:rPr>
              <w:t>Егорьевск</w:t>
            </w:r>
          </w:p>
        </w:tc>
        <w:tc>
          <w:tcPr>
            <w:cnfStyle w:val="000000010000"/>
            <w:tcW w:w="1399" w:type="dxa"/>
            <w:tcBorders>
              <w:top w:val="single" w:color="auto" w:sz="4" w:space="0"/>
              <w:left w:val="single" w:color="auto" w:sz="4" w:space="0"/>
              <w:bottom w:val="single" w:color="auto" w:sz="4" w:space="0"/>
              <w:right w:val="single" w:color="auto" w:sz="4" w:space="0"/>
            </w:tcBorders>
            <w:shd w:val="clear" w:color="auto" w:fill="auto"/>
          </w:tcPr>
          <w:p w14:paraId="00000029">
            <w:pPr>
              <w:jc w:val="center"/>
              <w:rPr>
                <w:color w:val="000000"/>
                <w:sz w:val="22"/>
                <w:szCs w:val="22"/>
              </w:rPr>
            </w:pPr>
            <w:r>
              <w:rPr>
                <w:color w:val="000000"/>
                <w:sz w:val="22"/>
                <w:szCs w:val="22"/>
              </w:rPr>
              <w:t>26 738</w:t>
            </w:r>
          </w:p>
        </w:tc>
        <w:tc>
          <w:tcPr>
            <w:cnfStyle w:val="000000010000"/>
            <w:tcW w:w="1484" w:type="dxa"/>
            <w:tcBorders>
              <w:top w:val="single" w:color="auto" w:sz="4" w:space="0"/>
              <w:left w:val="single" w:color="auto" w:sz="4" w:space="0"/>
              <w:bottom w:val="single" w:color="auto" w:sz="4" w:space="0"/>
              <w:right w:val="single" w:color="auto" w:sz="4" w:space="0"/>
            </w:tcBorders>
            <w:shd w:val="clear" w:color="auto" w:fill="auto"/>
          </w:tcPr>
          <w:p w14:paraId="0000002A">
            <w:pPr>
              <w:jc w:val="center"/>
              <w:rPr>
                <w:color w:val="000000"/>
                <w:sz w:val="22"/>
                <w:szCs w:val="22"/>
              </w:rPr>
            </w:pPr>
            <w:r>
              <w:rPr>
                <w:color w:val="000000"/>
                <w:sz w:val="22"/>
                <w:szCs w:val="22"/>
              </w:rPr>
              <w:t>29 627</w:t>
            </w:r>
          </w:p>
        </w:tc>
        <w:tc>
          <w:tcPr>
            <w:cnfStyle w:val="000000010000"/>
            <w:tcW w:w="1384" w:type="dxa"/>
            <w:tcBorders>
              <w:top w:val="single" w:color="auto" w:sz="4" w:space="0"/>
              <w:left w:val="single" w:color="auto" w:sz="4" w:space="0"/>
              <w:bottom w:val="single" w:color="auto" w:sz="4" w:space="0"/>
              <w:right w:val="single" w:color="auto" w:sz="4" w:space="0"/>
            </w:tcBorders>
            <w:shd w:val="clear" w:color="auto" w:fill="auto"/>
          </w:tcPr>
          <w:p w14:paraId="0000002B">
            <w:pPr>
              <w:jc w:val="center"/>
              <w:rPr>
                <w:color w:val="000000"/>
                <w:sz w:val="22"/>
                <w:szCs w:val="22"/>
              </w:rPr>
            </w:pPr>
            <w:r>
              <w:rPr>
                <w:color w:val="000000"/>
                <w:sz w:val="22"/>
                <w:szCs w:val="22"/>
              </w:rPr>
              <w:t>36 971</w:t>
            </w:r>
          </w:p>
        </w:tc>
        <w:tc>
          <w:tcPr>
            <w:cnfStyle w:val="000000010000"/>
            <w:tcW w:w="1354" w:type="dxa"/>
            <w:tcBorders>
              <w:top w:val="single" w:color="auto" w:sz="4" w:space="0"/>
              <w:left w:val="single" w:color="auto" w:sz="4" w:space="0"/>
              <w:bottom w:val="single" w:color="auto" w:sz="4" w:space="0"/>
              <w:right w:val="single" w:color="auto" w:sz="4" w:space="0"/>
            </w:tcBorders>
            <w:shd w:val="clear" w:color="auto" w:fill="auto"/>
          </w:tcPr>
          <w:p w14:paraId="0000002C">
            <w:pPr>
              <w:jc w:val="center"/>
              <w:rPr>
                <w:color w:val="000000"/>
                <w:sz w:val="22"/>
                <w:szCs w:val="22"/>
              </w:rPr>
            </w:pPr>
            <w:r>
              <w:rPr>
                <w:color w:val="000000"/>
                <w:sz w:val="22"/>
                <w:szCs w:val="22"/>
              </w:rPr>
              <w:t>110,8</w:t>
            </w:r>
          </w:p>
        </w:tc>
        <w:tc>
          <w:tcPr>
            <w:cnfStyle w:val="000000010000"/>
            <w:tcW w:w="1282" w:type="dxa"/>
            <w:tcBorders>
              <w:top w:val="single" w:color="auto" w:sz="4" w:space="0"/>
              <w:left w:val="single" w:color="auto" w:sz="4" w:space="0"/>
              <w:bottom w:val="single" w:color="auto" w:sz="4" w:space="0"/>
              <w:right w:val="single" w:color="auto" w:sz="4" w:space="0"/>
            </w:tcBorders>
            <w:shd w:val="clear" w:color="auto" w:fill="auto"/>
          </w:tcPr>
          <w:p w14:paraId="0000002D">
            <w:pPr>
              <w:jc w:val="center"/>
              <w:rPr>
                <w:color w:val="000000"/>
                <w:sz w:val="22"/>
                <w:szCs w:val="22"/>
              </w:rPr>
            </w:pPr>
            <w:r>
              <w:rPr>
                <w:color w:val="000000"/>
                <w:sz w:val="22"/>
                <w:szCs w:val="22"/>
              </w:rPr>
              <w:t>124,8</w:t>
            </w:r>
          </w:p>
        </w:tc>
      </w:tr>
      <w:tr>
        <w:trPr/>
        <w:tc>
          <w:tcPr>
            <w:cnfStyle w:val="001000100000"/>
            <w:tcW w:w="2229" w:type="dxa"/>
            <w:tcBorders>
              <w:top w:val="single" w:color="auto" w:sz="4" w:space="0"/>
              <w:left w:val="single" w:color="auto" w:sz="4" w:space="0"/>
              <w:bottom w:val="single" w:color="auto" w:sz="4" w:space="0"/>
              <w:right w:val="single" w:color="auto" w:sz="4" w:space="0"/>
            </w:tcBorders>
            <w:shd w:val="clear" w:color="auto" w:fill="auto"/>
          </w:tcPr>
          <w:p w14:paraId="0000002E">
            <w:pPr>
              <w:rPr>
                <w:color w:val="000000"/>
                <w:sz w:val="22"/>
                <w:szCs w:val="22"/>
              </w:rPr>
            </w:pPr>
            <w:r>
              <w:rPr>
                <w:color w:val="000000"/>
                <w:sz w:val="22"/>
                <w:szCs w:val="22"/>
              </w:rPr>
              <w:t>Коломна</w:t>
            </w:r>
          </w:p>
        </w:tc>
        <w:tc>
          <w:tcPr>
            <w:cnfStyle w:val="000000100000"/>
            <w:tcW w:w="1399" w:type="dxa"/>
            <w:tcBorders>
              <w:top w:val="single" w:color="auto" w:sz="4" w:space="0"/>
              <w:left w:val="single" w:color="auto" w:sz="4" w:space="0"/>
              <w:bottom w:val="single" w:color="auto" w:sz="4" w:space="0"/>
              <w:right w:val="single" w:color="auto" w:sz="4" w:space="0"/>
            </w:tcBorders>
            <w:shd w:val="clear" w:color="auto" w:fill="auto"/>
          </w:tcPr>
          <w:p w14:paraId="0000002F">
            <w:pPr>
              <w:jc w:val="center"/>
              <w:rPr>
                <w:color w:val="000000"/>
                <w:sz w:val="22"/>
                <w:szCs w:val="22"/>
              </w:rPr>
            </w:pPr>
            <w:r>
              <w:rPr>
                <w:sz w:val="22"/>
                <w:szCs w:val="22"/>
              </w:rPr>
              <w:t>53 220</w:t>
            </w:r>
          </w:p>
        </w:tc>
        <w:tc>
          <w:tcPr>
            <w:cnfStyle w:val="000000100000"/>
            <w:tcW w:w="1484" w:type="dxa"/>
            <w:tcBorders>
              <w:top w:val="single" w:color="auto" w:sz="4" w:space="0"/>
              <w:left w:val="single" w:color="auto" w:sz="4" w:space="0"/>
              <w:bottom w:val="single" w:color="auto" w:sz="4" w:space="0"/>
              <w:right w:val="single" w:color="auto" w:sz="4" w:space="0"/>
            </w:tcBorders>
            <w:shd w:val="clear" w:color="auto" w:fill="auto"/>
          </w:tcPr>
          <w:p w14:paraId="00000030">
            <w:pPr>
              <w:jc w:val="center"/>
              <w:rPr>
                <w:color w:val="000000"/>
                <w:sz w:val="22"/>
                <w:szCs w:val="22"/>
              </w:rPr>
            </w:pPr>
            <w:r>
              <w:rPr>
                <w:color w:val="000000"/>
                <w:sz w:val="22"/>
                <w:szCs w:val="22"/>
              </w:rPr>
              <w:t>54 653</w:t>
            </w:r>
          </w:p>
        </w:tc>
        <w:tc>
          <w:tcPr>
            <w:cnfStyle w:val="000000100000"/>
            <w:tcW w:w="1384" w:type="dxa"/>
            <w:tcBorders>
              <w:top w:val="single" w:color="auto" w:sz="4" w:space="0"/>
              <w:left w:val="single" w:color="auto" w:sz="4" w:space="0"/>
              <w:bottom w:val="single" w:color="auto" w:sz="4" w:space="0"/>
              <w:right w:val="single" w:color="auto" w:sz="4" w:space="0"/>
            </w:tcBorders>
            <w:shd w:val="clear" w:color="auto" w:fill="auto"/>
          </w:tcPr>
          <w:p w14:paraId="00000031">
            <w:pPr>
              <w:jc w:val="center"/>
              <w:rPr>
                <w:color w:val="000000"/>
                <w:sz w:val="22"/>
                <w:szCs w:val="22"/>
              </w:rPr>
            </w:pPr>
            <w:r>
              <w:rPr>
                <w:color w:val="000000"/>
                <w:sz w:val="22"/>
                <w:szCs w:val="22"/>
              </w:rPr>
              <w:t>63 083</w:t>
            </w:r>
          </w:p>
        </w:tc>
        <w:tc>
          <w:tcPr>
            <w:cnfStyle w:val="000000100000"/>
            <w:tcW w:w="1354" w:type="dxa"/>
            <w:tcBorders>
              <w:top w:val="single" w:color="auto" w:sz="4" w:space="0"/>
              <w:left w:val="single" w:color="auto" w:sz="4" w:space="0"/>
              <w:bottom w:val="single" w:color="auto" w:sz="4" w:space="0"/>
              <w:right w:val="single" w:color="auto" w:sz="4" w:space="0"/>
            </w:tcBorders>
            <w:shd w:val="clear" w:color="auto" w:fill="auto"/>
          </w:tcPr>
          <w:p w14:paraId="00000032">
            <w:pPr>
              <w:jc w:val="center"/>
              <w:rPr>
                <w:color w:val="000000"/>
                <w:sz w:val="22"/>
                <w:szCs w:val="22"/>
              </w:rPr>
            </w:pPr>
            <w:r>
              <w:rPr>
                <w:color w:val="000000"/>
                <w:sz w:val="22"/>
                <w:szCs w:val="22"/>
              </w:rPr>
              <w:t>102,7</w:t>
            </w:r>
          </w:p>
        </w:tc>
        <w:tc>
          <w:tcPr>
            <w:cnfStyle w:val="000000100000"/>
            <w:tcW w:w="1282" w:type="dxa"/>
            <w:tcBorders>
              <w:top w:val="single" w:color="auto" w:sz="4" w:space="0"/>
              <w:left w:val="single" w:color="auto" w:sz="4" w:space="0"/>
              <w:bottom w:val="single" w:color="auto" w:sz="4" w:space="0"/>
              <w:right w:val="single" w:color="auto" w:sz="4" w:space="0"/>
            </w:tcBorders>
            <w:shd w:val="clear" w:color="auto" w:fill="auto"/>
          </w:tcPr>
          <w:p w14:paraId="00000033">
            <w:pPr>
              <w:jc w:val="center"/>
              <w:rPr>
                <w:color w:val="000000"/>
                <w:sz w:val="22"/>
                <w:szCs w:val="22"/>
              </w:rPr>
            </w:pPr>
            <w:r>
              <w:rPr>
                <w:color w:val="000000"/>
                <w:sz w:val="22"/>
                <w:szCs w:val="22"/>
              </w:rPr>
              <w:t>115,4</w:t>
            </w:r>
          </w:p>
        </w:tc>
      </w:tr>
      <w:tr>
        <w:trPr/>
        <w:tc>
          <w:tcPr>
            <w:cnfStyle w:val="001000010000"/>
            <w:tcW w:w="2229" w:type="dxa"/>
            <w:tcBorders>
              <w:top w:val="single" w:color="auto" w:sz="4" w:space="0"/>
              <w:left w:val="single" w:color="auto" w:sz="4" w:space="0"/>
              <w:bottom w:val="single" w:color="auto" w:sz="4" w:space="0"/>
              <w:right w:val="single" w:color="auto" w:sz="4" w:space="0"/>
            </w:tcBorders>
            <w:shd w:val="clear" w:color="auto" w:fill="auto"/>
          </w:tcPr>
          <w:p w14:paraId="00000034">
            <w:pPr>
              <w:rPr>
                <w:color w:val="000000"/>
                <w:sz w:val="22"/>
                <w:szCs w:val="22"/>
              </w:rPr>
            </w:pPr>
            <w:r>
              <w:rPr>
                <w:color w:val="000000"/>
                <w:sz w:val="22"/>
                <w:szCs w:val="22"/>
              </w:rPr>
              <w:t>Луховицы</w:t>
            </w:r>
          </w:p>
        </w:tc>
        <w:tc>
          <w:tcPr>
            <w:cnfStyle w:val="000000010000"/>
            <w:tcW w:w="1399" w:type="dxa"/>
            <w:tcBorders>
              <w:top w:val="single" w:color="auto" w:sz="4" w:space="0"/>
              <w:left w:val="single" w:color="auto" w:sz="4" w:space="0"/>
              <w:bottom w:val="single" w:color="auto" w:sz="4" w:space="0"/>
              <w:right w:val="single" w:color="auto" w:sz="4" w:space="0"/>
            </w:tcBorders>
            <w:shd w:val="clear" w:color="auto" w:fill="auto"/>
          </w:tcPr>
          <w:p w14:paraId="00000035">
            <w:pPr>
              <w:jc w:val="center"/>
              <w:rPr>
                <w:color w:val="000000"/>
                <w:sz w:val="22"/>
                <w:szCs w:val="22"/>
              </w:rPr>
            </w:pPr>
            <w:r>
              <w:rPr>
                <w:color w:val="000000"/>
                <w:sz w:val="22"/>
                <w:szCs w:val="22"/>
              </w:rPr>
              <w:t>41 006</w:t>
            </w:r>
          </w:p>
        </w:tc>
        <w:tc>
          <w:tcPr>
            <w:cnfStyle w:val="000000010000"/>
            <w:tcW w:w="1484" w:type="dxa"/>
            <w:tcBorders>
              <w:top w:val="single" w:color="auto" w:sz="4" w:space="0"/>
              <w:left w:val="single" w:color="auto" w:sz="4" w:space="0"/>
              <w:bottom w:val="single" w:color="auto" w:sz="4" w:space="0"/>
              <w:right w:val="single" w:color="auto" w:sz="4" w:space="0"/>
            </w:tcBorders>
            <w:shd w:val="clear" w:color="auto" w:fill="auto"/>
          </w:tcPr>
          <w:p w14:paraId="00000036">
            <w:pPr>
              <w:jc w:val="center"/>
              <w:rPr>
                <w:color w:val="000000"/>
                <w:sz w:val="22"/>
                <w:szCs w:val="22"/>
              </w:rPr>
            </w:pPr>
            <w:r>
              <w:rPr>
                <w:color w:val="000000"/>
                <w:sz w:val="22"/>
                <w:szCs w:val="22"/>
              </w:rPr>
              <w:t>45 969</w:t>
            </w:r>
          </w:p>
        </w:tc>
        <w:tc>
          <w:tcPr>
            <w:cnfStyle w:val="000000010000"/>
            <w:tcW w:w="1384" w:type="dxa"/>
            <w:tcBorders>
              <w:top w:val="single" w:color="auto" w:sz="4" w:space="0"/>
              <w:left w:val="single" w:color="auto" w:sz="4" w:space="0"/>
              <w:bottom w:val="single" w:color="auto" w:sz="4" w:space="0"/>
              <w:right w:val="single" w:color="auto" w:sz="4" w:space="0"/>
            </w:tcBorders>
            <w:shd w:val="clear" w:color="auto" w:fill="auto"/>
          </w:tcPr>
          <w:p w14:paraId="00000037">
            <w:pPr>
              <w:jc w:val="center"/>
              <w:rPr>
                <w:color w:val="000000"/>
                <w:sz w:val="22"/>
                <w:szCs w:val="22"/>
              </w:rPr>
            </w:pPr>
            <w:r>
              <w:rPr>
                <w:color w:val="000000"/>
                <w:sz w:val="22"/>
                <w:szCs w:val="22"/>
              </w:rPr>
              <w:t>51 034</w:t>
            </w:r>
          </w:p>
        </w:tc>
        <w:tc>
          <w:tcPr>
            <w:cnfStyle w:val="000000010000"/>
            <w:tcW w:w="1354" w:type="dxa"/>
            <w:tcBorders>
              <w:top w:val="single" w:color="auto" w:sz="4" w:space="0"/>
              <w:left w:val="single" w:color="auto" w:sz="4" w:space="0"/>
              <w:bottom w:val="single" w:color="auto" w:sz="4" w:space="0"/>
              <w:right w:val="single" w:color="auto" w:sz="4" w:space="0"/>
            </w:tcBorders>
            <w:shd w:val="clear" w:color="auto" w:fill="auto"/>
          </w:tcPr>
          <w:p w14:paraId="00000038">
            <w:pPr>
              <w:jc w:val="center"/>
              <w:rPr>
                <w:color w:val="000000"/>
                <w:sz w:val="22"/>
                <w:szCs w:val="22"/>
              </w:rPr>
            </w:pPr>
            <w:r>
              <w:rPr>
                <w:color w:val="000000"/>
                <w:sz w:val="22"/>
                <w:szCs w:val="22"/>
              </w:rPr>
              <w:t>112,1</w:t>
            </w:r>
          </w:p>
        </w:tc>
        <w:tc>
          <w:tcPr>
            <w:cnfStyle w:val="000000010000"/>
            <w:tcW w:w="1282" w:type="dxa"/>
            <w:tcBorders>
              <w:top w:val="single" w:color="auto" w:sz="4" w:space="0"/>
              <w:left w:val="single" w:color="auto" w:sz="4" w:space="0"/>
              <w:bottom w:val="single" w:color="auto" w:sz="4" w:space="0"/>
              <w:right w:val="single" w:color="auto" w:sz="4" w:space="0"/>
            </w:tcBorders>
            <w:shd w:val="clear" w:color="auto" w:fill="auto"/>
          </w:tcPr>
          <w:p w14:paraId="00000039">
            <w:pPr>
              <w:jc w:val="center"/>
              <w:rPr>
                <w:color w:val="000000"/>
                <w:sz w:val="22"/>
                <w:szCs w:val="22"/>
              </w:rPr>
            </w:pPr>
            <w:r>
              <w:rPr>
                <w:color w:val="000000"/>
                <w:sz w:val="22"/>
                <w:szCs w:val="22"/>
              </w:rPr>
              <w:t>111,0</w:t>
            </w:r>
          </w:p>
        </w:tc>
      </w:tr>
      <w:tr>
        <w:trPr/>
        <w:tc>
          <w:tcPr>
            <w:cnfStyle w:val="001000100000"/>
            <w:tcW w:w="2229" w:type="dxa"/>
            <w:tcBorders>
              <w:top w:val="single" w:color="auto" w:sz="4" w:space="0"/>
              <w:left w:val="single" w:color="auto" w:sz="4" w:space="0"/>
              <w:bottom w:val="single" w:color="auto" w:sz="4" w:space="0"/>
              <w:right w:val="single" w:color="auto" w:sz="4" w:space="0"/>
            </w:tcBorders>
            <w:shd w:val="clear" w:color="auto" w:fill="auto"/>
          </w:tcPr>
          <w:p w14:paraId="0000003A">
            <w:pPr>
              <w:rPr>
                <w:color w:val="000000"/>
                <w:sz w:val="22"/>
                <w:szCs w:val="22"/>
              </w:rPr>
            </w:pPr>
            <w:r>
              <w:rPr>
                <w:color w:val="000000"/>
                <w:sz w:val="22"/>
                <w:szCs w:val="22"/>
              </w:rPr>
              <w:t>Ступино</w:t>
            </w:r>
          </w:p>
        </w:tc>
        <w:tc>
          <w:tcPr>
            <w:cnfStyle w:val="000000100000"/>
            <w:tcW w:w="1399" w:type="dxa"/>
            <w:tcBorders>
              <w:top w:val="single" w:color="auto" w:sz="4" w:space="0"/>
              <w:left w:val="single" w:color="auto" w:sz="4" w:space="0"/>
              <w:bottom w:val="single" w:color="auto" w:sz="4" w:space="0"/>
              <w:right w:val="single" w:color="auto" w:sz="4" w:space="0"/>
            </w:tcBorders>
            <w:shd w:val="clear" w:color="auto" w:fill="auto"/>
          </w:tcPr>
          <w:p w14:paraId="0000003B">
            <w:pPr>
              <w:jc w:val="center"/>
              <w:rPr>
                <w:color w:val="000000"/>
                <w:sz w:val="22"/>
                <w:szCs w:val="22"/>
              </w:rPr>
            </w:pPr>
            <w:r>
              <w:rPr>
                <w:color w:val="000000"/>
                <w:sz w:val="22"/>
                <w:szCs w:val="22"/>
              </w:rPr>
              <w:t>30 428</w:t>
            </w:r>
          </w:p>
        </w:tc>
        <w:tc>
          <w:tcPr>
            <w:cnfStyle w:val="000000100000"/>
            <w:tcW w:w="1484" w:type="dxa"/>
            <w:tcBorders>
              <w:top w:val="single" w:color="auto" w:sz="4" w:space="0"/>
              <w:left w:val="single" w:color="auto" w:sz="4" w:space="0"/>
              <w:bottom w:val="single" w:color="auto" w:sz="4" w:space="0"/>
              <w:right w:val="single" w:color="auto" w:sz="4" w:space="0"/>
            </w:tcBorders>
            <w:shd w:val="clear" w:color="auto" w:fill="auto"/>
          </w:tcPr>
          <w:p w14:paraId="0000003C">
            <w:pPr>
              <w:jc w:val="center"/>
              <w:rPr>
                <w:color w:val="000000"/>
                <w:sz w:val="22"/>
                <w:szCs w:val="22"/>
              </w:rPr>
            </w:pPr>
            <w:r>
              <w:rPr>
                <w:color w:val="000000"/>
                <w:sz w:val="22"/>
                <w:szCs w:val="22"/>
              </w:rPr>
              <w:t>32 853</w:t>
            </w:r>
          </w:p>
        </w:tc>
        <w:tc>
          <w:tcPr>
            <w:cnfStyle w:val="000000100000"/>
            <w:tcW w:w="1384" w:type="dxa"/>
            <w:tcBorders>
              <w:top w:val="single" w:color="auto" w:sz="4" w:space="0"/>
              <w:left w:val="single" w:color="auto" w:sz="4" w:space="0"/>
              <w:bottom w:val="single" w:color="auto" w:sz="4" w:space="0"/>
              <w:right w:val="single" w:color="auto" w:sz="4" w:space="0"/>
            </w:tcBorders>
            <w:shd w:val="clear" w:color="auto" w:fill="auto"/>
          </w:tcPr>
          <w:p w14:paraId="0000003D">
            <w:pPr>
              <w:jc w:val="center"/>
              <w:rPr>
                <w:color w:val="000000"/>
                <w:sz w:val="22"/>
                <w:szCs w:val="22"/>
              </w:rPr>
            </w:pPr>
            <w:r>
              <w:rPr>
                <w:color w:val="000000"/>
                <w:sz w:val="22"/>
                <w:szCs w:val="22"/>
              </w:rPr>
              <w:t>41 170</w:t>
            </w:r>
          </w:p>
        </w:tc>
        <w:tc>
          <w:tcPr>
            <w:cnfStyle w:val="000000100000"/>
            <w:tcW w:w="1354" w:type="dxa"/>
            <w:tcBorders>
              <w:top w:val="single" w:color="auto" w:sz="4" w:space="0"/>
              <w:left w:val="single" w:color="auto" w:sz="4" w:space="0"/>
              <w:bottom w:val="single" w:color="auto" w:sz="4" w:space="0"/>
              <w:right w:val="single" w:color="auto" w:sz="4" w:space="0"/>
            </w:tcBorders>
            <w:shd w:val="clear" w:color="auto" w:fill="auto"/>
          </w:tcPr>
          <w:p w14:paraId="0000003E">
            <w:pPr>
              <w:jc w:val="center"/>
              <w:rPr>
                <w:color w:val="000000"/>
                <w:sz w:val="22"/>
                <w:szCs w:val="22"/>
              </w:rPr>
            </w:pPr>
            <w:r>
              <w:rPr>
                <w:color w:val="000000"/>
                <w:sz w:val="22"/>
                <w:szCs w:val="22"/>
              </w:rPr>
              <w:t>108,0</w:t>
            </w:r>
          </w:p>
        </w:tc>
        <w:tc>
          <w:tcPr>
            <w:cnfStyle w:val="000000100000"/>
            <w:tcW w:w="1282" w:type="dxa"/>
            <w:tcBorders>
              <w:top w:val="single" w:color="auto" w:sz="4" w:space="0"/>
              <w:left w:val="single" w:color="auto" w:sz="4" w:space="0"/>
              <w:bottom w:val="single" w:color="auto" w:sz="4" w:space="0"/>
              <w:right w:val="single" w:color="auto" w:sz="4" w:space="0"/>
            </w:tcBorders>
            <w:shd w:val="clear" w:color="auto" w:fill="auto"/>
          </w:tcPr>
          <w:p w14:paraId="0000003F">
            <w:pPr>
              <w:jc w:val="center"/>
              <w:rPr>
                <w:color w:val="000000"/>
                <w:sz w:val="22"/>
                <w:szCs w:val="22"/>
              </w:rPr>
            </w:pPr>
            <w:r>
              <w:rPr>
                <w:color w:val="000000"/>
                <w:sz w:val="22"/>
                <w:szCs w:val="22"/>
              </w:rPr>
              <w:t>125,3</w:t>
            </w:r>
          </w:p>
        </w:tc>
      </w:tr>
    </w:tbl>
    <w:p w14:paraId="00000040">
      <w:pPr>
        <w:pBdr>
          <w:top w:val="none" w:sz="4" w:space="0"/>
          <w:left w:val="none" w:sz="4" w:space="0"/>
          <w:bottom w:val="none" w:sz="4" w:space="0"/>
          <w:right w:val="none" w:sz="4" w:space="0"/>
          <w:between w:val="none" w:sz="4" w:space="0"/>
        </w:pBdr>
        <w:spacing w:after="0" w:line="240" w:lineRule="auto"/>
        <w:rPr>
          <w:rFonts w:ascii="Times New Roman" w:cs="Times New Roman" w:hAnsi="Times New Roman"/>
          <w:color w:val="000000"/>
          <w:sz w:val="24"/>
          <w:szCs w:val="24"/>
        </w:rPr>
      </w:pPr>
      <w:r>
        <w:rPr>
          <w:rFonts w:ascii="Times New Roman" w:cs="Times New Roman" w:hAnsi="Times New Roman"/>
          <w:color w:val="000000"/>
          <w:sz w:val="24"/>
          <w:szCs w:val="24"/>
        </w:rPr>
        <w:t xml:space="preserve">[Источник: Составлено </w:t>
      </w:r>
      <w:r>
        <w:rPr>
          <w:rFonts w:ascii="Times New Roman" w:cs="Times New Roman" w:hAnsi="Times New Roman"/>
          <w:color w:val="000000"/>
          <w:sz w:val="24"/>
          <w:szCs w:val="24"/>
        </w:rPr>
        <w:t>автором на основе отчетов об исполнении местных  бюджетов ]</w:t>
      </w:r>
    </w:p>
    <w:p w14:paraId="00000041">
      <w:pPr>
        <w:pBdr>
          <w:top w:val="none" w:sz="4" w:space="0"/>
          <w:left w:val="none" w:sz="4" w:space="0"/>
          <w:bottom w:val="none" w:sz="4" w:space="0"/>
          <w:right w:val="none" w:sz="4" w:space="0"/>
          <w:between w:val="none" w:sz="4" w:space="0"/>
        </w:pBdr>
        <w:spacing w:after="0" w:line="240" w:lineRule="auto"/>
        <w:ind w:firstLine="709"/>
        <w:rPr>
          <w:rFonts w:ascii="Times New Roman" w:cs="Times New Roman" w:hAnsi="Times New Roman"/>
          <w:color w:val="000000"/>
          <w:sz w:val="24"/>
          <w:szCs w:val="24"/>
        </w:rPr>
      </w:pPr>
    </w:p>
    <w:p w14:paraId="00000042">
      <w:pPr>
        <w:pBdr>
          <w:top w:val="none" w:sz="4" w:space="0"/>
          <w:left w:val="none" w:sz="4" w:space="0"/>
          <w:bottom w:val="none" w:sz="4" w:space="0"/>
          <w:right w:val="none" w:sz="4" w:space="0"/>
          <w:between w:val="none" w:sz="4" w:space="0"/>
        </w:pBdr>
        <w:spacing w:after="0" w:line="240" w:lineRule="auto"/>
        <w:ind w:firstLine="709"/>
        <w:jc w:val="both"/>
        <w:rPr>
          <w:rFonts w:ascii="Times New Roman" w:cs="Times New Roman" w:hAnsi="Times New Roman"/>
          <w:color w:val="000000"/>
          <w:sz w:val="24"/>
          <w:szCs w:val="24"/>
        </w:rPr>
      </w:pPr>
      <w:r>
        <w:rPr>
          <w:rFonts w:ascii="Times New Roman" w:cs="Times New Roman" w:hAnsi="Times New Roman"/>
          <w:color w:val="000000"/>
          <w:sz w:val="24"/>
          <w:szCs w:val="24"/>
        </w:rPr>
        <w:t xml:space="preserve">Таким образом, несмотря на ограниченность данных можно сделать выводы, что  расходы на выплату работникам финансовых органов постоянно увеличивались и темпы роста существенно отличались. </w:t>
      </w:r>
      <w:r>
        <w:rPr>
          <w:rFonts w:ascii="Times New Roman" w:cs="Times New Roman" w:hAnsi="Times New Roman"/>
          <w:color w:val="000000"/>
          <w:sz w:val="24"/>
          <w:szCs w:val="24"/>
        </w:rPr>
        <w:t>При</w:t>
      </w:r>
      <w:r>
        <w:rPr>
          <w:rFonts w:ascii="Times New Roman" w:cs="Times New Roman" w:hAnsi="Times New Roman"/>
          <w:color w:val="000000"/>
          <w:sz w:val="24"/>
          <w:szCs w:val="24"/>
        </w:rPr>
        <w:t xml:space="preserve"> этом динамика расходов на оплату труда  в финансовых органах отдельных дотационных муниципальных образований  Московской </w:t>
      </w:r>
      <w:r>
        <w:rPr>
          <w:rFonts w:ascii="Times New Roman" w:cs="Times New Roman" w:hAnsi="Times New Roman"/>
          <w:color w:val="000000"/>
          <w:sz w:val="24"/>
          <w:szCs w:val="24"/>
        </w:rPr>
        <w:t xml:space="preserve">области существенно колебалась </w:t>
      </w:r>
      <w:r>
        <w:rPr>
          <w:rFonts w:ascii="Times New Roman" w:cs="Times New Roman" w:hAnsi="Times New Roman"/>
          <w:color w:val="000000"/>
          <w:sz w:val="24"/>
          <w:szCs w:val="24"/>
        </w:rPr>
        <w:t>и зависела как от объективных фа</w:t>
      </w:r>
      <w:r>
        <w:rPr>
          <w:rFonts w:ascii="Times New Roman" w:cs="Times New Roman" w:hAnsi="Times New Roman"/>
          <w:color w:val="000000"/>
          <w:sz w:val="24"/>
          <w:szCs w:val="24"/>
        </w:rPr>
        <w:t>кторов (масштаба муниципалитета</w:t>
      </w:r>
      <w:r>
        <w:rPr>
          <w:rFonts w:ascii="Times New Roman" w:cs="Times New Roman" w:hAnsi="Times New Roman"/>
          <w:color w:val="000000"/>
          <w:sz w:val="24"/>
          <w:szCs w:val="24"/>
        </w:rPr>
        <w:t xml:space="preserve"> и разветвленности сети учреждений,  и</w:t>
      </w:r>
      <w:r>
        <w:rPr>
          <w:rFonts w:ascii="Times New Roman" w:cs="Times New Roman" w:hAnsi="Times New Roman"/>
          <w:color w:val="000000"/>
          <w:sz w:val="24"/>
          <w:szCs w:val="24"/>
        </w:rPr>
        <w:t xml:space="preserve">сполнения функций внутреннего </w:t>
      </w:r>
      <w:r>
        <w:rPr>
          <w:rFonts w:ascii="Times New Roman" w:cs="Times New Roman" w:hAnsi="Times New Roman"/>
          <w:color w:val="000000"/>
          <w:sz w:val="24"/>
          <w:szCs w:val="24"/>
        </w:rPr>
        <w:t>муницип</w:t>
      </w:r>
      <w:r>
        <w:rPr>
          <w:rFonts w:ascii="Times New Roman" w:cs="Times New Roman" w:hAnsi="Times New Roman"/>
          <w:color w:val="000000"/>
          <w:sz w:val="24"/>
          <w:szCs w:val="24"/>
        </w:rPr>
        <w:t xml:space="preserve">ального финансового контроля, </w:t>
      </w:r>
      <w:r>
        <w:rPr>
          <w:rFonts w:ascii="Times New Roman" w:cs="Times New Roman" w:hAnsi="Times New Roman"/>
          <w:color w:val="000000"/>
          <w:sz w:val="24"/>
          <w:szCs w:val="24"/>
        </w:rPr>
        <w:t>цифровой зрелости работников), так и субъективных (формально-бюрократический подход при планиро</w:t>
      </w:r>
      <w:r>
        <w:rPr>
          <w:rFonts w:ascii="Times New Roman" w:cs="Times New Roman" w:hAnsi="Times New Roman"/>
          <w:color w:val="000000"/>
          <w:sz w:val="24"/>
          <w:szCs w:val="24"/>
        </w:rPr>
        <w:t xml:space="preserve">вании бюджетных ассигнований, </w:t>
      </w:r>
      <w:r>
        <w:rPr>
          <w:rFonts w:ascii="Times New Roman" w:cs="Times New Roman" w:hAnsi="Times New Roman"/>
          <w:color w:val="000000"/>
          <w:sz w:val="24"/>
          <w:szCs w:val="24"/>
        </w:rPr>
        <w:t>дублирования функций, отсутствие действенной оценки результа</w:t>
      </w:r>
      <w:r>
        <w:rPr>
          <w:rFonts w:ascii="Times New Roman" w:cs="Times New Roman" w:hAnsi="Times New Roman"/>
          <w:color w:val="000000"/>
          <w:sz w:val="24"/>
          <w:szCs w:val="24"/>
        </w:rPr>
        <w:t>тов деятельности специалистов).</w:t>
      </w:r>
      <w:r>
        <w:rPr>
          <w:rFonts w:ascii="Times New Roman" w:cs="Times New Roman" w:hAnsi="Times New Roman"/>
          <w:color w:val="000000"/>
          <w:sz w:val="24"/>
          <w:szCs w:val="24"/>
        </w:rPr>
        <w:t xml:space="preserve"> </w:t>
      </w:r>
      <w:r>
        <w:rPr>
          <w:rFonts w:ascii="Times New Roman" w:cs="Times New Roman" w:hAnsi="Times New Roman"/>
          <w:color w:val="000000"/>
          <w:sz w:val="28"/>
          <w:szCs w:val="28"/>
        </w:rPr>
        <w:t xml:space="preserve"> </w:t>
      </w:r>
    </w:p>
    <w:p w14:paraId="00000043">
      <w:pPr>
        <w:pBdr>
          <w:top w:val="none" w:sz="4" w:space="0"/>
          <w:left w:val="none" w:sz="4" w:space="0"/>
          <w:bottom w:val="none" w:sz="4" w:space="0"/>
          <w:right w:val="none" w:sz="4" w:space="0"/>
          <w:between w:val="none" w:sz="4" w:space="0"/>
        </w:pBdr>
        <w:spacing w:after="0" w:line="240" w:lineRule="auto"/>
        <w:ind w:firstLine="709"/>
        <w:jc w:val="both"/>
        <w:rPr>
          <w:rFonts w:ascii="Times New Roman" w:cs="Times New Roman" w:hAnsi="Times New Roman"/>
          <w:color w:val="000000"/>
          <w:sz w:val="24"/>
          <w:szCs w:val="24"/>
        </w:rPr>
      </w:pPr>
      <w:r>
        <w:rPr>
          <w:rFonts w:ascii="Times New Roman" w:cs="Times New Roman" w:hAnsi="Times New Roman"/>
          <w:color w:val="000000"/>
          <w:sz w:val="24"/>
          <w:szCs w:val="24"/>
        </w:rPr>
        <w:t xml:space="preserve">Тренд на использование возможностей современных информационных технологий повышает эффективность нормирования труда, обеспечивая их рациональность и принятие качественных управленческих решений </w:t>
      </w:r>
      <w:r>
        <w:rPr>
          <w:rFonts w:ascii="Times New Roman" w:cs="Times New Roman" w:hAnsi="Times New Roman"/>
          <w:color w:val="000000"/>
          <w:sz w:val="24"/>
          <w:szCs w:val="24"/>
        </w:rPr>
        <w:t>[5]</w:t>
      </w:r>
      <w:r>
        <w:rPr>
          <w:rFonts w:ascii="Times New Roman" w:cs="Times New Roman" w:hAnsi="Times New Roman"/>
          <w:color w:val="000000"/>
          <w:sz w:val="24"/>
          <w:szCs w:val="24"/>
        </w:rPr>
        <w:t>.</w:t>
      </w:r>
      <w:r>
        <w:rPr>
          <w:rFonts w:ascii="Times New Roman" w:cs="Times New Roman" w:hAnsi="Times New Roman"/>
          <w:color w:val="000000"/>
          <w:sz w:val="24"/>
          <w:szCs w:val="24"/>
        </w:rPr>
        <w:t xml:space="preserve"> </w:t>
      </w:r>
    </w:p>
    <w:p w14:paraId="00000044">
      <w:pPr>
        <w:pBdr>
          <w:top w:val="none" w:sz="4" w:space="0"/>
          <w:left w:val="none" w:sz="4" w:space="0"/>
          <w:bottom w:val="none" w:sz="4" w:space="0"/>
          <w:right w:val="none" w:sz="4" w:space="0"/>
          <w:between w:val="none" w:sz="4" w:space="0"/>
        </w:pBdr>
        <w:spacing w:after="0" w:line="240" w:lineRule="auto"/>
        <w:ind w:firstLine="709"/>
        <w:jc w:val="both"/>
        <w:rPr>
          <w:rFonts w:ascii="Times New Roman" w:cs="Times New Roman" w:hAnsi="Times New Roman"/>
          <w:sz w:val="24"/>
          <w:szCs w:val="24"/>
        </w:rPr>
      </w:pPr>
      <w:r>
        <w:rPr>
          <w:rFonts w:ascii="Times New Roman" w:cs="Times New Roman" w:hAnsi="Times New Roman"/>
          <w:color w:val="000000"/>
          <w:sz w:val="24"/>
          <w:szCs w:val="24"/>
        </w:rPr>
        <w:t xml:space="preserve">При </w:t>
      </w:r>
      <w:r>
        <w:rPr>
          <w:rFonts w:ascii="Times New Roman" w:cs="Times New Roman" w:hAnsi="Times New Roman"/>
          <w:color w:val="000000"/>
          <w:sz w:val="24"/>
          <w:szCs w:val="24"/>
        </w:rPr>
        <w:t>формировании организационно-штатной структуры финансового органа целесообразно систе</w:t>
      </w:r>
      <w:r>
        <w:rPr>
          <w:rFonts w:ascii="Times New Roman" w:cs="Times New Roman" w:hAnsi="Times New Roman"/>
          <w:color w:val="000000"/>
          <w:sz w:val="24"/>
          <w:szCs w:val="24"/>
        </w:rPr>
        <w:t xml:space="preserve">матизировать типовые функции </w:t>
      </w:r>
      <w:r>
        <w:rPr>
          <w:rFonts w:ascii="Times New Roman" w:cs="Times New Roman" w:hAnsi="Times New Roman"/>
          <w:color w:val="000000"/>
          <w:sz w:val="24"/>
          <w:szCs w:val="24"/>
        </w:rPr>
        <w:t>финансовых органов с соблюдением рекомендаций о численности работников в отделах (секторах).</w:t>
      </w:r>
      <w:r>
        <w:rPr>
          <w:rFonts w:ascii="Times New Roman" w:cs="Times New Roman" w:hAnsi="Times New Roman"/>
          <w:sz w:val="24"/>
          <w:szCs w:val="24"/>
        </w:rPr>
        <w:t xml:space="preserve"> Для нормирования численности работников финансо</w:t>
      </w:r>
      <w:r>
        <w:rPr>
          <w:rFonts w:ascii="Times New Roman" w:cs="Times New Roman" w:hAnsi="Times New Roman"/>
          <w:sz w:val="24"/>
          <w:szCs w:val="24"/>
        </w:rPr>
        <w:t xml:space="preserve">вых органов </w:t>
      </w:r>
      <w:r>
        <w:rPr>
          <w:rFonts w:ascii="Times New Roman" w:cs="Times New Roman" w:hAnsi="Times New Roman"/>
          <w:sz w:val="24"/>
          <w:szCs w:val="24"/>
        </w:rPr>
        <w:t>должностные обязанности  специалистов  логично разделить на три группы:</w:t>
      </w:r>
    </w:p>
    <w:p w14:paraId="00000045">
      <w:pPr>
        <w:pStyle w:val="ListParagraph"/>
        <w:numPr>
          <w:ilvl w:val="0"/>
          <w:numId w:val="18"/>
        </w:numPr>
        <w:spacing w:after="0" w:line="240" w:lineRule="auto"/>
        <w:ind w:left="0" w:firstLine="709"/>
        <w:contextualSpacing w:val="off"/>
        <w:jc w:val="both"/>
        <w:rPr>
          <w:rFonts w:ascii="Times New Roman" w:cs="Times New Roman" w:hAnsi="Times New Roman"/>
          <w:sz w:val="24"/>
          <w:szCs w:val="24"/>
        </w:rPr>
      </w:pPr>
      <w:r>
        <w:rPr>
          <w:rFonts w:ascii="Times New Roman" w:cs="Times New Roman" w:hAnsi="Times New Roman"/>
          <w:sz w:val="24"/>
          <w:szCs w:val="24"/>
        </w:rPr>
        <w:t>управленческие, преиму</w:t>
      </w:r>
      <w:r>
        <w:rPr>
          <w:rFonts w:ascii="Times New Roman" w:cs="Times New Roman" w:hAnsi="Times New Roman"/>
          <w:sz w:val="24"/>
          <w:szCs w:val="24"/>
        </w:rPr>
        <w:t>щественно творческие действия, которые</w:t>
      </w:r>
      <w:r>
        <w:rPr>
          <w:rFonts w:ascii="Times New Roman" w:cs="Times New Roman" w:hAnsi="Times New Roman"/>
          <w:sz w:val="24"/>
          <w:szCs w:val="24"/>
        </w:rPr>
        <w:t xml:space="preserve"> </w:t>
      </w:r>
      <w:r>
        <w:rPr>
          <w:rFonts w:ascii="Times New Roman" w:cs="Times New Roman" w:hAnsi="Times New Roman"/>
          <w:sz w:val="24"/>
          <w:szCs w:val="24"/>
        </w:rPr>
        <w:t>трудно количественно и</w:t>
      </w:r>
      <w:r>
        <w:rPr>
          <w:rFonts w:ascii="Times New Roman" w:cs="Times New Roman" w:hAnsi="Times New Roman"/>
          <w:sz w:val="24"/>
          <w:szCs w:val="24"/>
        </w:rPr>
        <w:t xml:space="preserve">змерить. Основным направлением </w:t>
      </w:r>
      <w:r>
        <w:rPr>
          <w:rFonts w:ascii="Times New Roman" w:cs="Times New Roman" w:hAnsi="Times New Roman"/>
          <w:sz w:val="24"/>
          <w:szCs w:val="24"/>
        </w:rPr>
        <w:t>оптимизации численности является исключение дубли</w:t>
      </w:r>
      <w:r>
        <w:rPr>
          <w:rFonts w:ascii="Times New Roman" w:cs="Times New Roman" w:hAnsi="Times New Roman"/>
          <w:sz w:val="24"/>
          <w:szCs w:val="24"/>
        </w:rPr>
        <w:t>рований функций при формировании организационно</w:t>
      </w:r>
      <w:r>
        <w:rPr>
          <w:rFonts w:ascii="Times New Roman" w:cs="Times New Roman" w:hAnsi="Times New Roman"/>
          <w:sz w:val="24"/>
          <w:szCs w:val="24"/>
        </w:rPr>
        <w:t xml:space="preserve">-штатной структуры (например, </w:t>
      </w:r>
      <w:r>
        <w:rPr>
          <w:rFonts w:ascii="Times New Roman" w:cs="Times New Roman" w:hAnsi="Times New Roman"/>
          <w:sz w:val="24"/>
          <w:szCs w:val="24"/>
        </w:rPr>
        <w:t xml:space="preserve">одновременное </w:t>
      </w:r>
      <w:r>
        <w:rPr>
          <w:rFonts w:ascii="Times New Roman" w:cs="Times New Roman" w:hAnsi="Times New Roman"/>
          <w:sz w:val="24"/>
          <w:szCs w:val="24"/>
        </w:rPr>
        <w:t xml:space="preserve">наличие в штатных расписаниях </w:t>
      </w:r>
      <w:r>
        <w:rPr>
          <w:rFonts w:ascii="Times New Roman" w:cs="Times New Roman" w:hAnsi="Times New Roman"/>
          <w:sz w:val="24"/>
          <w:szCs w:val="24"/>
        </w:rPr>
        <w:t xml:space="preserve">начальников отделов и заместителей руководителей, </w:t>
      </w:r>
      <w:r>
        <w:rPr>
          <w:rFonts w:ascii="Times New Roman" w:cs="Times New Roman" w:hAnsi="Times New Roman"/>
          <w:sz w:val="24"/>
          <w:szCs w:val="24"/>
        </w:rPr>
        <w:t xml:space="preserve">которые курируют один отдел). </w:t>
      </w:r>
      <w:r>
        <w:rPr>
          <w:rFonts w:ascii="Times New Roman" w:cs="Times New Roman" w:hAnsi="Times New Roman"/>
          <w:sz w:val="24"/>
          <w:szCs w:val="24"/>
        </w:rPr>
        <w:t xml:space="preserve">Поэтому численность этой категории муниципальных </w:t>
      </w:r>
      <w:r>
        <w:rPr>
          <w:rFonts w:ascii="Times New Roman" w:cs="Times New Roman" w:hAnsi="Times New Roman"/>
          <w:sz w:val="24"/>
          <w:szCs w:val="24"/>
        </w:rPr>
        <w:t xml:space="preserve">служащих должна зависеть от </w:t>
      </w:r>
      <w:r>
        <w:rPr>
          <w:rFonts w:ascii="Times New Roman" w:cs="Times New Roman" w:hAnsi="Times New Roman"/>
          <w:sz w:val="24"/>
          <w:szCs w:val="24"/>
        </w:rPr>
        <w:t>рекомендуемой нормы управляемости  в методических рекомендациях федеральных  (р</w:t>
      </w:r>
      <w:r>
        <w:rPr>
          <w:rFonts w:ascii="Times New Roman" w:cs="Times New Roman" w:hAnsi="Times New Roman"/>
          <w:sz w:val="24"/>
          <w:szCs w:val="24"/>
        </w:rPr>
        <w:t xml:space="preserve">егиональных) органов власти с </w:t>
      </w:r>
      <w:r>
        <w:rPr>
          <w:rFonts w:ascii="Times New Roman" w:cs="Times New Roman" w:hAnsi="Times New Roman"/>
          <w:sz w:val="24"/>
          <w:szCs w:val="24"/>
        </w:rPr>
        <w:t>использованием экспертного метода;</w:t>
      </w:r>
    </w:p>
    <w:p w14:paraId="00000046">
      <w:pPr>
        <w:pStyle w:val="ListParagraph"/>
        <w:numPr>
          <w:ilvl w:val="0"/>
          <w:numId w:val="18"/>
        </w:numPr>
        <w:spacing w:after="0" w:line="240" w:lineRule="auto"/>
        <w:ind w:left="0" w:firstLine="709"/>
        <w:contextualSpacing w:val="off"/>
        <w:jc w:val="both"/>
        <w:rPr>
          <w:rFonts w:ascii="Times New Roman" w:cs="Times New Roman" w:hAnsi="Times New Roman"/>
          <w:sz w:val="24"/>
          <w:szCs w:val="24"/>
        </w:rPr>
      </w:pPr>
      <w:r>
        <w:rPr>
          <w:rFonts w:ascii="Times New Roman" w:cs="Times New Roman" w:hAnsi="Times New Roman"/>
          <w:sz w:val="24"/>
          <w:szCs w:val="24"/>
        </w:rPr>
        <w:t>типовые, преимущественно рутинные действия,</w:t>
      </w:r>
      <w:r>
        <w:rPr>
          <w:rFonts w:ascii="Times New Roman" w:cs="Times New Roman" w:hAnsi="Times New Roman"/>
          <w:sz w:val="24"/>
          <w:szCs w:val="24"/>
        </w:rPr>
        <w:t xml:space="preserve"> которые должны  нормироваться </w:t>
      </w:r>
      <w:r>
        <w:rPr>
          <w:rFonts w:ascii="Times New Roman" w:cs="Times New Roman" w:hAnsi="Times New Roman"/>
          <w:sz w:val="24"/>
          <w:szCs w:val="24"/>
        </w:rPr>
        <w:t>и численность работников, которые их выполняют,</w:t>
      </w:r>
      <w:r>
        <w:rPr>
          <w:rFonts w:ascii="Times New Roman" w:cs="Times New Roman" w:hAnsi="Times New Roman"/>
          <w:sz w:val="24"/>
          <w:szCs w:val="24"/>
        </w:rPr>
        <w:t xml:space="preserve">  должна зависеть от нагрузки. </w:t>
      </w:r>
      <w:r>
        <w:rPr>
          <w:rFonts w:ascii="Times New Roman" w:cs="Times New Roman" w:hAnsi="Times New Roman"/>
          <w:sz w:val="24"/>
          <w:szCs w:val="24"/>
        </w:rPr>
        <w:t>К таким функциям целесообразно отнести, например, контроль в сфере закупок;</w:t>
      </w:r>
      <w:r>
        <w:rPr>
          <w:rFonts w:ascii="Times New Roman" w:cs="Times New Roman" w:hAnsi="Times New Roman"/>
          <w:color w:val="000000"/>
          <w:sz w:val="24"/>
          <w:szCs w:val="24"/>
        </w:rPr>
        <w:t xml:space="preserve"> санкционирование расходов; составление сводной бюджетной росписи и кассового плана, составление стаби</w:t>
      </w:r>
      <w:r>
        <w:rPr>
          <w:rFonts w:ascii="Times New Roman" w:cs="Times New Roman" w:hAnsi="Times New Roman"/>
          <w:color w:val="000000"/>
          <w:sz w:val="24"/>
          <w:szCs w:val="24"/>
        </w:rPr>
        <w:t xml:space="preserve">льно-повторяющихся форм отчетности и т. д.  В данном случае могут использоваться методы аналогии, основанные на изучении и  измерении типовых  действий, </w:t>
      </w:r>
      <w:r>
        <w:rPr>
          <w:rFonts w:ascii="Times New Roman" w:cs="Times New Roman" w:hAnsi="Times New Roman"/>
          <w:color w:val="000000"/>
          <w:sz w:val="24"/>
          <w:szCs w:val="24"/>
        </w:rPr>
        <w:t>а также на накопленном опыте,</w:t>
      </w:r>
      <w:r>
        <w:rPr>
          <w:rFonts w:ascii="Times New Roman" w:cs="Times New Roman" w:hAnsi="Times New Roman"/>
          <w:color w:val="000000"/>
          <w:sz w:val="24"/>
          <w:szCs w:val="24"/>
        </w:rPr>
        <w:t xml:space="preserve"> н</w:t>
      </w:r>
      <w:r>
        <w:rPr>
          <w:rFonts w:ascii="Times New Roman" w:cs="Times New Roman" w:hAnsi="Times New Roman"/>
          <w:sz w:val="24"/>
          <w:szCs w:val="24"/>
        </w:rPr>
        <w:t>ормальной  интенсивности труда  и  профиля компетенций</w:t>
      </w:r>
      <w:r>
        <w:rPr>
          <w:rFonts w:ascii="Times New Roman" w:cs="Times New Roman" w:hAnsi="Times New Roman"/>
          <w:color w:val="000000"/>
          <w:sz w:val="24"/>
          <w:szCs w:val="24"/>
        </w:rPr>
        <w:t>;</w:t>
      </w:r>
      <w:r>
        <w:rPr>
          <w:rFonts w:ascii="Times New Roman" w:cs="Times New Roman" w:hAnsi="Times New Roman"/>
          <w:color w:val="000000"/>
          <w:sz w:val="24"/>
          <w:szCs w:val="24"/>
        </w:rPr>
        <w:t xml:space="preserve"> </w:t>
      </w:r>
    </w:p>
    <w:p w14:paraId="00000047">
      <w:pPr>
        <w:pStyle w:val="ListParagraph"/>
        <w:numPr>
          <w:ilvl w:val="0"/>
          <w:numId w:val="18"/>
        </w:numPr>
        <w:spacing w:after="0" w:line="240" w:lineRule="auto"/>
        <w:ind w:left="0" w:firstLine="709"/>
        <w:contextualSpacing w:val="off"/>
        <w:jc w:val="both"/>
        <w:rPr>
          <w:rFonts w:ascii="Times New Roman" w:cs="Times New Roman" w:hAnsi="Times New Roman"/>
          <w:sz w:val="24"/>
          <w:szCs w:val="24"/>
        </w:rPr>
      </w:pPr>
      <w:r>
        <w:rPr>
          <w:rFonts w:ascii="Times New Roman" w:cs="Times New Roman" w:hAnsi="Times New Roman"/>
          <w:color w:val="000000"/>
          <w:sz w:val="24"/>
          <w:szCs w:val="24"/>
        </w:rPr>
        <w:t>админ</w:t>
      </w:r>
      <w:r>
        <w:rPr>
          <w:rFonts w:ascii="Times New Roman" w:cs="Times New Roman" w:hAnsi="Times New Roman"/>
          <w:color w:val="000000"/>
          <w:sz w:val="24"/>
          <w:szCs w:val="24"/>
        </w:rPr>
        <w:t>истративные, обеспечивающие функци</w:t>
      </w:r>
      <w:r>
        <w:rPr>
          <w:rFonts w:ascii="Times New Roman" w:cs="Times New Roman" w:hAnsi="Times New Roman"/>
          <w:color w:val="000000"/>
          <w:sz w:val="24"/>
          <w:szCs w:val="24"/>
        </w:rPr>
        <w:t xml:space="preserve">онирование  финансового органа </w:t>
      </w:r>
      <w:r>
        <w:rPr>
          <w:rFonts w:ascii="Times New Roman" w:cs="Times New Roman" w:hAnsi="Times New Roman"/>
          <w:color w:val="000000"/>
          <w:sz w:val="24"/>
          <w:szCs w:val="24"/>
        </w:rPr>
        <w:t>(делопроизводство, формирование и ведение бюджетных смет, ведение бюджетного учета, формирование отчетности, информационное сопровождение бюджетного процесса и т.д.) являются идентичными с д</w:t>
      </w:r>
      <w:r>
        <w:rPr>
          <w:rFonts w:ascii="Times New Roman" w:cs="Times New Roman" w:hAnsi="Times New Roman"/>
          <w:color w:val="000000"/>
          <w:sz w:val="24"/>
          <w:szCs w:val="24"/>
        </w:rPr>
        <w:t>ругими структурными подразделениями органов местного самоуправления. Для нормирования численности таких ра</w:t>
      </w:r>
      <w:r>
        <w:rPr>
          <w:rFonts w:ascii="Times New Roman" w:cs="Times New Roman" w:hAnsi="Times New Roman"/>
          <w:color w:val="000000"/>
          <w:sz w:val="24"/>
          <w:szCs w:val="24"/>
        </w:rPr>
        <w:t xml:space="preserve">ботников может использоваться </w:t>
      </w:r>
      <w:r>
        <w:rPr>
          <w:rFonts w:ascii="Times New Roman" w:cs="Times New Roman" w:hAnsi="Times New Roman"/>
          <w:color w:val="000000"/>
          <w:sz w:val="24"/>
          <w:szCs w:val="24"/>
        </w:rPr>
        <w:t>расчетно</w:t>
      </w:r>
      <w:r>
        <w:rPr>
          <w:rFonts w:ascii="Times New Roman" w:cs="Times New Roman" w:hAnsi="Times New Roman"/>
          <w:color w:val="000000"/>
          <w:sz w:val="24"/>
          <w:szCs w:val="24"/>
        </w:rPr>
        <w:t xml:space="preserve"> - аналитический метод с  использованием фотографии рабочего дня.</w:t>
      </w:r>
    </w:p>
    <w:p w14:paraId="00000048">
      <w:pPr>
        <w:pBdr>
          <w:top w:val="none" w:sz="4" w:space="0"/>
          <w:left w:val="none" w:sz="4" w:space="0"/>
          <w:bottom w:val="none" w:sz="4" w:space="0"/>
          <w:right w:val="none" w:sz="4" w:space="0"/>
          <w:between w:val="none" w:sz="4" w:space="0"/>
        </w:pBdr>
        <w:spacing w:after="0" w:line="240" w:lineRule="auto"/>
        <w:ind w:firstLine="709"/>
        <w:jc w:val="both"/>
        <w:rPr>
          <w:rFonts w:ascii="Times New Roman" w:cs="Times New Roman" w:hAnsi="Times New Roman"/>
          <w:sz w:val="24"/>
          <w:szCs w:val="24"/>
        </w:rPr>
      </w:pPr>
      <w:r>
        <w:rPr>
          <w:rFonts w:ascii="Times New Roman" w:cs="Times New Roman" w:hAnsi="Times New Roman"/>
          <w:sz w:val="24"/>
          <w:szCs w:val="24"/>
        </w:rPr>
        <w:t>Вместе с тем  при внедрении  типовых нор</w:t>
      </w:r>
      <w:r>
        <w:rPr>
          <w:rFonts w:ascii="Times New Roman" w:cs="Times New Roman" w:hAnsi="Times New Roman"/>
          <w:sz w:val="24"/>
          <w:szCs w:val="24"/>
        </w:rPr>
        <w:t>м труда в финансовых органах необ</w:t>
      </w:r>
      <w:r>
        <w:rPr>
          <w:rFonts w:ascii="Times New Roman" w:cs="Times New Roman" w:hAnsi="Times New Roman"/>
          <w:sz w:val="24"/>
          <w:szCs w:val="24"/>
        </w:rPr>
        <w:t xml:space="preserve">ходимо учитывать  значительные вызовы: </w:t>
      </w:r>
      <w:r>
        <w:rPr>
          <w:rFonts w:ascii="Times New Roman" w:cs="Times New Roman" w:hAnsi="Times New Roman"/>
          <w:sz w:val="24"/>
          <w:szCs w:val="24"/>
        </w:rPr>
        <w:t>противостояние инн</w:t>
      </w:r>
      <w:r>
        <w:rPr>
          <w:rFonts w:ascii="Times New Roman" w:cs="Times New Roman" w:hAnsi="Times New Roman"/>
          <w:sz w:val="24"/>
          <w:szCs w:val="24"/>
        </w:rPr>
        <w:t xml:space="preserve">овационным технологиям, низкая </w:t>
      </w:r>
      <w:r>
        <w:rPr>
          <w:rFonts w:ascii="Times New Roman" w:cs="Times New Roman" w:hAnsi="Times New Roman"/>
          <w:sz w:val="24"/>
          <w:szCs w:val="24"/>
        </w:rPr>
        <w:t>цифровая зрелость, неспособность адаптироваться к новым реалиям, боязнь  потери работы, разрастание бюрократических процедур и друг</w:t>
      </w:r>
      <w:r>
        <w:rPr>
          <w:rFonts w:ascii="Times New Roman" w:cs="Times New Roman" w:hAnsi="Times New Roman"/>
          <w:sz w:val="24"/>
          <w:szCs w:val="24"/>
        </w:rPr>
        <w:t xml:space="preserve">ие. </w:t>
      </w:r>
      <w:r>
        <w:rPr>
          <w:rFonts w:ascii="Times New Roman" w:cs="Times New Roman" w:hAnsi="Times New Roman"/>
          <w:sz w:val="24"/>
          <w:szCs w:val="24"/>
        </w:rPr>
        <w:t>Для минимизации этих рисков необходимо выполнить колоссальный объем разъяснительной работы  и  организовать помощь в поиске рабочих мест для специалистов, которые потенциально могут быть  сокращены.</w:t>
      </w:r>
    </w:p>
    <w:p w14:paraId="00000049">
      <w:pPr>
        <w:spacing w:after="0" w:line="240" w:lineRule="auto"/>
        <w:ind w:firstLine="709"/>
        <w:jc w:val="both"/>
        <w:rPr>
          <w:rFonts w:ascii="Times New Roman" w:cs="Times New Roman" w:hAnsi="Times New Roman"/>
          <w:sz w:val="28"/>
          <w:szCs w:val="28"/>
        </w:rPr>
      </w:pPr>
      <w:r>
        <w:rPr>
          <w:rFonts w:ascii="Times New Roman" w:cs="Times New Roman" w:hAnsi="Times New Roman"/>
          <w:sz w:val="24"/>
          <w:szCs w:val="24"/>
        </w:rPr>
        <w:t>Одновременно с вызовами  п</w:t>
      </w:r>
      <w:r>
        <w:rPr>
          <w:rFonts w:ascii="Times New Roman" w:cs="Times New Roman" w:hAnsi="Times New Roman"/>
          <w:sz w:val="24"/>
          <w:szCs w:val="24"/>
        </w:rPr>
        <w:t>ри</w:t>
      </w:r>
      <w:r>
        <w:rPr>
          <w:rFonts w:ascii="Times New Roman" w:cs="Times New Roman" w:hAnsi="Times New Roman"/>
          <w:sz w:val="24"/>
          <w:szCs w:val="24"/>
        </w:rPr>
        <w:t xml:space="preserve"> нормировании труда целесообразно учитывать  инновационные управленческие технологии, которые могут привести к сокращению штатной численности работников: прогнозирование использования искусственного интеллекта в бюджетном процессе; внедрение цифрового рубл</w:t>
      </w:r>
      <w:r>
        <w:rPr>
          <w:rFonts w:ascii="Times New Roman" w:cs="Times New Roman" w:hAnsi="Times New Roman"/>
          <w:sz w:val="24"/>
          <w:szCs w:val="24"/>
        </w:rPr>
        <w:t>я как средство платежа и инструмент контроля в режиме реального времени;  реализация проекта единой системы отчетности (”гильотина отчетности”); смарт-контракты и другие.  Названные технологии являются эффективными инструментами в бюджетном процессе, эконо</w:t>
      </w:r>
      <w:r>
        <w:rPr>
          <w:rFonts w:ascii="Times New Roman" w:cs="Times New Roman" w:hAnsi="Times New Roman"/>
          <w:sz w:val="24"/>
          <w:szCs w:val="24"/>
        </w:rPr>
        <w:t xml:space="preserve">мят время на исполнение </w:t>
      </w:r>
      <w:r>
        <w:rPr>
          <w:rFonts w:ascii="Times New Roman" w:cs="Times New Roman" w:hAnsi="Times New Roman"/>
          <w:sz w:val="24"/>
          <w:szCs w:val="24"/>
        </w:rPr>
        <w:t>рутинных операций, снижают трудоемкость и  уменьшают нагрузку на специалистов финансовых органов.</w:t>
      </w:r>
      <w:r>
        <w:rPr>
          <w:rFonts w:ascii="Times New Roman" w:cs="Times New Roman" w:hAnsi="Times New Roman"/>
          <w:sz w:val="24"/>
          <w:szCs w:val="24"/>
        </w:rPr>
        <w:t xml:space="preserve"> </w:t>
      </w:r>
      <w:r>
        <w:rPr>
          <w:rFonts w:ascii="Times New Roman" w:cs="Times New Roman" w:hAnsi="Times New Roman"/>
          <w:sz w:val="28"/>
          <w:szCs w:val="28"/>
        </w:rPr>
        <w:t xml:space="preserve"> </w:t>
      </w:r>
    </w:p>
    <w:p w14:paraId="0000004A">
      <w:pPr>
        <w:pBdr>
          <w:top w:val="none" w:sz="4" w:space="0"/>
          <w:left w:val="none" w:sz="4" w:space="0"/>
          <w:bottom w:val="none" w:sz="4" w:space="0"/>
          <w:right w:val="none" w:sz="4" w:space="0"/>
          <w:between w:val="none" w:sz="4" w:space="0"/>
        </w:pBdr>
        <w:spacing w:after="0" w:line="240" w:lineRule="auto"/>
        <w:ind w:firstLine="709"/>
        <w:jc w:val="both"/>
        <w:rPr>
          <w:rFonts w:ascii="Times New Roman" w:cs="Times New Roman" w:hAnsi="Times New Roman"/>
          <w:color w:val="000000"/>
          <w:sz w:val="28"/>
          <w:szCs w:val="28"/>
        </w:rPr>
      </w:pPr>
      <w:r>
        <w:rPr>
          <w:rFonts w:ascii="Times New Roman" w:cs="Times New Roman" w:hAnsi="Times New Roman"/>
          <w:color w:val="000000"/>
          <w:sz w:val="24"/>
          <w:szCs w:val="24"/>
        </w:rPr>
        <w:t xml:space="preserve">Для достоверного нормирования нужен большой массив данных,  который не всегда  </w:t>
      </w:r>
      <w:r>
        <w:rPr>
          <w:rFonts w:ascii="Times New Roman" w:cs="Times New Roman" w:hAnsi="Times New Roman"/>
          <w:sz w:val="24"/>
          <w:szCs w:val="24"/>
        </w:rPr>
        <w:t xml:space="preserve"> </w:t>
      </w:r>
      <w:r>
        <w:rPr>
          <w:rFonts w:ascii="Times New Roman" w:cs="Times New Roman" w:eastAsia="Calibri" w:hAnsi="Times New Roman"/>
          <w:sz w:val="24"/>
          <w:szCs w:val="24"/>
        </w:rPr>
        <w:t>характеризует реальную ситуацию, поэтому возр</w:t>
      </w:r>
      <w:r>
        <w:rPr>
          <w:rFonts w:ascii="Times New Roman" w:cs="Times New Roman" w:eastAsia="Calibri" w:hAnsi="Times New Roman"/>
          <w:sz w:val="24"/>
          <w:szCs w:val="24"/>
        </w:rPr>
        <w:t>астают требования к обоснованности и достоверности информации.</w:t>
      </w:r>
      <w:r>
        <w:rPr>
          <w:rFonts w:ascii="Times New Roman" w:cs="Times New Roman" w:eastAsia="Calibri" w:hAnsi="Times New Roman"/>
          <w:sz w:val="24"/>
          <w:szCs w:val="24"/>
        </w:rPr>
        <w:t xml:space="preserve"> </w:t>
      </w:r>
      <w:r>
        <w:rPr>
          <w:rFonts w:ascii="Times New Roman" w:cs="Times New Roman" w:eastAsia="Calibri" w:hAnsi="Times New Roman"/>
          <w:sz w:val="24"/>
          <w:szCs w:val="24"/>
        </w:rPr>
        <w:t>Д</w:t>
      </w:r>
      <w:r>
        <w:rPr>
          <w:rFonts w:ascii="Times New Roman" w:cs="Times New Roman" w:eastAsia="Calibri" w:hAnsi="Times New Roman"/>
          <w:sz w:val="24"/>
          <w:szCs w:val="24"/>
        </w:rPr>
        <w:t xml:space="preserve">ля минимизации этих рисков  целесообразно проведение аудита не менее чем за три года  бюджетной (бухгалтерской) отчетности  органами внешнего </w:t>
      </w:r>
      <w:r>
        <w:rPr>
          <w:rFonts w:ascii="Times New Roman" w:cs="Times New Roman" w:eastAsia="Calibri" w:hAnsi="Times New Roman"/>
          <w:sz w:val="24"/>
          <w:szCs w:val="24"/>
        </w:rPr>
        <w:t>муниципального финансового контроля. Для нивелиро</w:t>
      </w:r>
      <w:r>
        <w:rPr>
          <w:rFonts w:ascii="Times New Roman" w:cs="Times New Roman" w:eastAsia="Calibri" w:hAnsi="Times New Roman"/>
          <w:sz w:val="24"/>
          <w:szCs w:val="24"/>
        </w:rPr>
        <w:t>вания  негативных аспектов и преодоления субъективизма логично применять доказательный подход, основанный  использовании доказательств.</w:t>
      </w:r>
    </w:p>
    <w:p w14:paraId="0000004B">
      <w:pPr>
        <w:spacing w:after="0" w:line="240" w:lineRule="auto"/>
        <w:ind w:firstLine="709"/>
        <w:jc w:val="both"/>
        <w:rPr>
          <w:rFonts w:ascii="Times New Roman" w:cs="Times New Roman" w:hAnsi="Times New Roman"/>
          <w:color w:val="000000"/>
          <w:sz w:val="24"/>
          <w:szCs w:val="24"/>
        </w:rPr>
      </w:pPr>
      <w:r>
        <w:rPr>
          <w:rFonts w:ascii="Times New Roman" w:cs="Times New Roman" w:hAnsi="Times New Roman"/>
          <w:color w:val="000000"/>
          <w:sz w:val="24"/>
          <w:szCs w:val="24"/>
        </w:rPr>
        <w:t xml:space="preserve">В связи с  неопределенностью влияния деятельности финансовых органов на повышение качества жизни населения  и развитие </w:t>
      </w:r>
      <w:r>
        <w:rPr>
          <w:rFonts w:ascii="Times New Roman" w:cs="Times New Roman" w:hAnsi="Times New Roman"/>
          <w:color w:val="000000"/>
          <w:sz w:val="24"/>
          <w:szCs w:val="24"/>
        </w:rPr>
        <w:t xml:space="preserve"> отдельных сфер деятельности органов местного самоуправления, то в качестве критерия вклада  финансовых органов в результаты деятельности органов местного самоуправления целесообразно использовать степень качества управления муниципальными финансами,  неук</w:t>
      </w:r>
      <w:r>
        <w:rPr>
          <w:rFonts w:ascii="Times New Roman" w:cs="Times New Roman" w:hAnsi="Times New Roman"/>
          <w:color w:val="000000"/>
          <w:sz w:val="24"/>
          <w:szCs w:val="24"/>
        </w:rPr>
        <w:t>оснительность исполнения принятых обязательств участниками бюджетного процесса и   уровень расходов на финансовое обеспечение деятельности финансовых органов на душу населения</w:t>
      </w:r>
      <w:r>
        <w:rPr>
          <w:rFonts w:ascii="Times New Roman" w:cs="Times New Roman" w:hAnsi="Times New Roman"/>
          <w:color w:val="000000"/>
          <w:sz w:val="24"/>
          <w:szCs w:val="24"/>
        </w:rPr>
        <w:t xml:space="preserve">  (табл. 2).</w:t>
      </w:r>
      <w:r>
        <w:rPr>
          <w:rFonts w:ascii="Times New Roman" w:cs="Times New Roman" w:hAnsi="Times New Roman"/>
          <w:color w:val="000000"/>
          <w:sz w:val="24"/>
          <w:szCs w:val="24"/>
        </w:rPr>
        <w:t xml:space="preserve"> </w:t>
      </w:r>
    </w:p>
    <w:p w14:paraId="0000004C">
      <w:pPr>
        <w:pBdr>
          <w:top w:val="none" w:sz="4" w:space="0"/>
          <w:left w:val="none" w:sz="4" w:space="0"/>
          <w:bottom w:val="none" w:sz="4" w:space="0"/>
          <w:right w:val="none" w:sz="4" w:space="0"/>
          <w:between w:val="none" w:sz="4" w:space="0"/>
        </w:pBdr>
        <w:spacing w:after="0" w:line="240" w:lineRule="auto"/>
        <w:jc w:val="right"/>
        <w:rPr>
          <w:rFonts w:ascii="Times New Roman" w:cs="Times New Roman" w:hAnsi="Times New Roman"/>
          <w:color w:val="000000"/>
          <w:sz w:val="24"/>
          <w:szCs w:val="24"/>
        </w:rPr>
      </w:pPr>
      <w:r>
        <w:rPr>
          <w:rFonts w:ascii="Times New Roman" w:cs="Times New Roman" w:hAnsi="Times New Roman"/>
          <w:color w:val="000000"/>
          <w:sz w:val="24"/>
          <w:szCs w:val="24"/>
        </w:rPr>
        <w:t>Таблица 2</w:t>
      </w:r>
    </w:p>
    <w:p w14:paraId="0000004D">
      <w:pPr>
        <w:pBdr>
          <w:top w:val="none" w:sz="4" w:space="0"/>
          <w:left w:val="none" w:sz="4" w:space="0"/>
          <w:bottom w:val="none" w:sz="4" w:space="0"/>
          <w:right w:val="none" w:sz="4" w:space="0"/>
          <w:between w:val="none" w:sz="4" w:space="0"/>
        </w:pBdr>
        <w:spacing w:after="0" w:line="240" w:lineRule="auto"/>
        <w:ind w:left="852" w:right="852"/>
        <w:jc w:val="center"/>
        <w:rPr>
          <w:rFonts w:ascii="Times New Roman" w:cs="Times New Roman" w:hAnsi="Times New Roman"/>
          <w:color w:val="000000"/>
          <w:sz w:val="24"/>
          <w:szCs w:val="24"/>
        </w:rPr>
      </w:pPr>
      <w:r>
        <w:rPr>
          <w:rFonts w:ascii="Times New Roman" w:cs="Times New Roman" w:hAnsi="Times New Roman"/>
          <w:color w:val="000000"/>
          <w:sz w:val="24"/>
          <w:szCs w:val="24"/>
        </w:rPr>
        <w:t>Расходы на финансовое</w:t>
      </w:r>
      <w:r>
        <w:rPr>
          <w:rFonts w:ascii="Times New Roman" w:cs="Times New Roman" w:hAnsi="Times New Roman"/>
          <w:color w:val="000000"/>
          <w:sz w:val="24"/>
          <w:szCs w:val="24"/>
        </w:rPr>
        <w:t xml:space="preserve"> обеспечение деятельности финансовых органов</w:t>
      </w:r>
      <w:r>
        <w:rPr>
          <w:rFonts w:ascii="Times New Roman" w:cs="Times New Roman" w:hAnsi="Times New Roman"/>
          <w:color w:val="000000"/>
          <w:sz w:val="24"/>
          <w:szCs w:val="24"/>
        </w:rPr>
        <w:t xml:space="preserve"> </w:t>
      </w:r>
    </w:p>
    <w:p w14:paraId="0000004E">
      <w:pPr>
        <w:pBdr>
          <w:top w:val="none" w:sz="4" w:space="0"/>
          <w:left w:val="none" w:sz="4" w:space="0"/>
          <w:bottom w:val="none" w:sz="4" w:space="0"/>
          <w:right w:val="none" w:sz="4" w:space="0"/>
          <w:between w:val="none" w:sz="4" w:space="0"/>
        </w:pBdr>
        <w:spacing w:after="0" w:line="240" w:lineRule="auto"/>
        <w:ind w:left="852" w:right="852"/>
        <w:jc w:val="center"/>
        <w:rPr>
          <w:rFonts w:ascii="Times New Roman" w:cs="Times New Roman" w:hAnsi="Times New Roman"/>
          <w:color w:val="000000"/>
          <w:sz w:val="24"/>
          <w:szCs w:val="24"/>
        </w:rPr>
      </w:pPr>
      <w:r>
        <w:rPr>
          <w:rFonts w:ascii="Times New Roman" w:cs="Times New Roman" w:hAnsi="Times New Roman"/>
          <w:color w:val="000000"/>
          <w:sz w:val="24"/>
          <w:szCs w:val="24"/>
        </w:rPr>
        <w:t>отдельных муниципальных образований Московской области</w:t>
      </w:r>
      <w:r>
        <w:rPr>
          <w:rFonts w:ascii="Times New Roman" w:cs="Times New Roman" w:hAnsi="Times New Roman"/>
          <w:color w:val="000000"/>
          <w:sz w:val="24"/>
          <w:szCs w:val="24"/>
        </w:rPr>
        <w:t xml:space="preserve"> </w:t>
      </w:r>
    </w:p>
    <w:p w14:paraId="0000004F">
      <w:pPr>
        <w:pBdr>
          <w:top w:val="none" w:sz="4" w:space="0"/>
          <w:left w:val="none" w:sz="4" w:space="0"/>
          <w:bottom w:val="none" w:sz="4" w:space="0"/>
          <w:right w:val="none" w:sz="4" w:space="0"/>
          <w:between w:val="none" w:sz="4" w:space="0"/>
        </w:pBdr>
        <w:spacing w:after="0" w:line="240" w:lineRule="auto"/>
        <w:ind w:left="852" w:right="852"/>
        <w:jc w:val="center"/>
        <w:rPr>
          <w:rFonts w:ascii="Times New Roman" w:cs="Times New Roman" w:hAnsi="Times New Roman"/>
          <w:color w:val="000000"/>
          <w:sz w:val="28"/>
          <w:szCs w:val="28"/>
        </w:rPr>
      </w:pPr>
      <w:r>
        <w:rPr>
          <w:rFonts w:ascii="Times New Roman" w:cs="Times New Roman" w:hAnsi="Times New Roman"/>
          <w:color w:val="000000"/>
          <w:sz w:val="24"/>
          <w:szCs w:val="24"/>
        </w:rPr>
        <w:t>на душу населения</w:t>
      </w:r>
    </w:p>
    <w:p w14:paraId="00000050">
      <w:pPr>
        <w:pBdr>
          <w:top w:val="none" w:sz="4" w:space="0"/>
          <w:left w:val="none" w:sz="4" w:space="0"/>
          <w:bottom w:val="none" w:sz="4" w:space="0"/>
          <w:right w:val="none" w:sz="4" w:space="0"/>
          <w:between w:val="none" w:sz="4" w:space="0"/>
        </w:pBdr>
        <w:spacing w:after="0" w:line="240" w:lineRule="auto"/>
        <w:jc w:val="both"/>
        <w:rPr>
          <w:rFonts w:ascii="Times New Roman" w:cs="Times New Roman" w:hAnsi="Times New Roman"/>
          <w:color w:val="000000"/>
        </w:rPr>
      </w:pPr>
    </w:p>
    <w:tbl>
      <w:tblPr>
        <w:tblStyle w:val="TableGrid"/>
        <w:tblW w:w="9049" w:type="dxa"/>
        <w:tblInd w:w="560" w:type="dxa"/>
        <w:tblLook w:val="04A0"/>
      </w:tblPr>
      <w:tblGrid>
        <w:gridCol w:w="2178"/>
        <w:gridCol w:w="1384"/>
        <w:gridCol w:w="1440"/>
        <w:gridCol w:w="1348"/>
        <w:gridCol w:w="1310"/>
        <w:gridCol w:w="1389"/>
      </w:tblGrid>
      <w:tr>
        <w:trPr/>
        <w:tc>
          <w:tcPr>
            <w:cnfStyle w:val="101000000000"/>
            <w:tcW w:w="2178" w:type="dxa"/>
            <w:vMerge w:val="restart"/>
            <w:tcBorders>
              <w:top w:val="single" w:color="auto" w:sz="4" w:space="0"/>
              <w:left w:val="single" w:color="auto" w:sz="4" w:space="0"/>
              <w:bottom w:val="single" w:color="auto" w:sz="4" w:space="0"/>
              <w:right w:val="single" w:color="auto" w:sz="4" w:space="0"/>
            </w:tcBorders>
            <w:shd w:val="clear" w:color="auto" w:fill="auto"/>
          </w:tcPr>
          <w:p w14:paraId="00000051">
            <w:pPr>
              <w:jc w:val="center"/>
              <w:rPr>
                <w:color w:val="000000"/>
                <w:sz w:val="22"/>
                <w:szCs w:val="22"/>
              </w:rPr>
            </w:pPr>
            <w:r>
              <w:rPr>
                <w:color w:val="000000"/>
                <w:sz w:val="22"/>
                <w:szCs w:val="22"/>
              </w:rPr>
              <w:t>Муниципальные образования</w:t>
            </w:r>
          </w:p>
        </w:tc>
        <w:tc>
          <w:tcPr>
            <w:cnfStyle w:val="100000000000"/>
            <w:tcW w:w="4172" w:type="dxa"/>
            <w:gridSpan w:val="3"/>
            <w:tcBorders>
              <w:top w:val="single" w:color="auto" w:sz="4" w:space="0"/>
              <w:left w:val="single" w:color="auto" w:sz="4" w:space="0"/>
              <w:bottom w:val="single" w:color="auto" w:sz="4" w:space="0"/>
              <w:right w:val="single" w:color="auto" w:sz="4" w:space="0"/>
            </w:tcBorders>
            <w:shd w:val="clear" w:color="auto" w:fill="auto"/>
          </w:tcPr>
          <w:p w14:paraId="00000052">
            <w:pPr>
              <w:jc w:val="center"/>
              <w:rPr>
                <w:color w:val="000000"/>
                <w:sz w:val="22"/>
                <w:szCs w:val="22"/>
              </w:rPr>
            </w:pPr>
            <w:r>
              <w:rPr>
                <w:color w:val="000000"/>
                <w:sz w:val="22"/>
                <w:szCs w:val="22"/>
              </w:rPr>
              <w:t>Расходы,  руб./чел.</w:t>
            </w:r>
          </w:p>
        </w:tc>
        <w:tc>
          <w:tcPr>
            <w:cnfStyle w:val="100000000000"/>
            <w:tcW w:w="2699" w:type="dxa"/>
            <w:gridSpan w:val="2"/>
            <w:tcBorders>
              <w:top w:val="single" w:color="auto" w:sz="4" w:space="0"/>
              <w:left w:val="single" w:color="auto" w:sz="4" w:space="0"/>
              <w:bottom w:val="single" w:color="auto" w:sz="4" w:space="0"/>
              <w:right w:val="single" w:color="auto" w:sz="4" w:space="0"/>
            </w:tcBorders>
            <w:shd w:val="clear" w:color="auto" w:fill="auto"/>
          </w:tcPr>
          <w:p w14:paraId="00000053">
            <w:pPr>
              <w:jc w:val="center"/>
              <w:rPr>
                <w:color w:val="000000"/>
                <w:sz w:val="22"/>
                <w:szCs w:val="22"/>
              </w:rPr>
            </w:pPr>
            <w:r>
              <w:rPr>
                <w:color w:val="000000"/>
                <w:sz w:val="22"/>
                <w:szCs w:val="22"/>
              </w:rPr>
              <w:t>Темпы роста,  %</w:t>
            </w:r>
          </w:p>
        </w:tc>
      </w:tr>
      <w:tr>
        <w:trPr/>
        <w:tc>
          <w:tcPr>
            <w:cnfStyle w:val="001000100000"/>
            <w:tcW w:w="2178" w:type="dxa"/>
            <w:vMerge w:val="continue"/>
            <w:tcBorders>
              <w:top w:val="single" w:color="auto" w:sz="4" w:space="0"/>
              <w:left w:val="single" w:color="auto" w:sz="4" w:space="0"/>
              <w:bottom w:val="single" w:color="auto" w:sz="4" w:space="0"/>
              <w:right w:val="single" w:color="auto" w:sz="4" w:space="0"/>
            </w:tcBorders>
            <w:shd w:val="clear" w:color="auto" w:fill="auto"/>
          </w:tcPr>
          <w:p w14:paraId="00000054">
            <w:pPr>
              <w:jc w:val="center"/>
              <w:rPr>
                <w:color w:val="000000"/>
                <w:sz w:val="22"/>
                <w:szCs w:val="22"/>
              </w:rPr>
            </w:pPr>
          </w:p>
        </w:tc>
        <w:tc>
          <w:tcPr>
            <w:cnfStyle w:val="000000100000"/>
            <w:tcW w:w="1384" w:type="dxa"/>
            <w:tcBorders>
              <w:top w:val="single" w:color="auto" w:sz="4" w:space="0"/>
              <w:left w:val="single" w:color="auto" w:sz="4" w:space="0"/>
              <w:bottom w:val="single" w:color="auto" w:sz="4" w:space="0"/>
              <w:right w:val="single" w:color="auto" w:sz="4" w:space="0"/>
            </w:tcBorders>
            <w:shd w:val="clear" w:color="auto" w:fill="auto"/>
          </w:tcPr>
          <w:p w14:paraId="00000055">
            <w:pPr>
              <w:jc w:val="center"/>
              <w:rPr>
                <w:color w:val="000000"/>
                <w:sz w:val="22"/>
                <w:szCs w:val="22"/>
              </w:rPr>
            </w:pPr>
            <w:r>
              <w:rPr>
                <w:color w:val="000000"/>
                <w:sz w:val="22"/>
                <w:szCs w:val="22"/>
              </w:rPr>
              <w:t>2023</w:t>
            </w:r>
          </w:p>
        </w:tc>
        <w:tc>
          <w:tcPr>
            <w:cnfStyle w:val="000000100000"/>
            <w:tcW w:w="1440" w:type="dxa"/>
            <w:tcBorders>
              <w:top w:val="single" w:color="auto" w:sz="4" w:space="0"/>
              <w:left w:val="single" w:color="auto" w:sz="4" w:space="0"/>
              <w:bottom w:val="single" w:color="auto" w:sz="4" w:space="0"/>
              <w:right w:val="single" w:color="auto" w:sz="4" w:space="0"/>
            </w:tcBorders>
            <w:shd w:val="clear" w:color="auto" w:fill="auto"/>
          </w:tcPr>
          <w:p w14:paraId="00000056">
            <w:pPr>
              <w:jc w:val="center"/>
              <w:rPr>
                <w:color w:val="000000"/>
                <w:sz w:val="22"/>
                <w:szCs w:val="22"/>
              </w:rPr>
            </w:pPr>
            <w:r>
              <w:rPr>
                <w:color w:val="000000"/>
                <w:sz w:val="22"/>
                <w:szCs w:val="22"/>
              </w:rPr>
              <w:t>2024</w:t>
            </w:r>
          </w:p>
        </w:tc>
        <w:tc>
          <w:tcPr>
            <w:cnfStyle w:val="000000100000"/>
            <w:tcW w:w="1348" w:type="dxa"/>
            <w:tcBorders>
              <w:top w:val="single" w:color="auto" w:sz="4" w:space="0"/>
              <w:left w:val="single" w:color="auto" w:sz="4" w:space="0"/>
              <w:bottom w:val="single" w:color="auto" w:sz="4" w:space="0"/>
              <w:right w:val="single" w:color="auto" w:sz="4" w:space="0"/>
            </w:tcBorders>
            <w:shd w:val="clear" w:color="auto" w:fill="auto"/>
          </w:tcPr>
          <w:p w14:paraId="00000057">
            <w:pPr>
              <w:jc w:val="center"/>
              <w:rPr>
                <w:color w:val="000000"/>
                <w:sz w:val="22"/>
                <w:szCs w:val="22"/>
              </w:rPr>
            </w:pPr>
            <w:r>
              <w:rPr>
                <w:color w:val="000000"/>
                <w:sz w:val="22"/>
                <w:szCs w:val="22"/>
              </w:rPr>
              <w:t>2025</w:t>
            </w:r>
          </w:p>
        </w:tc>
        <w:tc>
          <w:tcPr>
            <w:cnfStyle w:val="000000100000"/>
            <w:tcW w:w="1310" w:type="dxa"/>
            <w:tcBorders>
              <w:top w:val="single" w:color="auto" w:sz="4" w:space="0"/>
              <w:left w:val="single" w:color="auto" w:sz="4" w:space="0"/>
              <w:bottom w:val="single" w:color="auto" w:sz="4" w:space="0"/>
              <w:right w:val="single" w:color="auto" w:sz="4" w:space="0"/>
            </w:tcBorders>
            <w:shd w:val="clear" w:color="auto" w:fill="auto"/>
          </w:tcPr>
          <w:p w14:paraId="00000058">
            <w:pPr>
              <w:jc w:val="center"/>
              <w:rPr>
                <w:color w:val="000000"/>
                <w:sz w:val="22"/>
                <w:szCs w:val="22"/>
              </w:rPr>
            </w:pPr>
            <w:r>
              <w:rPr>
                <w:color w:val="000000"/>
                <w:sz w:val="22"/>
                <w:szCs w:val="22"/>
              </w:rPr>
              <w:t>2024/2023</w:t>
            </w:r>
          </w:p>
        </w:tc>
        <w:tc>
          <w:tcPr>
            <w:cnfStyle w:val="000000100000"/>
            <w:tcW w:w="1389" w:type="dxa"/>
            <w:tcBorders>
              <w:top w:val="single" w:color="auto" w:sz="4" w:space="0"/>
              <w:left w:val="single" w:color="auto" w:sz="4" w:space="0"/>
              <w:bottom w:val="single" w:color="auto" w:sz="4" w:space="0"/>
              <w:right w:val="single" w:color="auto" w:sz="4" w:space="0"/>
            </w:tcBorders>
            <w:shd w:val="clear" w:color="auto" w:fill="auto"/>
          </w:tcPr>
          <w:p w14:paraId="00000059">
            <w:pPr>
              <w:jc w:val="center"/>
              <w:rPr>
                <w:color w:val="000000"/>
                <w:sz w:val="22"/>
                <w:szCs w:val="22"/>
              </w:rPr>
            </w:pPr>
            <w:r>
              <w:rPr>
                <w:color w:val="000000"/>
                <w:sz w:val="22"/>
                <w:szCs w:val="22"/>
              </w:rPr>
              <w:t>2025/2024</w:t>
            </w:r>
          </w:p>
        </w:tc>
      </w:tr>
      <w:tr>
        <w:trPr/>
        <w:tc>
          <w:tcPr>
            <w:cnfStyle w:val="001000010000"/>
            <w:tcW w:w="2178" w:type="dxa"/>
            <w:tcBorders>
              <w:top w:val="single" w:color="auto" w:sz="4" w:space="0"/>
              <w:left w:val="single" w:color="auto" w:sz="4" w:space="0"/>
              <w:bottom w:val="single" w:color="auto" w:sz="4" w:space="0"/>
              <w:right w:val="single" w:color="auto" w:sz="4" w:space="0"/>
            </w:tcBorders>
            <w:shd w:val="clear" w:color="auto" w:fill="auto"/>
          </w:tcPr>
          <w:p w14:paraId="0000005A">
            <w:pPr>
              <w:jc w:val="center"/>
              <w:rPr>
                <w:color w:val="000000"/>
                <w:sz w:val="22"/>
                <w:szCs w:val="22"/>
              </w:rPr>
            </w:pPr>
            <w:r>
              <w:rPr>
                <w:color w:val="000000"/>
                <w:sz w:val="22"/>
                <w:szCs w:val="22"/>
              </w:rPr>
              <w:t>1</w:t>
            </w:r>
          </w:p>
        </w:tc>
        <w:tc>
          <w:tcPr>
            <w:cnfStyle w:val="000000010000"/>
            <w:tcW w:w="1384" w:type="dxa"/>
            <w:tcBorders>
              <w:top w:val="single" w:color="auto" w:sz="4" w:space="0"/>
              <w:left w:val="single" w:color="auto" w:sz="4" w:space="0"/>
              <w:bottom w:val="single" w:color="auto" w:sz="4" w:space="0"/>
              <w:right w:val="single" w:color="auto" w:sz="4" w:space="0"/>
            </w:tcBorders>
            <w:shd w:val="clear" w:color="auto" w:fill="auto"/>
          </w:tcPr>
          <w:p w14:paraId="0000005B">
            <w:pPr>
              <w:jc w:val="center"/>
              <w:rPr>
                <w:color w:val="000000"/>
                <w:sz w:val="22"/>
                <w:szCs w:val="22"/>
              </w:rPr>
            </w:pPr>
            <w:r>
              <w:rPr>
                <w:color w:val="000000"/>
                <w:sz w:val="22"/>
                <w:szCs w:val="22"/>
              </w:rPr>
              <w:t>2</w:t>
            </w:r>
          </w:p>
        </w:tc>
        <w:tc>
          <w:tcPr>
            <w:cnfStyle w:val="000000010000"/>
            <w:tcW w:w="1440" w:type="dxa"/>
            <w:tcBorders>
              <w:top w:val="single" w:color="auto" w:sz="4" w:space="0"/>
              <w:left w:val="single" w:color="auto" w:sz="4" w:space="0"/>
              <w:bottom w:val="single" w:color="auto" w:sz="4" w:space="0"/>
              <w:right w:val="single" w:color="auto" w:sz="4" w:space="0"/>
            </w:tcBorders>
            <w:shd w:val="clear" w:color="auto" w:fill="auto"/>
          </w:tcPr>
          <w:p w14:paraId="0000005C">
            <w:pPr>
              <w:jc w:val="center"/>
              <w:rPr>
                <w:color w:val="000000"/>
                <w:sz w:val="22"/>
                <w:szCs w:val="22"/>
              </w:rPr>
            </w:pPr>
            <w:r>
              <w:rPr>
                <w:color w:val="000000"/>
                <w:sz w:val="22"/>
                <w:szCs w:val="22"/>
              </w:rPr>
              <w:t>3</w:t>
            </w:r>
          </w:p>
        </w:tc>
        <w:tc>
          <w:tcPr>
            <w:cnfStyle w:val="000000010000"/>
            <w:tcW w:w="1348" w:type="dxa"/>
            <w:tcBorders>
              <w:top w:val="single" w:color="auto" w:sz="4" w:space="0"/>
              <w:left w:val="single" w:color="auto" w:sz="4" w:space="0"/>
              <w:bottom w:val="single" w:color="auto" w:sz="4" w:space="0"/>
              <w:right w:val="single" w:color="auto" w:sz="4" w:space="0"/>
            </w:tcBorders>
            <w:shd w:val="clear" w:color="auto" w:fill="auto"/>
          </w:tcPr>
          <w:p w14:paraId="0000005D">
            <w:pPr>
              <w:jc w:val="center"/>
              <w:rPr>
                <w:color w:val="000000"/>
                <w:sz w:val="22"/>
                <w:szCs w:val="22"/>
              </w:rPr>
            </w:pPr>
            <w:r>
              <w:rPr>
                <w:color w:val="000000"/>
                <w:sz w:val="22"/>
                <w:szCs w:val="22"/>
              </w:rPr>
              <w:t>4</w:t>
            </w:r>
          </w:p>
        </w:tc>
        <w:tc>
          <w:tcPr>
            <w:cnfStyle w:val="000000010000"/>
            <w:tcW w:w="1310" w:type="dxa"/>
            <w:tcBorders>
              <w:top w:val="single" w:color="auto" w:sz="4" w:space="0"/>
              <w:left w:val="single" w:color="auto" w:sz="4" w:space="0"/>
              <w:bottom w:val="single" w:color="auto" w:sz="4" w:space="0"/>
              <w:right w:val="single" w:color="auto" w:sz="4" w:space="0"/>
            </w:tcBorders>
            <w:shd w:val="clear" w:color="auto" w:fill="auto"/>
          </w:tcPr>
          <w:p w14:paraId="0000005E">
            <w:pPr>
              <w:jc w:val="center"/>
              <w:rPr>
                <w:color w:val="000000"/>
                <w:sz w:val="22"/>
                <w:szCs w:val="22"/>
              </w:rPr>
            </w:pPr>
            <w:r>
              <w:rPr>
                <w:color w:val="000000"/>
                <w:sz w:val="22"/>
                <w:szCs w:val="22"/>
              </w:rPr>
              <w:t>5</w:t>
            </w:r>
          </w:p>
        </w:tc>
        <w:tc>
          <w:tcPr>
            <w:cnfStyle w:val="000000010000"/>
            <w:tcW w:w="1389" w:type="dxa"/>
            <w:tcBorders>
              <w:top w:val="single" w:color="auto" w:sz="4" w:space="0"/>
              <w:left w:val="single" w:color="auto" w:sz="4" w:space="0"/>
              <w:bottom w:val="single" w:color="auto" w:sz="4" w:space="0"/>
              <w:right w:val="single" w:color="auto" w:sz="4" w:space="0"/>
            </w:tcBorders>
            <w:shd w:val="clear" w:color="auto" w:fill="auto"/>
          </w:tcPr>
          <w:p w14:paraId="0000005F">
            <w:pPr>
              <w:jc w:val="center"/>
              <w:rPr>
                <w:color w:val="000000"/>
                <w:sz w:val="22"/>
                <w:szCs w:val="22"/>
              </w:rPr>
            </w:pPr>
            <w:r>
              <w:rPr>
                <w:color w:val="000000"/>
                <w:sz w:val="22"/>
                <w:szCs w:val="22"/>
              </w:rPr>
              <w:t>6</w:t>
            </w:r>
          </w:p>
        </w:tc>
      </w:tr>
      <w:tr>
        <w:trPr>
          <w:trHeight w:val="315"/>
        </w:trPr>
        <w:tc>
          <w:tcPr>
            <w:cnfStyle w:val="001000100000"/>
            <w:tcW w:w="2178" w:type="dxa"/>
            <w:tcBorders>
              <w:top w:val="single" w:color="auto" w:sz="4" w:space="0"/>
              <w:left w:val="single" w:color="auto" w:sz="4" w:space="0"/>
              <w:bottom w:val="single" w:color="auto" w:sz="4" w:space="0"/>
              <w:right w:val="single" w:color="auto" w:sz="4" w:space="0"/>
            </w:tcBorders>
            <w:shd w:val="clear" w:color="auto" w:fill="auto"/>
          </w:tcPr>
          <w:p w14:paraId="00000060">
            <w:pPr>
              <w:rPr>
                <w:color w:val="000000"/>
                <w:sz w:val="22"/>
                <w:szCs w:val="22"/>
              </w:rPr>
            </w:pPr>
            <w:r>
              <w:rPr>
                <w:color w:val="000000"/>
                <w:sz w:val="22"/>
                <w:szCs w:val="22"/>
              </w:rPr>
              <w:t>Воскресенск</w:t>
            </w:r>
          </w:p>
        </w:tc>
        <w:tc>
          <w:tcPr>
            <w:cnfStyle w:val="000000100000"/>
            <w:tcW w:w="1384" w:type="dxa"/>
            <w:tcBorders>
              <w:top w:val="single" w:color="auto" w:sz="4" w:space="0"/>
              <w:left w:val="single" w:color="auto" w:sz="4" w:space="0"/>
              <w:bottom w:val="single" w:color="auto" w:sz="4" w:space="0"/>
              <w:right w:val="single" w:color="auto" w:sz="4" w:space="0"/>
            </w:tcBorders>
            <w:shd w:val="clear" w:color="auto" w:fill="auto"/>
          </w:tcPr>
          <w:p w14:paraId="00000061">
            <w:pPr>
              <w:jc w:val="center"/>
              <w:rPr>
                <w:color w:val="000000"/>
                <w:sz w:val="22"/>
                <w:szCs w:val="22"/>
              </w:rPr>
            </w:pPr>
            <w:r>
              <w:rPr>
                <w:color w:val="000000"/>
                <w:sz w:val="22"/>
                <w:szCs w:val="22"/>
              </w:rPr>
              <w:t>188,7</w:t>
            </w:r>
          </w:p>
        </w:tc>
        <w:tc>
          <w:tcPr>
            <w:cnfStyle w:val="000000100000"/>
            <w:tcW w:w="1440" w:type="dxa"/>
            <w:tcBorders>
              <w:top w:val="single" w:color="auto" w:sz="4" w:space="0"/>
              <w:left w:val="single" w:color="auto" w:sz="4" w:space="0"/>
              <w:bottom w:val="single" w:color="auto" w:sz="4" w:space="0"/>
              <w:right w:val="single" w:color="auto" w:sz="4" w:space="0"/>
            </w:tcBorders>
            <w:shd w:val="clear" w:color="auto" w:fill="auto"/>
          </w:tcPr>
          <w:p w14:paraId="00000062">
            <w:pPr>
              <w:jc w:val="center"/>
              <w:rPr>
                <w:color w:val="000000"/>
                <w:sz w:val="22"/>
                <w:szCs w:val="22"/>
              </w:rPr>
            </w:pPr>
            <w:r>
              <w:rPr>
                <w:color w:val="000000"/>
                <w:sz w:val="22"/>
                <w:szCs w:val="22"/>
              </w:rPr>
              <w:t>241,3</w:t>
            </w:r>
          </w:p>
        </w:tc>
        <w:tc>
          <w:tcPr>
            <w:cnfStyle w:val="000000100000"/>
            <w:tcW w:w="1348" w:type="dxa"/>
            <w:tcBorders>
              <w:top w:val="single" w:color="auto" w:sz="4" w:space="0"/>
              <w:left w:val="single" w:color="auto" w:sz="4" w:space="0"/>
              <w:bottom w:val="single" w:color="auto" w:sz="4" w:space="0"/>
              <w:right w:val="single" w:color="auto" w:sz="4" w:space="0"/>
            </w:tcBorders>
            <w:shd w:val="clear" w:color="auto" w:fill="auto"/>
          </w:tcPr>
          <w:p w14:paraId="00000063">
            <w:pPr>
              <w:jc w:val="center"/>
              <w:rPr>
                <w:color w:val="000000"/>
                <w:sz w:val="22"/>
                <w:szCs w:val="22"/>
              </w:rPr>
            </w:pPr>
            <w:r>
              <w:rPr>
                <w:color w:val="000000"/>
                <w:sz w:val="22"/>
                <w:szCs w:val="22"/>
              </w:rPr>
              <w:t>254,1</w:t>
            </w:r>
          </w:p>
        </w:tc>
        <w:tc>
          <w:tcPr>
            <w:cnfStyle w:val="000000100000"/>
            <w:tcW w:w="1310" w:type="dxa"/>
            <w:tcBorders>
              <w:top w:val="single" w:color="auto" w:sz="4" w:space="0"/>
              <w:left w:val="single" w:color="auto" w:sz="4" w:space="0"/>
              <w:bottom w:val="single" w:color="auto" w:sz="4" w:space="0"/>
              <w:right w:val="single" w:color="auto" w:sz="4" w:space="0"/>
            </w:tcBorders>
            <w:shd w:val="clear" w:color="auto" w:fill="auto"/>
          </w:tcPr>
          <w:p w14:paraId="00000064">
            <w:pPr>
              <w:jc w:val="center"/>
              <w:rPr>
                <w:color w:val="000000"/>
                <w:sz w:val="22"/>
                <w:szCs w:val="22"/>
              </w:rPr>
            </w:pPr>
            <w:r>
              <w:rPr>
                <w:color w:val="000000"/>
                <w:sz w:val="22"/>
                <w:szCs w:val="22"/>
              </w:rPr>
              <w:t>127,9</w:t>
            </w:r>
          </w:p>
        </w:tc>
        <w:tc>
          <w:tcPr>
            <w:cnfStyle w:val="000000100000"/>
            <w:tcW w:w="1389" w:type="dxa"/>
            <w:tcBorders>
              <w:top w:val="single" w:color="auto" w:sz="4" w:space="0"/>
              <w:left w:val="single" w:color="auto" w:sz="4" w:space="0"/>
              <w:bottom w:val="single" w:color="auto" w:sz="4" w:space="0"/>
              <w:right w:val="single" w:color="auto" w:sz="4" w:space="0"/>
            </w:tcBorders>
            <w:shd w:val="clear" w:color="auto" w:fill="auto"/>
          </w:tcPr>
          <w:p w14:paraId="00000065">
            <w:pPr>
              <w:jc w:val="center"/>
              <w:rPr>
                <w:color w:val="000000"/>
                <w:sz w:val="22"/>
                <w:szCs w:val="22"/>
              </w:rPr>
            </w:pPr>
            <w:r>
              <w:rPr>
                <w:color w:val="000000"/>
                <w:sz w:val="22"/>
                <w:szCs w:val="22"/>
              </w:rPr>
              <w:t>105,3</w:t>
            </w:r>
          </w:p>
        </w:tc>
      </w:tr>
      <w:tr>
        <w:trPr/>
        <w:tc>
          <w:tcPr>
            <w:cnfStyle w:val="001000010000"/>
            <w:tcW w:w="2178" w:type="dxa"/>
            <w:tcBorders>
              <w:top w:val="single" w:color="auto" w:sz="4" w:space="0"/>
              <w:left w:val="single" w:color="auto" w:sz="4" w:space="0"/>
              <w:bottom w:val="single" w:color="auto" w:sz="4" w:space="0"/>
              <w:right w:val="single" w:color="auto" w:sz="4" w:space="0"/>
            </w:tcBorders>
            <w:shd w:val="clear" w:color="auto" w:fill="auto"/>
          </w:tcPr>
          <w:p w14:paraId="00000066">
            <w:pPr>
              <w:rPr>
                <w:color w:val="000000"/>
                <w:sz w:val="22"/>
                <w:szCs w:val="22"/>
              </w:rPr>
            </w:pPr>
            <w:r>
              <w:rPr>
                <w:color w:val="000000"/>
                <w:sz w:val="22"/>
                <w:szCs w:val="22"/>
              </w:rPr>
              <w:t>Егорьевск</w:t>
            </w:r>
          </w:p>
        </w:tc>
        <w:tc>
          <w:tcPr>
            <w:cnfStyle w:val="000000010000"/>
            <w:tcW w:w="1384" w:type="dxa"/>
            <w:tcBorders>
              <w:top w:val="single" w:color="auto" w:sz="4" w:space="0"/>
              <w:left w:val="single" w:color="auto" w:sz="4" w:space="0"/>
              <w:bottom w:val="single" w:color="auto" w:sz="4" w:space="0"/>
              <w:right w:val="single" w:color="auto" w:sz="4" w:space="0"/>
            </w:tcBorders>
            <w:shd w:val="clear" w:color="auto" w:fill="auto"/>
          </w:tcPr>
          <w:p w14:paraId="00000067">
            <w:pPr>
              <w:jc w:val="center"/>
              <w:rPr>
                <w:color w:val="000000"/>
                <w:sz w:val="22"/>
                <w:szCs w:val="22"/>
              </w:rPr>
            </w:pPr>
            <w:r>
              <w:rPr>
                <w:color w:val="000000"/>
                <w:sz w:val="22"/>
                <w:szCs w:val="22"/>
              </w:rPr>
              <w:t>242,5</w:t>
            </w:r>
          </w:p>
        </w:tc>
        <w:tc>
          <w:tcPr>
            <w:cnfStyle w:val="000000010000"/>
            <w:tcW w:w="1440" w:type="dxa"/>
            <w:tcBorders>
              <w:top w:val="single" w:color="auto" w:sz="4" w:space="0"/>
              <w:left w:val="single" w:color="auto" w:sz="4" w:space="0"/>
              <w:bottom w:val="single" w:color="auto" w:sz="4" w:space="0"/>
              <w:right w:val="single" w:color="auto" w:sz="4" w:space="0"/>
            </w:tcBorders>
            <w:shd w:val="clear" w:color="auto" w:fill="auto"/>
          </w:tcPr>
          <w:p w14:paraId="00000068">
            <w:pPr>
              <w:jc w:val="center"/>
              <w:rPr>
                <w:color w:val="000000"/>
                <w:sz w:val="22"/>
                <w:szCs w:val="22"/>
              </w:rPr>
            </w:pPr>
            <w:r>
              <w:rPr>
                <w:color w:val="000000"/>
                <w:sz w:val="22"/>
                <w:szCs w:val="22"/>
              </w:rPr>
              <w:t>267,5</w:t>
            </w:r>
          </w:p>
        </w:tc>
        <w:tc>
          <w:tcPr>
            <w:cnfStyle w:val="000000010000"/>
            <w:tcW w:w="1348" w:type="dxa"/>
            <w:tcBorders>
              <w:top w:val="single" w:color="auto" w:sz="4" w:space="0"/>
              <w:left w:val="single" w:color="auto" w:sz="4" w:space="0"/>
              <w:bottom w:val="single" w:color="auto" w:sz="4" w:space="0"/>
              <w:right w:val="single" w:color="auto" w:sz="4" w:space="0"/>
            </w:tcBorders>
            <w:shd w:val="clear" w:color="auto" w:fill="auto"/>
          </w:tcPr>
          <w:p w14:paraId="00000069">
            <w:pPr>
              <w:jc w:val="center"/>
              <w:rPr>
                <w:color w:val="000000"/>
                <w:sz w:val="22"/>
                <w:szCs w:val="22"/>
              </w:rPr>
            </w:pPr>
            <w:r>
              <w:rPr>
                <w:color w:val="000000"/>
                <w:sz w:val="22"/>
                <w:szCs w:val="22"/>
              </w:rPr>
              <w:t>335,7</w:t>
            </w:r>
          </w:p>
        </w:tc>
        <w:tc>
          <w:tcPr>
            <w:cnfStyle w:val="000000010000"/>
            <w:tcW w:w="1310" w:type="dxa"/>
            <w:tcBorders>
              <w:top w:val="single" w:color="auto" w:sz="4" w:space="0"/>
              <w:left w:val="single" w:color="auto" w:sz="4" w:space="0"/>
              <w:bottom w:val="single" w:color="auto" w:sz="4" w:space="0"/>
              <w:right w:val="single" w:color="auto" w:sz="4" w:space="0"/>
            </w:tcBorders>
            <w:shd w:val="clear" w:color="auto" w:fill="auto"/>
          </w:tcPr>
          <w:p w14:paraId="0000006A">
            <w:pPr>
              <w:jc w:val="center"/>
              <w:rPr>
                <w:color w:val="000000"/>
                <w:sz w:val="22"/>
                <w:szCs w:val="22"/>
              </w:rPr>
            </w:pPr>
            <w:r>
              <w:rPr>
                <w:color w:val="000000"/>
                <w:sz w:val="22"/>
                <w:szCs w:val="22"/>
              </w:rPr>
              <w:t>110,3</w:t>
            </w:r>
          </w:p>
        </w:tc>
        <w:tc>
          <w:tcPr>
            <w:cnfStyle w:val="000000010000"/>
            <w:tcW w:w="1389" w:type="dxa"/>
            <w:tcBorders>
              <w:top w:val="single" w:color="auto" w:sz="4" w:space="0"/>
              <w:left w:val="single" w:color="auto" w:sz="4" w:space="0"/>
              <w:bottom w:val="single" w:color="auto" w:sz="4" w:space="0"/>
              <w:right w:val="single" w:color="auto" w:sz="4" w:space="0"/>
            </w:tcBorders>
            <w:shd w:val="clear" w:color="auto" w:fill="auto"/>
          </w:tcPr>
          <w:p w14:paraId="0000006B">
            <w:pPr>
              <w:jc w:val="center"/>
              <w:rPr>
                <w:color w:val="000000"/>
                <w:sz w:val="22"/>
                <w:szCs w:val="22"/>
              </w:rPr>
            </w:pPr>
            <w:r>
              <w:rPr>
                <w:color w:val="000000"/>
                <w:sz w:val="22"/>
                <w:szCs w:val="22"/>
              </w:rPr>
              <w:t>125,5</w:t>
            </w:r>
          </w:p>
        </w:tc>
      </w:tr>
      <w:tr>
        <w:trPr/>
        <w:tc>
          <w:tcPr>
            <w:cnfStyle w:val="001000100000"/>
            <w:tcW w:w="2178" w:type="dxa"/>
            <w:tcBorders>
              <w:top w:val="single" w:color="auto" w:sz="4" w:space="0"/>
              <w:left w:val="single" w:color="auto" w:sz="4" w:space="0"/>
              <w:bottom w:val="single" w:color="auto" w:sz="4" w:space="0"/>
              <w:right w:val="single" w:color="auto" w:sz="4" w:space="0"/>
            </w:tcBorders>
            <w:shd w:val="clear" w:color="auto" w:fill="auto"/>
          </w:tcPr>
          <w:p w14:paraId="0000006C">
            <w:pPr>
              <w:rPr>
                <w:color w:val="000000"/>
                <w:sz w:val="22"/>
                <w:szCs w:val="22"/>
              </w:rPr>
            </w:pPr>
            <w:r>
              <w:rPr>
                <w:color w:val="000000"/>
                <w:sz w:val="22"/>
                <w:szCs w:val="22"/>
              </w:rPr>
              <w:t>Коломна</w:t>
            </w:r>
          </w:p>
        </w:tc>
        <w:tc>
          <w:tcPr>
            <w:cnfStyle w:val="000000100000"/>
            <w:tcW w:w="1384" w:type="dxa"/>
            <w:tcBorders>
              <w:top w:val="single" w:color="auto" w:sz="4" w:space="0"/>
              <w:left w:val="single" w:color="auto" w:sz="4" w:space="0"/>
              <w:bottom w:val="single" w:color="auto" w:sz="4" w:space="0"/>
              <w:right w:val="single" w:color="auto" w:sz="4" w:space="0"/>
            </w:tcBorders>
            <w:shd w:val="clear" w:color="auto" w:fill="auto"/>
          </w:tcPr>
          <w:p w14:paraId="0000006D">
            <w:pPr>
              <w:jc w:val="center"/>
              <w:rPr>
                <w:color w:val="000000"/>
                <w:sz w:val="22"/>
                <w:szCs w:val="22"/>
              </w:rPr>
            </w:pPr>
            <w:r>
              <w:rPr>
                <w:color w:val="000000"/>
                <w:sz w:val="22"/>
                <w:szCs w:val="22"/>
              </w:rPr>
              <w:t>263,6</w:t>
            </w:r>
          </w:p>
        </w:tc>
        <w:tc>
          <w:tcPr>
            <w:cnfStyle w:val="000000100000"/>
            <w:tcW w:w="1440" w:type="dxa"/>
            <w:tcBorders>
              <w:top w:val="single" w:color="auto" w:sz="4" w:space="0"/>
              <w:left w:val="single" w:color="auto" w:sz="4" w:space="0"/>
              <w:bottom w:val="single" w:color="auto" w:sz="4" w:space="0"/>
              <w:right w:val="single" w:color="auto" w:sz="4" w:space="0"/>
            </w:tcBorders>
            <w:shd w:val="clear" w:color="auto" w:fill="auto"/>
          </w:tcPr>
          <w:p w14:paraId="0000006E">
            <w:pPr>
              <w:jc w:val="center"/>
              <w:rPr>
                <w:color w:val="000000"/>
                <w:sz w:val="22"/>
                <w:szCs w:val="22"/>
              </w:rPr>
            </w:pPr>
            <w:r>
              <w:rPr>
                <w:color w:val="000000"/>
                <w:sz w:val="22"/>
                <w:szCs w:val="22"/>
              </w:rPr>
              <w:t>269,7</w:t>
            </w:r>
          </w:p>
        </w:tc>
        <w:tc>
          <w:tcPr>
            <w:cnfStyle w:val="000000100000"/>
            <w:tcW w:w="1348" w:type="dxa"/>
            <w:tcBorders>
              <w:top w:val="single" w:color="auto" w:sz="4" w:space="0"/>
              <w:left w:val="single" w:color="auto" w:sz="4" w:space="0"/>
              <w:bottom w:val="single" w:color="auto" w:sz="4" w:space="0"/>
              <w:right w:val="single" w:color="auto" w:sz="4" w:space="0"/>
            </w:tcBorders>
            <w:shd w:val="clear" w:color="auto" w:fill="auto"/>
          </w:tcPr>
          <w:p w14:paraId="0000006F">
            <w:pPr>
              <w:jc w:val="center"/>
              <w:rPr>
                <w:color w:val="000000"/>
                <w:sz w:val="22"/>
                <w:szCs w:val="22"/>
              </w:rPr>
            </w:pPr>
            <w:r>
              <w:rPr>
                <w:color w:val="000000"/>
                <w:sz w:val="22"/>
                <w:szCs w:val="22"/>
              </w:rPr>
              <w:t>307,2</w:t>
            </w:r>
          </w:p>
        </w:tc>
        <w:tc>
          <w:tcPr>
            <w:cnfStyle w:val="000000100000"/>
            <w:tcW w:w="1310" w:type="dxa"/>
            <w:tcBorders>
              <w:top w:val="single" w:color="auto" w:sz="4" w:space="0"/>
              <w:left w:val="single" w:color="auto" w:sz="4" w:space="0"/>
              <w:bottom w:val="single" w:color="auto" w:sz="4" w:space="0"/>
              <w:right w:val="single" w:color="auto" w:sz="4" w:space="0"/>
            </w:tcBorders>
            <w:shd w:val="clear" w:color="auto" w:fill="auto"/>
          </w:tcPr>
          <w:p w14:paraId="00000070">
            <w:pPr>
              <w:jc w:val="center"/>
              <w:rPr>
                <w:color w:val="000000"/>
                <w:sz w:val="22"/>
                <w:szCs w:val="22"/>
              </w:rPr>
            </w:pPr>
            <w:r>
              <w:rPr>
                <w:color w:val="000000"/>
                <w:sz w:val="22"/>
                <w:szCs w:val="22"/>
              </w:rPr>
              <w:t>102,3</w:t>
            </w:r>
          </w:p>
        </w:tc>
        <w:tc>
          <w:tcPr>
            <w:cnfStyle w:val="000000100000"/>
            <w:tcW w:w="1389" w:type="dxa"/>
            <w:tcBorders>
              <w:top w:val="single" w:color="auto" w:sz="4" w:space="0"/>
              <w:left w:val="single" w:color="auto" w:sz="4" w:space="0"/>
              <w:bottom w:val="single" w:color="auto" w:sz="4" w:space="0"/>
              <w:right w:val="single" w:color="auto" w:sz="4" w:space="0"/>
            </w:tcBorders>
            <w:shd w:val="clear" w:color="auto" w:fill="auto"/>
          </w:tcPr>
          <w:p w14:paraId="00000071">
            <w:pPr>
              <w:jc w:val="center"/>
              <w:rPr>
                <w:color w:val="000000"/>
                <w:sz w:val="22"/>
                <w:szCs w:val="22"/>
              </w:rPr>
            </w:pPr>
            <w:r>
              <w:rPr>
                <w:color w:val="000000"/>
                <w:sz w:val="22"/>
                <w:szCs w:val="22"/>
              </w:rPr>
              <w:t>113,9</w:t>
            </w:r>
          </w:p>
        </w:tc>
      </w:tr>
      <w:tr>
        <w:trPr/>
        <w:tc>
          <w:tcPr>
            <w:cnfStyle w:val="001000010000"/>
            <w:tcW w:w="2178" w:type="dxa"/>
            <w:tcBorders>
              <w:top w:val="single" w:color="auto" w:sz="4" w:space="0"/>
              <w:left w:val="single" w:color="auto" w:sz="4" w:space="0"/>
              <w:bottom w:val="single" w:color="auto" w:sz="4" w:space="0"/>
              <w:right w:val="single" w:color="auto" w:sz="4" w:space="0"/>
            </w:tcBorders>
            <w:shd w:val="clear" w:color="auto" w:fill="auto"/>
          </w:tcPr>
          <w:p w14:paraId="00000072">
            <w:pPr>
              <w:rPr>
                <w:color w:val="000000"/>
                <w:sz w:val="22"/>
                <w:szCs w:val="22"/>
              </w:rPr>
            </w:pPr>
            <w:r>
              <w:rPr>
                <w:color w:val="000000"/>
                <w:sz w:val="22"/>
                <w:szCs w:val="22"/>
              </w:rPr>
              <w:t>Луховицы</w:t>
            </w:r>
          </w:p>
        </w:tc>
        <w:tc>
          <w:tcPr>
            <w:cnfStyle w:val="000000010000"/>
            <w:tcW w:w="1384" w:type="dxa"/>
            <w:tcBorders>
              <w:top w:val="single" w:color="auto" w:sz="4" w:space="0"/>
              <w:left w:val="single" w:color="auto" w:sz="4" w:space="0"/>
              <w:bottom w:val="single" w:color="auto" w:sz="4" w:space="0"/>
              <w:right w:val="single" w:color="auto" w:sz="4" w:space="0"/>
            </w:tcBorders>
            <w:shd w:val="clear" w:color="auto" w:fill="auto"/>
          </w:tcPr>
          <w:p w14:paraId="00000073">
            <w:pPr>
              <w:jc w:val="center"/>
              <w:rPr>
                <w:color w:val="000000"/>
                <w:sz w:val="22"/>
                <w:szCs w:val="22"/>
              </w:rPr>
            </w:pPr>
            <w:r>
              <w:rPr>
                <w:color w:val="000000"/>
                <w:sz w:val="22"/>
                <w:szCs w:val="22"/>
              </w:rPr>
              <w:t>686,3</w:t>
            </w:r>
          </w:p>
        </w:tc>
        <w:tc>
          <w:tcPr>
            <w:cnfStyle w:val="000000010000"/>
            <w:tcW w:w="1440" w:type="dxa"/>
            <w:tcBorders>
              <w:top w:val="single" w:color="auto" w:sz="4" w:space="0"/>
              <w:left w:val="single" w:color="auto" w:sz="4" w:space="0"/>
              <w:bottom w:val="single" w:color="auto" w:sz="4" w:space="0"/>
              <w:right w:val="single" w:color="auto" w:sz="4" w:space="0"/>
            </w:tcBorders>
            <w:shd w:val="clear" w:color="auto" w:fill="auto"/>
          </w:tcPr>
          <w:p w14:paraId="00000074">
            <w:pPr>
              <w:jc w:val="center"/>
              <w:rPr>
                <w:color w:val="000000"/>
                <w:sz w:val="22"/>
                <w:szCs w:val="22"/>
              </w:rPr>
            </w:pPr>
            <w:r>
              <w:rPr>
                <w:color w:val="000000"/>
                <w:sz w:val="22"/>
                <w:szCs w:val="22"/>
              </w:rPr>
              <w:t>768,0</w:t>
            </w:r>
          </w:p>
        </w:tc>
        <w:tc>
          <w:tcPr>
            <w:cnfStyle w:val="000000010000"/>
            <w:tcW w:w="1348" w:type="dxa"/>
            <w:tcBorders>
              <w:top w:val="single" w:color="auto" w:sz="4" w:space="0"/>
              <w:left w:val="single" w:color="auto" w:sz="4" w:space="0"/>
              <w:bottom w:val="single" w:color="auto" w:sz="4" w:space="0"/>
              <w:right w:val="single" w:color="auto" w:sz="4" w:space="0"/>
            </w:tcBorders>
            <w:shd w:val="clear" w:color="auto" w:fill="auto"/>
          </w:tcPr>
          <w:p w14:paraId="00000075">
            <w:pPr>
              <w:jc w:val="center"/>
              <w:rPr>
                <w:color w:val="000000"/>
                <w:sz w:val="22"/>
                <w:szCs w:val="22"/>
              </w:rPr>
            </w:pPr>
            <w:r>
              <w:rPr>
                <w:color w:val="000000"/>
                <w:sz w:val="22"/>
                <w:szCs w:val="22"/>
              </w:rPr>
              <w:t>849,7</w:t>
            </w:r>
          </w:p>
        </w:tc>
        <w:tc>
          <w:tcPr>
            <w:cnfStyle w:val="000000010000"/>
            <w:tcW w:w="1310" w:type="dxa"/>
            <w:tcBorders>
              <w:top w:val="single" w:color="auto" w:sz="4" w:space="0"/>
              <w:left w:val="single" w:color="auto" w:sz="4" w:space="0"/>
              <w:bottom w:val="single" w:color="auto" w:sz="4" w:space="0"/>
              <w:right w:val="single" w:color="auto" w:sz="4" w:space="0"/>
            </w:tcBorders>
            <w:shd w:val="clear" w:color="auto" w:fill="auto"/>
          </w:tcPr>
          <w:p w14:paraId="00000076">
            <w:pPr>
              <w:jc w:val="center"/>
              <w:rPr>
                <w:color w:val="000000"/>
                <w:sz w:val="22"/>
                <w:szCs w:val="22"/>
              </w:rPr>
            </w:pPr>
            <w:r>
              <w:rPr>
                <w:color w:val="000000"/>
                <w:sz w:val="22"/>
                <w:szCs w:val="22"/>
              </w:rPr>
              <w:t>111,9</w:t>
            </w:r>
          </w:p>
        </w:tc>
        <w:tc>
          <w:tcPr>
            <w:cnfStyle w:val="000000010000"/>
            <w:tcW w:w="1389" w:type="dxa"/>
            <w:tcBorders>
              <w:top w:val="single" w:color="auto" w:sz="4" w:space="0"/>
              <w:left w:val="single" w:color="auto" w:sz="4" w:space="0"/>
              <w:bottom w:val="single" w:color="auto" w:sz="4" w:space="0"/>
              <w:right w:val="single" w:color="auto" w:sz="4" w:space="0"/>
            </w:tcBorders>
            <w:shd w:val="clear" w:color="auto" w:fill="auto"/>
          </w:tcPr>
          <w:p w14:paraId="00000077">
            <w:pPr>
              <w:jc w:val="center"/>
              <w:rPr>
                <w:color w:val="000000"/>
                <w:sz w:val="22"/>
                <w:szCs w:val="22"/>
              </w:rPr>
            </w:pPr>
            <w:r>
              <w:rPr>
                <w:color w:val="000000"/>
                <w:sz w:val="22"/>
                <w:szCs w:val="22"/>
              </w:rPr>
              <w:t>110,6</w:t>
            </w:r>
          </w:p>
        </w:tc>
      </w:tr>
      <w:tr>
        <w:trPr/>
        <w:tc>
          <w:tcPr>
            <w:cnfStyle w:val="001000100000"/>
            <w:tcW w:w="2178" w:type="dxa"/>
            <w:tcBorders>
              <w:top w:val="single" w:color="auto" w:sz="4" w:space="0"/>
              <w:left w:val="single" w:color="auto" w:sz="4" w:space="0"/>
              <w:bottom w:val="single" w:color="auto" w:sz="4" w:space="0"/>
              <w:right w:val="single" w:color="auto" w:sz="4" w:space="0"/>
            </w:tcBorders>
            <w:shd w:val="clear" w:color="auto" w:fill="auto"/>
          </w:tcPr>
          <w:p w14:paraId="00000078">
            <w:pPr>
              <w:rPr>
                <w:color w:val="000000"/>
                <w:sz w:val="22"/>
                <w:szCs w:val="22"/>
              </w:rPr>
            </w:pPr>
            <w:r>
              <w:rPr>
                <w:color w:val="000000"/>
                <w:sz w:val="22"/>
                <w:szCs w:val="22"/>
              </w:rPr>
              <w:t>Ступино</w:t>
            </w:r>
          </w:p>
        </w:tc>
        <w:tc>
          <w:tcPr>
            <w:cnfStyle w:val="000000100000"/>
            <w:tcW w:w="1384" w:type="dxa"/>
            <w:tcBorders>
              <w:top w:val="single" w:color="auto" w:sz="4" w:space="0"/>
              <w:left w:val="single" w:color="auto" w:sz="4" w:space="0"/>
              <w:bottom w:val="single" w:color="auto" w:sz="4" w:space="0"/>
              <w:right w:val="single" w:color="auto" w:sz="4" w:space="0"/>
            </w:tcBorders>
            <w:shd w:val="clear" w:color="auto" w:fill="auto"/>
          </w:tcPr>
          <w:p w14:paraId="00000079">
            <w:pPr>
              <w:jc w:val="center"/>
              <w:rPr>
                <w:color w:val="000000"/>
                <w:sz w:val="22"/>
                <w:szCs w:val="22"/>
              </w:rPr>
            </w:pPr>
            <w:r>
              <w:rPr>
                <w:color w:val="000000"/>
                <w:sz w:val="22"/>
                <w:szCs w:val="22"/>
              </w:rPr>
              <w:t>265,2</w:t>
            </w:r>
          </w:p>
        </w:tc>
        <w:tc>
          <w:tcPr>
            <w:cnfStyle w:val="000000100000"/>
            <w:tcW w:w="1440" w:type="dxa"/>
            <w:tcBorders>
              <w:top w:val="single" w:color="auto" w:sz="4" w:space="0"/>
              <w:left w:val="single" w:color="auto" w:sz="4" w:space="0"/>
              <w:bottom w:val="single" w:color="auto" w:sz="4" w:space="0"/>
              <w:right w:val="single" w:color="auto" w:sz="4" w:space="0"/>
            </w:tcBorders>
            <w:shd w:val="clear" w:color="auto" w:fill="auto"/>
          </w:tcPr>
          <w:p w14:paraId="0000007A">
            <w:pPr>
              <w:jc w:val="center"/>
              <w:rPr>
                <w:color w:val="000000"/>
                <w:sz w:val="22"/>
                <w:szCs w:val="22"/>
              </w:rPr>
            </w:pPr>
            <w:r>
              <w:rPr>
                <w:color w:val="000000"/>
                <w:sz w:val="22"/>
                <w:szCs w:val="22"/>
              </w:rPr>
              <w:t>291,7</w:t>
            </w:r>
          </w:p>
        </w:tc>
        <w:tc>
          <w:tcPr>
            <w:cnfStyle w:val="000000100000"/>
            <w:tcW w:w="1348" w:type="dxa"/>
            <w:tcBorders>
              <w:top w:val="single" w:color="auto" w:sz="4" w:space="0"/>
              <w:left w:val="single" w:color="auto" w:sz="4" w:space="0"/>
              <w:bottom w:val="single" w:color="auto" w:sz="4" w:space="0"/>
              <w:right w:val="single" w:color="auto" w:sz="4" w:space="0"/>
            </w:tcBorders>
            <w:shd w:val="clear" w:color="auto" w:fill="auto"/>
          </w:tcPr>
          <w:p w14:paraId="0000007B">
            <w:pPr>
              <w:jc w:val="center"/>
              <w:rPr>
                <w:color w:val="000000"/>
                <w:sz w:val="22"/>
                <w:szCs w:val="22"/>
              </w:rPr>
            </w:pPr>
            <w:r>
              <w:rPr>
                <w:color w:val="000000"/>
                <w:sz w:val="22"/>
                <w:szCs w:val="22"/>
              </w:rPr>
              <w:t>365,0</w:t>
            </w:r>
          </w:p>
        </w:tc>
        <w:tc>
          <w:tcPr>
            <w:cnfStyle w:val="000000100000"/>
            <w:tcW w:w="1310" w:type="dxa"/>
            <w:tcBorders>
              <w:top w:val="single" w:color="auto" w:sz="4" w:space="0"/>
              <w:left w:val="single" w:color="auto" w:sz="4" w:space="0"/>
              <w:bottom w:val="single" w:color="auto" w:sz="4" w:space="0"/>
              <w:right w:val="single" w:color="auto" w:sz="4" w:space="0"/>
            </w:tcBorders>
            <w:shd w:val="clear" w:color="auto" w:fill="auto"/>
          </w:tcPr>
          <w:p w14:paraId="0000007C">
            <w:pPr>
              <w:jc w:val="center"/>
              <w:rPr>
                <w:color w:val="000000"/>
                <w:sz w:val="22"/>
                <w:szCs w:val="22"/>
              </w:rPr>
            </w:pPr>
            <w:r>
              <w:rPr>
                <w:color w:val="000000"/>
                <w:sz w:val="22"/>
                <w:szCs w:val="22"/>
              </w:rPr>
              <w:t>110,0</w:t>
            </w:r>
          </w:p>
        </w:tc>
        <w:tc>
          <w:tcPr>
            <w:cnfStyle w:val="000000100000"/>
            <w:tcW w:w="1389" w:type="dxa"/>
            <w:tcBorders>
              <w:top w:val="single" w:color="auto" w:sz="4" w:space="0"/>
              <w:left w:val="single" w:color="auto" w:sz="4" w:space="0"/>
              <w:bottom w:val="single" w:color="auto" w:sz="4" w:space="0"/>
              <w:right w:val="single" w:color="auto" w:sz="4" w:space="0"/>
            </w:tcBorders>
            <w:shd w:val="clear" w:color="auto" w:fill="auto"/>
          </w:tcPr>
          <w:p w14:paraId="0000007D">
            <w:pPr>
              <w:jc w:val="center"/>
              <w:rPr>
                <w:color w:val="000000"/>
                <w:sz w:val="22"/>
                <w:szCs w:val="22"/>
              </w:rPr>
            </w:pPr>
            <w:r>
              <w:rPr>
                <w:color w:val="000000"/>
                <w:sz w:val="22"/>
                <w:szCs w:val="22"/>
              </w:rPr>
              <w:t>125,1</w:t>
            </w:r>
          </w:p>
        </w:tc>
      </w:tr>
    </w:tbl>
    <w:p w14:paraId="0000007E">
      <w:pPr>
        <w:spacing w:after="0" w:line="240" w:lineRule="auto"/>
        <w:rPr>
          <w:rFonts w:ascii="Times New Roman" w:cs="Times New Roman" w:hAnsi="Times New Roman"/>
          <w:sz w:val="24"/>
          <w:szCs w:val="24"/>
        </w:rPr>
      </w:pPr>
      <w:r>
        <w:rPr>
          <w:rFonts w:ascii="Times New Roman" w:cs="Times New Roman" w:hAnsi="Times New Roman"/>
          <w:color w:val="000000"/>
          <w:sz w:val="24"/>
          <w:szCs w:val="24"/>
        </w:rPr>
        <w:t xml:space="preserve">[Источник: Составлено автором на основе данных официальных сайтов </w:t>
      </w:r>
      <w:r>
        <w:rPr>
          <w:rFonts w:ascii="Times New Roman" w:cs="Times New Roman" w:hAnsi="Times New Roman"/>
          <w:color w:val="000000"/>
          <w:sz w:val="24"/>
          <w:szCs w:val="24"/>
        </w:rPr>
        <w:t>муниципальных образований]</w:t>
      </w:r>
    </w:p>
    <w:p w14:paraId="0000007F">
      <w:pPr>
        <w:spacing w:after="0" w:line="240" w:lineRule="auto"/>
        <w:ind w:left="709"/>
        <w:jc w:val="both"/>
        <w:rPr>
          <w:rFonts w:ascii="Times New Roman" w:cs="Times New Roman" w:hAnsi="Times New Roman"/>
          <w:sz w:val="28"/>
          <w:szCs w:val="28"/>
        </w:rPr>
      </w:pPr>
    </w:p>
    <w:p w14:paraId="00000080">
      <w:pPr>
        <w:pBdr>
          <w:top w:val="none" w:sz="4" w:space="0"/>
          <w:left w:val="none" w:sz="4" w:space="0"/>
          <w:bottom w:val="none" w:sz="4" w:space="0"/>
          <w:right w:val="none" w:sz="4" w:space="0"/>
          <w:between w:val="none" w:sz="4" w:space="0"/>
        </w:pBdr>
        <w:spacing w:after="0" w:line="240" w:lineRule="auto"/>
        <w:ind w:firstLine="709"/>
        <w:jc w:val="both"/>
        <w:rPr>
          <w:rFonts w:ascii="Times New Roman" w:cs="Times New Roman" w:hAnsi="Times New Roman"/>
          <w:color w:val="000000"/>
          <w:sz w:val="28"/>
          <w:szCs w:val="28"/>
        </w:rPr>
      </w:pPr>
      <w:r>
        <w:rPr>
          <w:rFonts w:ascii="Times New Roman" w:cs="Times New Roman" w:hAnsi="Times New Roman"/>
          <w:color w:val="000000"/>
          <w:sz w:val="24"/>
          <w:szCs w:val="24"/>
        </w:rPr>
        <w:t>Таким образом, наблюдается стабильный тренд на  увеличение показателя расходов на  финансовое обеспечение деятельности финансовых органов на душу населения без  взаимосвязи с темпами роста общего объема расходов местного</w:t>
      </w:r>
      <w:r>
        <w:rPr>
          <w:rFonts w:ascii="Times New Roman" w:cs="Times New Roman" w:hAnsi="Times New Roman"/>
          <w:color w:val="000000"/>
          <w:sz w:val="24"/>
          <w:szCs w:val="24"/>
        </w:rPr>
        <w:t xml:space="preserve"> бюджета, количеством участников и </w:t>
      </w:r>
      <w:r>
        <w:rPr>
          <w:rFonts w:ascii="Times New Roman" w:cs="Times New Roman" w:hAnsi="Times New Roman"/>
          <w:color w:val="000000"/>
          <w:sz w:val="24"/>
          <w:szCs w:val="24"/>
        </w:rPr>
        <w:t>неу</w:t>
      </w:r>
      <w:r>
        <w:rPr>
          <w:rFonts w:ascii="Times New Roman" w:cs="Times New Roman" w:hAnsi="Times New Roman"/>
          <w:color w:val="000000"/>
          <w:sz w:val="24"/>
          <w:szCs w:val="24"/>
        </w:rPr>
        <w:t>частников</w:t>
      </w:r>
      <w:r>
        <w:rPr>
          <w:rFonts w:ascii="Times New Roman" w:cs="Times New Roman" w:hAnsi="Times New Roman"/>
          <w:color w:val="000000"/>
          <w:sz w:val="24"/>
          <w:szCs w:val="24"/>
        </w:rPr>
        <w:t xml:space="preserve"> бюджетного процесса, </w:t>
      </w:r>
      <w:r>
        <w:rPr>
          <w:rFonts w:ascii="Times New Roman" w:cs="Times New Roman" w:hAnsi="Times New Roman"/>
          <w:color w:val="000000"/>
          <w:sz w:val="24"/>
          <w:szCs w:val="24"/>
        </w:rPr>
        <w:t>с темпами роста официальной инфляции и качеством управления муниципальными финансами.</w:t>
      </w:r>
      <w:r>
        <w:rPr>
          <w:rFonts w:ascii="Times New Roman" w:cs="Times New Roman" w:hAnsi="Times New Roman"/>
          <w:color w:val="000000"/>
          <w:sz w:val="24"/>
          <w:szCs w:val="24"/>
        </w:rPr>
        <w:t xml:space="preserve"> </w:t>
      </w:r>
      <w:r>
        <w:rPr>
          <w:rFonts w:ascii="Times New Roman" w:cs="Times New Roman" w:hAnsi="Times New Roman"/>
          <w:color w:val="000000"/>
          <w:sz w:val="24"/>
          <w:szCs w:val="24"/>
        </w:rPr>
        <w:t>Поэтому в</w:t>
      </w:r>
      <w:r>
        <w:rPr>
          <w:rFonts w:ascii="Times New Roman" w:cs="Times New Roman" w:hAnsi="Times New Roman"/>
          <w:sz w:val="24"/>
          <w:szCs w:val="24"/>
        </w:rPr>
        <w:t xml:space="preserve"> свете динамично развивающегося законодательств</w:t>
      </w:r>
      <w:r>
        <w:rPr>
          <w:rFonts w:ascii="Times New Roman" w:cs="Times New Roman" w:hAnsi="Times New Roman"/>
          <w:sz w:val="24"/>
          <w:szCs w:val="24"/>
        </w:rPr>
        <w:t xml:space="preserve">а и информационных технологий </w:t>
      </w:r>
      <w:r>
        <w:rPr>
          <w:rFonts w:ascii="Times New Roman" w:cs="Times New Roman" w:hAnsi="Times New Roman"/>
          <w:sz w:val="24"/>
          <w:szCs w:val="24"/>
        </w:rPr>
        <w:t>нормировани</w:t>
      </w:r>
      <w:r>
        <w:rPr>
          <w:rFonts w:ascii="Times New Roman" w:cs="Times New Roman" w:hAnsi="Times New Roman"/>
          <w:sz w:val="24"/>
          <w:szCs w:val="24"/>
        </w:rPr>
        <w:t xml:space="preserve">е может также стать важнейшим инструментом </w:t>
      </w:r>
      <w:r>
        <w:rPr>
          <w:rFonts w:ascii="Times New Roman" w:cs="Times New Roman" w:hAnsi="Times New Roman"/>
          <w:color w:val="000000"/>
          <w:sz w:val="24"/>
          <w:szCs w:val="24"/>
        </w:rPr>
        <w:t>для повышения качества управления муници</w:t>
      </w:r>
      <w:r>
        <w:rPr>
          <w:rFonts w:ascii="Times New Roman" w:cs="Times New Roman" w:hAnsi="Times New Roman"/>
          <w:color w:val="000000"/>
          <w:sz w:val="24"/>
          <w:szCs w:val="24"/>
        </w:rPr>
        <w:t xml:space="preserve">пальными финансами и стимулом </w:t>
      </w:r>
      <w:r>
        <w:rPr>
          <w:rFonts w:ascii="Times New Roman" w:cs="Times New Roman" w:hAnsi="Times New Roman"/>
          <w:color w:val="000000"/>
          <w:sz w:val="24"/>
          <w:szCs w:val="24"/>
        </w:rPr>
        <w:t>непрерывного развития компетенций специалистов.</w:t>
      </w:r>
      <w:r>
        <w:rPr>
          <w:rFonts w:ascii="Times New Roman" w:cs="Times New Roman" w:hAnsi="Times New Roman"/>
          <w:color w:val="000000"/>
          <w:sz w:val="24"/>
          <w:szCs w:val="24"/>
        </w:rPr>
        <w:t xml:space="preserve"> </w:t>
      </w:r>
      <w:r>
        <w:rPr>
          <w:rFonts w:ascii="Times New Roman" w:cs="Times New Roman" w:hAnsi="Times New Roman"/>
          <w:color w:val="000000"/>
          <w:sz w:val="28"/>
          <w:szCs w:val="28"/>
        </w:rPr>
        <w:t xml:space="preserve"> </w:t>
      </w:r>
    </w:p>
    <w:p w14:paraId="00000081">
      <w:pPr>
        <w:pBdr>
          <w:top w:val="none" w:sz="4" w:space="0"/>
          <w:left w:val="none" w:sz="4" w:space="0"/>
          <w:bottom w:val="none" w:sz="4" w:space="0"/>
          <w:right w:val="none" w:sz="4" w:space="0"/>
          <w:between w:val="none" w:sz="4" w:space="0"/>
        </w:pBdr>
        <w:spacing w:after="0" w:line="240" w:lineRule="auto"/>
        <w:ind w:firstLine="709"/>
        <w:jc w:val="both"/>
        <w:rPr>
          <w:rFonts w:ascii="Times New Roman" w:cs="Times New Roman" w:hAnsi="Times New Roman"/>
          <w:sz w:val="24"/>
          <w:szCs w:val="24"/>
        </w:rPr>
      </w:pPr>
      <w:r>
        <w:rPr>
          <w:rFonts w:ascii="Times New Roman" w:cs="Times New Roman" w:hAnsi="Times New Roman"/>
          <w:color w:val="000000"/>
          <w:sz w:val="24"/>
          <w:szCs w:val="24"/>
        </w:rPr>
        <w:t>Преимуществом использования норм труда в финансовых органах муниципальных образован</w:t>
      </w:r>
      <w:r>
        <w:rPr>
          <w:rFonts w:ascii="Times New Roman" w:cs="Times New Roman" w:hAnsi="Times New Roman"/>
          <w:color w:val="000000"/>
          <w:sz w:val="24"/>
          <w:szCs w:val="24"/>
        </w:rPr>
        <w:t>ий может стать также ориентированность  на  повышение уровня оплаты труда работников с высокой нагрузкой, что превратит стимулирующие</w:t>
      </w:r>
      <w:r>
        <w:rPr>
          <w:rFonts w:ascii="Times New Roman" w:cs="Times New Roman" w:hAnsi="Times New Roman"/>
          <w:color w:val="000000"/>
          <w:sz w:val="24"/>
          <w:szCs w:val="24"/>
        </w:rPr>
        <w:t xml:space="preserve"> выплаты в реальный инструмент </w:t>
      </w:r>
      <w:r>
        <w:rPr>
          <w:rFonts w:ascii="Times New Roman" w:cs="Times New Roman" w:hAnsi="Times New Roman"/>
          <w:color w:val="000000"/>
          <w:sz w:val="24"/>
          <w:szCs w:val="24"/>
        </w:rPr>
        <w:t>повышения  эффективности деятельности органов местного самоуправления</w:t>
      </w:r>
      <w:r>
        <w:rPr>
          <w:rFonts w:ascii="Times New Roman" w:cs="Times New Roman" w:hAnsi="Times New Roman"/>
          <w:color w:val="000000"/>
          <w:sz w:val="24"/>
          <w:szCs w:val="24"/>
        </w:rPr>
        <w:t>. Кроме того это может</w:t>
      </w:r>
      <w:r>
        <w:rPr>
          <w:rFonts w:ascii="Times New Roman" w:cs="Times New Roman" w:hAnsi="Times New Roman"/>
          <w:color w:val="000000"/>
          <w:sz w:val="24"/>
          <w:szCs w:val="24"/>
        </w:rPr>
        <w:t xml:space="preserve"> стать  также стимулом для каскадирования  ключевых показателей  эффективности деятельности  до уровня организационно-штатных структур органов местного самоуправления. </w:t>
      </w:r>
    </w:p>
    <w:p w14:paraId="00000082">
      <w:pPr>
        <w:pBdr>
          <w:top w:val="none" w:sz="4" w:space="0"/>
          <w:left w:val="none" w:sz="4" w:space="0"/>
          <w:bottom w:val="none" w:sz="4" w:space="0"/>
          <w:right w:val="none" w:sz="4" w:space="0"/>
          <w:between w:val="none" w:sz="4" w:space="0"/>
        </w:pBdr>
        <w:spacing w:after="0" w:line="240" w:lineRule="auto"/>
        <w:jc w:val="both"/>
        <w:rPr>
          <w:rFonts w:ascii="Times New Roman" w:cs="Times New Roman" w:hAnsi="Times New Roman"/>
          <w:b/>
          <w:sz w:val="24"/>
          <w:szCs w:val="24"/>
        </w:rPr>
      </w:pPr>
      <w:r>
        <w:rPr>
          <w:rFonts w:ascii="Times New Roman" w:cs="Times New Roman" w:hAnsi="Times New Roman"/>
          <w:sz w:val="24"/>
          <w:szCs w:val="24"/>
        </w:rPr>
        <w:t xml:space="preserve"> </w:t>
      </w:r>
    </w:p>
    <w:p w14:paraId="00000083">
      <w:pPr>
        <w:spacing w:after="0" w:line="240" w:lineRule="auto"/>
        <w:ind w:left="709"/>
        <w:jc w:val="center"/>
        <w:rPr>
          <w:rFonts w:ascii="Times New Roman" w:cs="Times New Roman" w:hAnsi="Times New Roman"/>
          <w:b/>
          <w:sz w:val="24"/>
          <w:szCs w:val="24"/>
        </w:rPr>
      </w:pPr>
      <w:r>
        <w:rPr>
          <w:rFonts w:ascii="Times New Roman" w:cs="Times New Roman" w:hAnsi="Times New Roman"/>
          <w:b/>
          <w:sz w:val="24"/>
          <w:szCs w:val="24"/>
        </w:rPr>
        <w:t>Библиографический список</w:t>
      </w:r>
    </w:p>
    <w:p w14:paraId="00000084">
      <w:pPr>
        <w:pStyle w:val="ListParagraph"/>
        <w:spacing w:after="0" w:line="240" w:lineRule="auto"/>
        <w:ind w:left="0" w:firstLine="709"/>
        <w:contextualSpacing w:val="off"/>
        <w:jc w:val="both"/>
        <w:rPr>
          <w:rFonts w:ascii="Times New Roman" w:cs="Times New Roman" w:hAnsi="Times New Roman"/>
          <w:sz w:val="24"/>
          <w:szCs w:val="24"/>
        </w:rPr>
      </w:pPr>
      <w:r>
        <w:rPr>
          <w:rFonts w:ascii="Times New Roman" w:cs="Times New Roman" w:eastAsia="Times New Roman" w:hAnsi="Times New Roman"/>
          <w:sz w:val="24"/>
          <w:szCs w:val="24"/>
          <w:lang w:eastAsia="ru-RU"/>
        </w:rPr>
        <w:t>1. Бюджетный кодекс Российской Федерации</w:t>
      </w:r>
      <w:r>
        <w:rPr>
          <w:rFonts w:ascii="Times New Roman" w:cs="Times New Roman" w:eastAsia="Times New Roman" w:hAnsi="Times New Roman"/>
          <w:color w:val="000000"/>
          <w:sz w:val="24"/>
          <w:szCs w:val="24"/>
          <w:lang w:eastAsia="ru-RU"/>
        </w:rPr>
        <w:t xml:space="preserve"> от 31 июля 1998 </w:t>
      </w:r>
      <w:r>
        <w:rPr>
          <w:rFonts w:ascii="Times New Roman" w:cs="Times New Roman" w:eastAsia="Times New Roman" w:hAnsi="Times New Roman"/>
          <w:color w:val="000000"/>
          <w:sz w:val="24"/>
          <w:szCs w:val="24"/>
          <w:lang w:eastAsia="ru-RU"/>
        </w:rPr>
        <w:t xml:space="preserve">г N 145-ФЗ </w:t>
      </w:r>
      <w:r>
        <w:rPr>
          <w:rStyle w:val="Hyperlink"/>
          <w:rFonts w:ascii="Times New Roman" w:cs="Times New Roman" w:eastAsia="Times New Roman" w:hAnsi="Times New Roman"/>
          <w:sz w:val="24"/>
          <w:szCs w:val="24"/>
          <w:lang w:eastAsia="ru-RU"/>
        </w:rPr>
        <w:fldChar w:fldCharType="begin"/>
      </w:r>
      <w:r>
        <w:rPr>
          <w:rStyle w:val="Hyperlink"/>
          <w:rFonts w:ascii="Times New Roman" w:cs="Times New Roman" w:eastAsia="Times New Roman" w:hAnsi="Times New Roman"/>
          <w:sz w:val="24"/>
          <w:szCs w:val="24"/>
          <w:lang w:eastAsia="ru-RU"/>
        </w:rPr>
        <w:instrText xml:space="preserve">HYPERLINK "https://www.consultant.ru/document/cons_doc_LAW_19702/?ysclid=lpntwm6rxh779917747" </w:instrText>
      </w:r>
      <w:r>
        <w:rPr>
          <w:rStyle w:val="Hyperlink"/>
          <w:rFonts w:ascii="Times New Roman" w:cs="Times New Roman" w:eastAsia="Times New Roman" w:hAnsi="Times New Roman"/>
          <w:sz w:val="24"/>
          <w:szCs w:val="24"/>
          <w:lang w:eastAsia="ru-RU"/>
        </w:rPr>
        <w:fldChar w:fldCharType="separate"/>
      </w:r>
      <w:r>
        <w:rPr>
          <w:rStyle w:val="Hyperlink"/>
          <w:rFonts w:ascii="Times New Roman" w:cs="Times New Roman" w:eastAsia="Times New Roman" w:hAnsi="Times New Roman"/>
          <w:sz w:val="24"/>
          <w:szCs w:val="24"/>
          <w:lang w:eastAsia="ru-RU"/>
        </w:rPr>
        <w:t>https://www.consultant.ru/document/cons_doc_LAW_19702/?ysclid=lpntwm6rxh779917747</w:t>
      </w:r>
      <w:r>
        <w:rPr>
          <w:rFonts w:ascii="Times New Roman" w:cs="Times New Roman" w:eastAsia="Times New Roman" w:hAnsi="Times New Roman"/>
          <w:color w:val="000000"/>
          <w:sz w:val="24"/>
          <w:szCs w:val="24"/>
          <w:lang w:eastAsia="ru-RU"/>
        </w:rPr>
        <w:fldChar w:fldCharType="end"/>
      </w:r>
      <w:r>
        <w:rPr>
          <w:rFonts w:ascii="Times New Roman" w:cs="Times New Roman" w:eastAsia="Times New Roman" w:hAnsi="Times New Roman"/>
          <w:color w:val="000000"/>
          <w:sz w:val="24"/>
          <w:szCs w:val="24"/>
          <w:lang w:eastAsia="ru-RU"/>
        </w:rPr>
        <w:t xml:space="preserve">      </w:t>
      </w:r>
    </w:p>
    <w:p w14:paraId="00000085">
      <w:pPr>
        <w:pStyle w:val="ListParagraph"/>
        <w:spacing w:after="0" w:line="240" w:lineRule="auto"/>
        <w:ind w:left="0" w:firstLine="709"/>
        <w:contextualSpacing w:val="off"/>
        <w:jc w:val="both"/>
        <w:rPr>
          <w:rFonts w:ascii="Times New Roman" w:cs="Times New Roman" w:eastAsia="Times New Roman" w:hAnsi="Times New Roman"/>
          <w:sz w:val="24"/>
          <w:szCs w:val="24"/>
          <w:lang w:eastAsia="ru-RU"/>
        </w:rPr>
      </w:pPr>
      <w:r>
        <w:rPr>
          <w:rFonts w:ascii="Times New Roman" w:cs="Times New Roman" w:eastAsia="Times New Roman" w:hAnsi="Times New Roman"/>
          <w:color w:val="000000"/>
          <w:sz w:val="24"/>
          <w:szCs w:val="24"/>
        </w:rPr>
        <w:t xml:space="preserve">   2. </w:t>
      </w:r>
      <w:r>
        <w:rPr>
          <w:rFonts w:ascii="Times New Roman" w:cs="Times New Roman" w:eastAsia="Times New Roman" w:hAnsi="Times New Roman"/>
          <w:sz w:val="24"/>
          <w:szCs w:val="24"/>
          <w:lang w:eastAsia="ru-RU"/>
        </w:rPr>
        <w:t xml:space="preserve">Гоцко Т.В.  Ключевые тенденции в управлении </w:t>
      </w:r>
      <w:r>
        <w:rPr>
          <w:rFonts w:ascii="Times New Roman" w:cs="Times New Roman" w:eastAsia="Times New Roman" w:hAnsi="Times New Roman"/>
          <w:sz w:val="24"/>
          <w:szCs w:val="24"/>
          <w:lang w:eastAsia="ru-RU"/>
        </w:rPr>
        <w:t>муниципальными финансами в условиях глобальных вызовов // Вопросы территориального развития. - 2023. - Т. 11. № 1 . с. 1 - 14</w:t>
      </w:r>
    </w:p>
    <w:p w14:paraId="00000086">
      <w:pPr>
        <w:pStyle w:val="ListParagraph"/>
        <w:spacing w:after="0" w:line="240" w:lineRule="auto"/>
        <w:ind w:left="0" w:firstLine="709"/>
        <w:contextualSpacing w:val="off"/>
        <w:jc w:val="both"/>
        <w:rPr>
          <w:rFonts w:ascii="Times New Roman" w:cs="Times New Roman" w:eastAsia="Times New Roman" w:hAnsi="Times New Roman"/>
          <w:sz w:val="24"/>
          <w:szCs w:val="24"/>
          <w:lang w:eastAsia="ru-RU"/>
        </w:rPr>
      </w:pPr>
      <w:r>
        <w:rPr>
          <w:rFonts w:ascii="Times New Roman" w:cs="Times New Roman" w:eastAsia="Times New Roman" w:hAnsi="Times New Roman"/>
          <w:sz w:val="24"/>
          <w:szCs w:val="24"/>
          <w:lang w:eastAsia="ru-RU"/>
        </w:rPr>
        <w:t>3. Гоцко Т.В. Максимова Ю.Ю. Клиентоцентричность - вектор повышения качества управления муниципальными финансами //Вестник ГСГУ</w:t>
      </w:r>
      <w:r>
        <w:rPr>
          <w:rFonts w:ascii="Times New Roman" w:cs="Times New Roman" w:eastAsia="Times New Roman" w:hAnsi="Times New Roman"/>
          <w:sz w:val="24"/>
          <w:szCs w:val="24"/>
          <w:lang w:eastAsia="ru-RU"/>
        </w:rPr>
        <w:t>.- 2024.- № 2 (54).- с. 66-78</w:t>
      </w:r>
    </w:p>
    <w:p w14:paraId="00000087">
      <w:pPr>
        <w:pStyle w:val="ListParagraph"/>
        <w:spacing w:after="0" w:line="240" w:lineRule="auto"/>
        <w:ind w:left="0" w:firstLine="709"/>
        <w:contextualSpacing w:val="off"/>
        <w:jc w:val="both"/>
        <w:rPr>
          <w:rFonts w:ascii="Times New Roman" w:cs="Times New Roman" w:eastAsia="Times New Roman" w:hAnsi="Times New Roman"/>
          <w:sz w:val="24"/>
          <w:szCs w:val="24"/>
          <w:lang w:eastAsia="ru-RU"/>
        </w:rPr>
      </w:pPr>
      <w:r>
        <w:rPr>
          <w:rFonts w:ascii="Times New Roman" w:cs="Times New Roman" w:eastAsia="Times New Roman" w:hAnsi="Times New Roman"/>
          <w:sz w:val="24"/>
          <w:szCs w:val="24"/>
          <w:lang w:eastAsia="ru-RU"/>
        </w:rPr>
        <w:t xml:space="preserve">4. Истомина Н. А. Нормирование оплаты труда в системе муниципальных органов и институтов: современные тенденции // Национальные интересы: приоритеты и безопасность. - 2012. - № 6 (147) - Т. 8 .- с. 44-48 </w:t>
      </w:r>
      <w:r>
        <w:rPr>
          <w:rStyle w:val="Hyperlink"/>
          <w:rFonts w:ascii="Times New Roman" w:cs="Times New Roman" w:eastAsia="Times New Roman" w:hAnsi="Times New Roman"/>
          <w:sz w:val="24"/>
          <w:szCs w:val="24"/>
          <w:lang w:eastAsia="ru-RU"/>
        </w:rPr>
        <w:fldChar w:fldCharType="begin"/>
      </w:r>
      <w:r>
        <w:rPr>
          <w:rStyle w:val="Hyperlink"/>
          <w:rFonts w:ascii="Times New Roman" w:cs="Times New Roman" w:eastAsia="Times New Roman" w:hAnsi="Times New Roman"/>
          <w:sz w:val="24"/>
          <w:szCs w:val="24"/>
          <w:lang w:eastAsia="ru-RU"/>
        </w:rPr>
        <w:instrText xml:space="preserve">HYPERLINK "https://www.elibrary.ru/item.asp?id=17306631" </w:instrText>
      </w:r>
      <w:r>
        <w:rPr>
          <w:rStyle w:val="Hyperlink"/>
          <w:rFonts w:ascii="Times New Roman" w:cs="Times New Roman" w:eastAsia="Times New Roman" w:hAnsi="Times New Roman"/>
          <w:sz w:val="24"/>
          <w:szCs w:val="24"/>
          <w:lang w:eastAsia="ru-RU"/>
        </w:rPr>
        <w:fldChar w:fldCharType="separate"/>
      </w:r>
      <w:r>
        <w:rPr>
          <w:rStyle w:val="Hyperlink"/>
          <w:rFonts w:ascii="Times New Roman" w:cs="Times New Roman" w:eastAsia="Times New Roman" w:hAnsi="Times New Roman"/>
          <w:sz w:val="24"/>
          <w:szCs w:val="24"/>
          <w:lang w:eastAsia="ru-RU"/>
        </w:rPr>
        <w:t>https://www.elibrary.ru/item.asp?id=17306631</w:t>
      </w:r>
      <w:r>
        <w:rPr>
          <w:rFonts w:ascii="Times New Roman" w:cs="Times New Roman" w:eastAsia="Times New Roman" w:hAnsi="Times New Roman"/>
          <w:sz w:val="24"/>
          <w:szCs w:val="24"/>
          <w:lang w:eastAsia="ru-RU"/>
        </w:rPr>
        <w:fldChar w:fldCharType="end"/>
      </w:r>
    </w:p>
    <w:p w14:paraId="00000088">
      <w:pPr>
        <w:pStyle w:val="ListParagraph"/>
        <w:spacing w:after="0" w:line="240" w:lineRule="auto"/>
        <w:ind w:left="0" w:firstLine="709"/>
        <w:contextualSpacing w:val="off"/>
        <w:jc w:val="both"/>
        <w:rPr>
          <w:rFonts w:ascii="Times New Roman" w:cs="Times New Roman" w:hAnsi="Times New Roman"/>
          <w:color w:val="000000"/>
          <w:sz w:val="24"/>
          <w:szCs w:val="24"/>
        </w:rPr>
      </w:pPr>
      <w:r>
        <w:rPr>
          <w:rFonts w:ascii="Times New Roman" w:cs="Times New Roman" w:eastAsia="Times New Roman" w:hAnsi="Times New Roman"/>
          <w:sz w:val="24"/>
          <w:szCs w:val="24"/>
          <w:lang w:eastAsia="ru-RU"/>
        </w:rPr>
        <w:t xml:space="preserve">5. </w:t>
      </w:r>
      <w:r>
        <w:rPr>
          <w:rFonts w:ascii="Times New Roman" w:cs="Times New Roman" w:hAnsi="Times New Roman"/>
          <w:color w:val="000000"/>
          <w:sz w:val="24"/>
          <w:szCs w:val="24"/>
        </w:rPr>
        <w:t xml:space="preserve">Соловьев В.А. Человекоцентричность в публичном управлении: научный дискурс и современные российские практики //Вопросы государственного и муниципального управления  </w:t>
      </w:r>
      <w:r>
        <w:rPr>
          <w:rFonts w:ascii="Times New Roman" w:cs="Times New Roman" w:hAnsi="Times New Roman"/>
          <w:color w:val="000000"/>
          <w:sz w:val="24"/>
          <w:szCs w:val="24"/>
        </w:rPr>
        <w:t>-2025. - № 4.- с.86 - 109</w:t>
      </w:r>
      <w:r>
        <w:rPr>
          <w:rFonts w:ascii="Times New Roman" w:cs="Times New Roman" w:hAnsi="Times New Roman"/>
          <w:color w:val="000000"/>
          <w:sz w:val="24"/>
          <w:szCs w:val="24"/>
        </w:rPr>
        <w:t xml:space="preserve">. – </w:t>
      </w:r>
      <w:r>
        <w:rPr>
          <w:rFonts w:ascii="Times New Roman" w:cs="Times New Roman" w:hAnsi="Times New Roman"/>
          <w:color w:val="000000"/>
          <w:sz w:val="24"/>
          <w:szCs w:val="24"/>
          <w:lang w:val="en-US"/>
        </w:rPr>
        <w:t>doi</w:t>
      </w:r>
      <w:r>
        <w:rPr>
          <w:rFonts w:ascii="Times New Roman" w:cs="Times New Roman" w:hAnsi="Times New Roman"/>
          <w:color w:val="000000"/>
          <w:sz w:val="24"/>
          <w:szCs w:val="24"/>
        </w:rPr>
        <w:t>: 10.17323/1999-5431-2025-0-4-86-109</w:t>
      </w:r>
      <w:r>
        <w:rPr>
          <w:rFonts w:ascii="Times New Roman" w:cs="Times New Roman" w:hAnsi="Times New Roman"/>
          <w:color w:val="000000"/>
          <w:sz w:val="24"/>
          <w:szCs w:val="24"/>
        </w:rPr>
        <w:t xml:space="preserve"> </w:t>
      </w:r>
    </w:p>
    <w:p w14:paraId="00000089">
      <w:pPr>
        <w:pStyle w:val="ListParagraph"/>
        <w:spacing w:after="0" w:line="240" w:lineRule="auto"/>
        <w:ind w:left="0" w:firstLine="709"/>
        <w:contextualSpacing w:val="off"/>
        <w:jc w:val="both"/>
        <w:rPr>
          <w:rFonts w:ascii="Times New Roman" w:cs="Times New Roman" w:eastAsia="Times New Roman" w:hAnsi="Times New Roman"/>
          <w:b/>
          <w:color w:val="000000"/>
          <w:sz w:val="24"/>
          <w:szCs w:val="24"/>
        </w:rPr>
      </w:pPr>
      <w:r>
        <w:rPr>
          <w:rFonts w:ascii="Times New Roman" w:cs="Times New Roman" w:hAnsi="Times New Roman"/>
          <w:color w:val="000000"/>
          <w:sz w:val="24"/>
          <w:szCs w:val="24"/>
        </w:rPr>
        <w:t xml:space="preserve">6. </w:t>
      </w:r>
      <w:r>
        <w:rPr>
          <w:rFonts w:ascii="Times New Roman" w:cs="Times New Roman" w:hAnsi="Times New Roman"/>
          <w:sz w:val="24"/>
          <w:szCs w:val="24"/>
        </w:rPr>
        <w:t xml:space="preserve">Стариков  Е.О. </w:t>
      </w:r>
      <w:r>
        <w:rPr>
          <w:rFonts w:ascii="Times New Roman" w:cs="Times New Roman" w:hAnsi="Times New Roman"/>
          <w:color w:val="000000"/>
          <w:sz w:val="24"/>
          <w:szCs w:val="24"/>
          <w:lang w:val="en-US"/>
        </w:rPr>
        <w:t>IT</w:t>
      </w:r>
      <w:r>
        <w:rPr>
          <w:rFonts w:ascii="Times New Roman" w:cs="Times New Roman" w:hAnsi="Times New Roman"/>
          <w:color w:val="000000"/>
          <w:sz w:val="24"/>
          <w:szCs w:val="24"/>
        </w:rPr>
        <w:t xml:space="preserve">-  </w:t>
      </w:r>
      <w:r>
        <w:rPr>
          <w:rFonts w:ascii="Times New Roman" w:cs="Times New Roman" w:hAnsi="Times New Roman"/>
          <w:color w:val="000000"/>
          <w:sz w:val="24"/>
          <w:szCs w:val="24"/>
        </w:rPr>
        <w:t xml:space="preserve">проекты в государственном секторе:  </w:t>
      </w:r>
      <w:r>
        <w:rPr>
          <w:rFonts w:ascii="Times New Roman" w:cs="Times New Roman" w:hAnsi="Times New Roman"/>
          <w:sz w:val="24"/>
          <w:szCs w:val="24"/>
        </w:rPr>
        <w:t xml:space="preserve">барьеры цифровой трансформации // Е. № 8. Стариков, А.В. Лукьянова // Экономика, предпринимательство </w:t>
      </w:r>
      <w:r>
        <w:rPr>
          <w:rFonts w:ascii="Times New Roman" w:cs="Times New Roman" w:hAnsi="Times New Roman"/>
          <w:sz w:val="24"/>
          <w:szCs w:val="24"/>
        </w:rPr>
        <w:t xml:space="preserve">и право. - 2025.- т.15. № 8 - с. 5303 </w:t>
      </w:r>
      <w:r>
        <w:rPr>
          <w:rFonts w:ascii="Times New Roman" w:cs="Times New Roman" w:hAnsi="Times New Roman"/>
          <w:color w:val="000000"/>
          <w:sz w:val="24"/>
          <w:szCs w:val="24"/>
        </w:rPr>
        <w:t xml:space="preserve"> – </w:t>
      </w:r>
      <w:r>
        <w:rPr>
          <w:rFonts w:ascii="Times New Roman" w:cs="Times New Roman" w:hAnsi="Times New Roman"/>
          <w:color w:val="000000"/>
          <w:sz w:val="24"/>
          <w:szCs w:val="24"/>
          <w:lang w:val="en-US"/>
        </w:rPr>
        <w:t>DOI</w:t>
      </w:r>
      <w:r>
        <w:rPr>
          <w:rFonts w:ascii="Times New Roman" w:cs="Times New Roman" w:hAnsi="Times New Roman"/>
          <w:color w:val="000000"/>
          <w:sz w:val="24"/>
          <w:szCs w:val="24"/>
        </w:rPr>
        <w:t xml:space="preserve"> </w:t>
      </w:r>
      <w:r>
        <w:rPr>
          <w:rFonts w:ascii="Times New Roman" w:cs="Times New Roman" w:hAnsi="Times New Roman"/>
          <w:color w:val="000000"/>
          <w:sz w:val="24"/>
          <w:szCs w:val="24"/>
          <w:lang w:val="en-US"/>
        </w:rPr>
        <w:t>https</w:t>
      </w:r>
      <w:r>
        <w:rPr>
          <w:rFonts w:ascii="Times New Roman" w:cs="Times New Roman" w:hAnsi="Times New Roman"/>
          <w:color w:val="000000"/>
          <w:sz w:val="24"/>
          <w:szCs w:val="24"/>
        </w:rPr>
        <w:t>://</w:t>
      </w:r>
      <w:r>
        <w:rPr>
          <w:rFonts w:ascii="Times New Roman" w:cs="Times New Roman" w:hAnsi="Times New Roman"/>
          <w:color w:val="000000"/>
          <w:sz w:val="24"/>
          <w:szCs w:val="24"/>
          <w:lang w:val="en-US"/>
        </w:rPr>
        <w:t>doi</w:t>
      </w:r>
      <w:r>
        <w:rPr>
          <w:rFonts w:ascii="Times New Roman" w:cs="Times New Roman" w:hAnsi="Times New Roman"/>
          <w:color w:val="000000"/>
          <w:sz w:val="24"/>
          <w:szCs w:val="24"/>
        </w:rPr>
        <w:t xml:space="preserve">. </w:t>
      </w:r>
      <w:r>
        <w:rPr>
          <w:rFonts w:ascii="Times New Roman" w:cs="Times New Roman" w:hAnsi="Times New Roman"/>
          <w:color w:val="000000"/>
          <w:sz w:val="24"/>
          <w:szCs w:val="24"/>
          <w:lang w:val="en-US"/>
        </w:rPr>
        <w:t>org</w:t>
      </w:r>
      <w:r>
        <w:rPr>
          <w:rFonts w:ascii="Times New Roman" w:cs="Times New Roman" w:hAnsi="Times New Roman"/>
          <w:color w:val="000000"/>
          <w:sz w:val="24"/>
          <w:szCs w:val="24"/>
        </w:rPr>
        <w:t>/10.18334/</w:t>
      </w:r>
      <w:r>
        <w:rPr>
          <w:rFonts w:ascii="Times New Roman" w:cs="Times New Roman" w:hAnsi="Times New Roman"/>
          <w:color w:val="000000"/>
          <w:sz w:val="24"/>
          <w:szCs w:val="24"/>
          <w:lang w:val="en-US"/>
        </w:rPr>
        <w:t>epp</w:t>
      </w:r>
      <w:r>
        <w:rPr>
          <w:rFonts w:ascii="Times New Roman" w:cs="Times New Roman" w:hAnsi="Times New Roman"/>
          <w:color w:val="000000"/>
          <w:sz w:val="24"/>
          <w:szCs w:val="24"/>
        </w:rPr>
        <w:t xml:space="preserve">.15.8.123440. – </w:t>
      </w:r>
      <w:r>
        <w:rPr>
          <w:rFonts w:ascii="Times New Roman" w:cs="Times New Roman" w:hAnsi="Times New Roman"/>
          <w:color w:val="000000"/>
          <w:sz w:val="24"/>
          <w:szCs w:val="24"/>
          <w:lang w:val="en-US"/>
        </w:rPr>
        <w:t>EDN</w:t>
      </w:r>
      <w:r>
        <w:rPr>
          <w:rFonts w:ascii="Times New Roman" w:cs="Times New Roman" w:hAnsi="Times New Roman"/>
          <w:color w:val="000000"/>
          <w:sz w:val="24"/>
          <w:szCs w:val="24"/>
        </w:rPr>
        <w:t xml:space="preserve"> </w:t>
      </w:r>
      <w:r>
        <w:rPr>
          <w:rFonts w:ascii="Times New Roman" w:cs="Times New Roman" w:hAnsi="Times New Roman"/>
          <w:color w:val="000000"/>
          <w:sz w:val="24"/>
          <w:szCs w:val="24"/>
          <w:lang w:val="en-US"/>
        </w:rPr>
        <w:t>NHZUIY</w:t>
      </w:r>
      <w:r>
        <w:rPr>
          <w:rFonts w:ascii="Times New Roman" w:cs="Times New Roman" w:hAnsi="Times New Roman"/>
          <w:color w:val="000000"/>
          <w:sz w:val="24"/>
          <w:szCs w:val="24"/>
        </w:rPr>
        <w:t>.</w:t>
      </w:r>
      <w:r>
        <w:rPr>
          <w:rFonts w:ascii="Times New Roman" w:cs="Times New Roman" w:hAnsi="Times New Roman"/>
          <w:color w:val="000000"/>
          <w:sz w:val="24"/>
          <w:szCs w:val="24"/>
        </w:rPr>
        <w:t xml:space="preserve"> </w:t>
      </w:r>
    </w:p>
    <w:p w14:paraId="0000008A">
      <w:pPr>
        <w:shd w:val="clear" w:color="auto" w:fill="ffffff"/>
        <w:spacing w:after="0" w:line="240" w:lineRule="auto"/>
        <w:jc w:val="center"/>
        <w:rPr>
          <w:rFonts w:ascii="Times New Roman" w:cs="Times New Roman" w:eastAsia="Times New Roman" w:hAnsi="Times New Roman"/>
          <w:b/>
          <w:color w:val="000000"/>
          <w:sz w:val="24"/>
          <w:szCs w:val="24"/>
        </w:rPr>
      </w:pPr>
    </w:p>
    <w:p w14:paraId="0000008B">
      <w:pPr>
        <w:shd w:val="clear" w:color="auto" w:fill="ffffff"/>
        <w:spacing w:after="0" w:line="240" w:lineRule="auto"/>
        <w:jc w:val="center"/>
        <w:rPr>
          <w:rFonts w:ascii="Times New Roman" w:cs="Times New Roman" w:eastAsia="Times New Roman" w:hAnsi="Times New Roman"/>
          <w:b/>
          <w:color w:val="000000"/>
          <w:sz w:val="24"/>
          <w:szCs w:val="24"/>
        </w:rPr>
      </w:pPr>
      <w:r>
        <w:rPr>
          <w:rFonts w:ascii="Times New Roman" w:cs="Times New Roman" w:eastAsia="Times New Roman" w:hAnsi="Times New Roman"/>
          <w:b/>
          <w:color w:val="000000"/>
          <w:sz w:val="24"/>
          <w:szCs w:val="24"/>
        </w:rPr>
        <w:t>Информация об авторе</w:t>
      </w:r>
    </w:p>
    <w:p w14:paraId="0000008C">
      <w:pPr>
        <w:shd w:val="clear" w:color="auto" w:fill="ffffff"/>
        <w:spacing w:after="0" w:line="240" w:lineRule="auto"/>
        <w:ind w:firstLine="709"/>
        <w:jc w:val="both"/>
        <w:rPr>
          <w:rFonts w:ascii="Times New Roman" w:cs="Times New Roman" w:eastAsia="Calibri" w:hAnsi="Times New Roman"/>
          <w:color w:val="0000ff"/>
          <w:sz w:val="24"/>
          <w:szCs w:val="24"/>
          <w:shd w:val="clear" w:color="auto" w:fill="ffffff"/>
          <w:lang w:val="en-US"/>
        </w:rPr>
      </w:pPr>
      <w:r>
        <w:rPr>
          <w:rFonts w:ascii="Times New Roman" w:cs="Times New Roman" w:eastAsia="Times New Roman" w:hAnsi="Times New Roman"/>
          <w:color w:val="000000"/>
          <w:sz w:val="24"/>
          <w:szCs w:val="24"/>
        </w:rPr>
        <w:t>Гоцко Татьяна Васильевна (Россия, город Коломна) – к.э.н., доцент кафедры менеджмента и экономики, Государственный социально-гум</w:t>
      </w:r>
      <w:r>
        <w:rPr>
          <w:rFonts w:ascii="Times New Roman" w:cs="Times New Roman" w:eastAsia="Times New Roman" w:hAnsi="Times New Roman"/>
          <w:color w:val="000000"/>
          <w:sz w:val="24"/>
          <w:szCs w:val="24"/>
        </w:rPr>
        <w:t>анитарный университет, г. Коломна, ул.  Зеленая</w:t>
      </w:r>
      <w:r>
        <w:rPr>
          <w:rFonts w:ascii="Times New Roman" w:cs="Times New Roman" w:eastAsia="Times New Roman" w:hAnsi="Times New Roman"/>
          <w:color w:val="000000"/>
          <w:sz w:val="24"/>
          <w:szCs w:val="24"/>
          <w:lang w:val="en-US"/>
        </w:rPr>
        <w:t xml:space="preserve">, </w:t>
      </w:r>
      <w:r>
        <w:rPr>
          <w:rFonts w:ascii="Times New Roman" w:cs="Times New Roman" w:eastAsia="Times New Roman" w:hAnsi="Times New Roman"/>
          <w:color w:val="000000"/>
          <w:sz w:val="24"/>
          <w:szCs w:val="24"/>
        </w:rPr>
        <w:t>д</w:t>
      </w:r>
      <w:r>
        <w:rPr>
          <w:rFonts w:ascii="Times New Roman" w:cs="Times New Roman" w:eastAsia="Times New Roman" w:hAnsi="Times New Roman"/>
          <w:color w:val="000000"/>
          <w:sz w:val="24"/>
          <w:szCs w:val="24"/>
          <w:lang w:val="en-US"/>
        </w:rPr>
        <w:t xml:space="preserve">. </w:t>
      </w:r>
      <w:r>
        <w:rPr>
          <w:rFonts w:ascii="Times New Roman" w:cs="Times New Roman" w:eastAsia="Calibri" w:hAnsi="Times New Roman"/>
          <w:sz w:val="24"/>
          <w:szCs w:val="24"/>
          <w:shd w:val="clear" w:color="auto" w:fill="ffffff"/>
        </w:rPr>
        <w:t>д</w:t>
      </w:r>
      <w:r>
        <w:rPr>
          <w:rFonts w:ascii="Times New Roman" w:cs="Times New Roman" w:eastAsia="Calibri" w:hAnsi="Times New Roman"/>
          <w:sz w:val="24"/>
          <w:szCs w:val="24"/>
          <w:shd w:val="clear" w:color="auto" w:fill="ffffff"/>
          <w:lang w:val="en-US"/>
        </w:rPr>
        <w:t xml:space="preserve">. 30,  </w:t>
      </w:r>
      <w:r>
        <w:rPr>
          <w:rFonts w:ascii="Times New Roman" w:cs="Times New Roman" w:eastAsia="Calibri" w:hAnsi="Times New Roman"/>
          <w:color w:val="0000ff"/>
          <w:sz w:val="24"/>
          <w:szCs w:val="24"/>
          <w:shd w:val="clear" w:color="auto" w:fill="ffffff"/>
          <w:lang w:val="en-US"/>
        </w:rPr>
        <w:fldChar w:fldCharType="begin"/>
      </w:r>
      <w:r>
        <w:rPr>
          <w:rFonts w:ascii="Times New Roman" w:cs="Times New Roman" w:eastAsia="Calibri" w:hAnsi="Times New Roman"/>
          <w:color w:val="0000ff"/>
          <w:sz w:val="24"/>
          <w:szCs w:val="24"/>
          <w:shd w:val="clear" w:color="auto" w:fill="ffffff"/>
          <w:lang w:val="en-US"/>
        </w:rPr>
        <w:instrText xml:space="preserve">HYPERLINK "mailto:gotskotv@mail.ru" </w:instrText>
      </w:r>
      <w:r>
        <w:rPr>
          <w:rFonts w:ascii="Times New Roman" w:cs="Times New Roman" w:eastAsia="Calibri" w:hAnsi="Times New Roman"/>
          <w:color w:val="0000ff"/>
          <w:sz w:val="24"/>
          <w:szCs w:val="24"/>
          <w:shd w:val="clear" w:color="auto" w:fill="ffffff"/>
          <w:lang w:val="en-US"/>
        </w:rPr>
        <w:fldChar w:fldCharType="separate"/>
      </w:r>
      <w:r>
        <w:rPr>
          <w:rFonts w:ascii="Times New Roman" w:cs="Times New Roman" w:eastAsia="Calibri" w:hAnsi="Times New Roman"/>
          <w:color w:val="0000ff"/>
          <w:sz w:val="24"/>
          <w:szCs w:val="24"/>
          <w:shd w:val="clear" w:color="auto" w:fill="ffffff"/>
          <w:lang w:val="en-US"/>
        </w:rPr>
        <w:t>gotskotv</w:t>
      </w:r>
      <w:r>
        <w:rPr>
          <w:rFonts w:ascii="Times New Roman" w:cs="Times New Roman" w:eastAsia="Calibri" w:hAnsi="Times New Roman"/>
          <w:color w:val="0000ff"/>
          <w:sz w:val="24"/>
          <w:szCs w:val="24"/>
          <w:shd w:val="clear" w:color="auto" w:fill="ffffff"/>
          <w:lang w:val="en-US"/>
        </w:rPr>
        <w:t>@</w:t>
      </w:r>
      <w:r>
        <w:rPr>
          <w:rFonts w:ascii="Times New Roman" w:cs="Times New Roman" w:eastAsia="Calibri" w:hAnsi="Times New Roman"/>
          <w:color w:val="0000ff"/>
          <w:sz w:val="24"/>
          <w:szCs w:val="24"/>
          <w:shd w:val="clear" w:color="auto" w:fill="ffffff"/>
          <w:lang w:val="en-US"/>
        </w:rPr>
        <w:t>mail</w:t>
      </w:r>
      <w:r>
        <w:rPr>
          <w:rFonts w:ascii="Times New Roman" w:cs="Times New Roman" w:eastAsia="Calibri" w:hAnsi="Times New Roman"/>
          <w:color w:val="0000ff"/>
          <w:sz w:val="24"/>
          <w:szCs w:val="24"/>
          <w:shd w:val="clear" w:color="auto" w:fill="ffffff"/>
          <w:lang w:val="en-US"/>
        </w:rPr>
        <w:t>.</w:t>
      </w:r>
      <w:r>
        <w:rPr>
          <w:rFonts w:ascii="Times New Roman" w:cs="Times New Roman" w:eastAsia="Calibri" w:hAnsi="Times New Roman"/>
          <w:color w:val="0000ff"/>
          <w:sz w:val="24"/>
          <w:szCs w:val="24"/>
          <w:shd w:val="clear" w:color="auto" w:fill="ffffff"/>
          <w:lang w:val="en-US"/>
        </w:rPr>
        <w:t>ru</w:t>
      </w:r>
      <w:r>
        <w:rPr>
          <w:rFonts w:ascii="Times New Roman" w:cs="Times New Roman" w:eastAsia="Calibri" w:hAnsi="Times New Roman"/>
          <w:color w:val="0000ff"/>
          <w:sz w:val="24"/>
          <w:szCs w:val="24"/>
          <w:shd w:val="clear" w:color="auto" w:fill="ffffff"/>
          <w:lang w:val="en-US"/>
        </w:rPr>
        <w:fldChar w:fldCharType="end"/>
      </w:r>
    </w:p>
    <w:p w14:paraId="0000008D">
      <w:pPr>
        <w:pBdr>
          <w:top w:val="none" w:sz="4" w:space="0"/>
          <w:left w:val="none" w:sz="4" w:space="0"/>
          <w:bottom w:val="none" w:sz="4" w:space="0"/>
          <w:right w:val="none" w:sz="4" w:space="0"/>
          <w:between w:val="none" w:sz="4" w:space="0"/>
          <w:bar w:val="none" w:sz="4" w:space="0"/>
        </w:pBdr>
        <w:spacing w:after="0" w:line="240" w:lineRule="auto"/>
        <w:jc w:val="right"/>
        <w:rPr>
          <w:rFonts w:ascii="Times New Roman" w:cs="Times New Roman" w:hAnsi="Times New Roman"/>
          <w:b/>
          <w:bCs/>
          <w:color w:val="000000"/>
          <w:sz w:val="24"/>
          <w:szCs w:val="24"/>
          <w:lang w:val="en-US"/>
        </w:rPr>
      </w:pPr>
      <w:r>
        <w:rPr>
          <w:rFonts w:ascii="Times New Roman" w:cs="Times New Roman" w:hAnsi="Times New Roman"/>
          <w:b/>
          <w:bCs/>
          <w:color w:val="000000"/>
          <w:sz w:val="24"/>
          <w:szCs w:val="24"/>
          <w:lang w:val="en-US"/>
        </w:rPr>
        <w:t>Gotsko T.V.</w:t>
      </w:r>
    </w:p>
    <w:p w14:paraId="0000008E">
      <w:pPr>
        <w:pBdr>
          <w:top w:val="none" w:sz="4" w:space="0"/>
          <w:left w:val="none" w:sz="4" w:space="0"/>
          <w:bottom w:val="none" w:sz="4" w:space="0"/>
          <w:right w:val="none" w:sz="4" w:space="0"/>
          <w:between w:val="none" w:sz="4" w:space="0"/>
          <w:bar w:val="none" w:sz="4" w:space="0"/>
        </w:pBdr>
        <w:spacing w:after="0" w:line="240" w:lineRule="auto"/>
        <w:jc w:val="center"/>
        <w:rPr>
          <w:rFonts w:ascii="Times New Roman" w:cs="Times New Roman" w:hAnsi="Times New Roman"/>
          <w:b/>
          <w:bCs/>
          <w:color w:val="000000"/>
          <w:sz w:val="18"/>
          <w:lang w:val="en-US"/>
        </w:rPr>
      </w:pPr>
      <w:r>
        <w:rPr>
          <w:rFonts w:ascii="Times New Roman" w:cs="Times New Roman" w:hAnsi="Times New Roman"/>
          <w:b/>
          <w:bCs/>
          <w:color w:val="000000"/>
          <w:sz w:val="21"/>
          <w:lang w:val="en-US"/>
        </w:rPr>
        <w:t>PROBLEMS OF REGULATION IN FINANCIAL BODIES OF MUNICIPAL EDUCATIONAL INSTITUTIONS</w:t>
      </w:r>
      <w:r>
        <w:rPr>
          <w:rFonts w:ascii="Times New Roman" w:cs="Times New Roman" w:hAnsi="Times New Roman"/>
          <w:b/>
          <w:bCs/>
          <w:color w:val="000000"/>
          <w:sz w:val="18"/>
          <w:lang w:val="en-US"/>
        </w:rPr>
        <w:t xml:space="preserve"> </w:t>
      </w:r>
    </w:p>
    <w:p w14:paraId="0000008F">
      <w:pPr>
        <w:pBdr>
          <w:top w:val="none" w:sz="4" w:space="0"/>
          <w:left w:val="none" w:sz="4" w:space="0"/>
          <w:bottom w:val="none" w:sz="4" w:space="0"/>
          <w:right w:val="none" w:sz="4" w:space="0"/>
          <w:between w:val="none" w:sz="4" w:space="0"/>
          <w:bar w:val="none" w:sz="4" w:space="0"/>
        </w:pBdr>
        <w:spacing w:after="0" w:line="240" w:lineRule="auto"/>
        <w:rPr>
          <w:rFonts w:ascii="Times New Roman" w:cs="Times New Roman" w:hAnsi="Times New Roman"/>
          <w:color w:val="000000"/>
          <w:sz w:val="18"/>
          <w:lang w:val="en-US"/>
        </w:rPr>
      </w:pPr>
    </w:p>
    <w:p w14:paraId="00000090">
      <w:pPr>
        <w:pBdr>
          <w:top w:val="none" w:sz="4" w:space="0"/>
          <w:left w:val="none" w:sz="4" w:space="0"/>
          <w:bottom w:val="none" w:sz="4" w:space="0"/>
          <w:right w:val="none" w:sz="4" w:space="0"/>
          <w:between w:val="none" w:sz="4" w:space="0"/>
          <w:bar w:val="none" w:sz="4" w:space="0"/>
        </w:pBdr>
        <w:spacing w:after="0" w:line="240" w:lineRule="auto"/>
        <w:ind w:firstLine="709"/>
        <w:jc w:val="both"/>
        <w:rPr>
          <w:rFonts w:ascii="Times New Roman" w:cs="Times New Roman" w:eastAsia="Times New Roman" w:hAnsi="Times New Roman"/>
          <w:caps/>
          <w:color w:val="000000"/>
          <w:sz w:val="28"/>
          <w:szCs w:val="28"/>
          <w:lang w:val="en-US" w:eastAsia="ru-RU"/>
        </w:rPr>
      </w:pPr>
      <w:r>
        <w:rPr>
          <w:rFonts w:ascii="Times New Roman" w:cs="Times New Roman" w:hAnsi="Times New Roman"/>
          <w:b/>
          <w:bCs/>
          <w:color w:val="000000"/>
          <w:sz w:val="21"/>
          <w:lang w:val="en-US"/>
        </w:rPr>
        <w:t>Abstract</w:t>
      </w:r>
      <w:r>
        <w:rPr>
          <w:rFonts w:ascii="Times New Roman" w:cs="Times New Roman" w:hAnsi="Times New Roman"/>
          <w:color w:val="000000"/>
          <w:sz w:val="21"/>
          <w:lang w:val="en-US"/>
        </w:rPr>
        <w:t xml:space="preserve">: The article substantiates the </w:t>
      </w:r>
      <w:r>
        <w:rPr>
          <w:rFonts w:ascii="Times New Roman" w:cs="Times New Roman" w:hAnsi="Times New Roman"/>
          <w:color w:val="000000"/>
          <w:sz w:val="21"/>
          <w:lang w:val="en-US"/>
        </w:rPr>
        <w:t>expediency of extending the regulation to financial bodies in order to ensure the relationship between the volume of their financial support due to the projected trend of reducing municipal employees due to the redistribution of powers and the digitalizati</w:t>
      </w:r>
      <w:r>
        <w:rPr>
          <w:rFonts w:ascii="Times New Roman" w:cs="Times New Roman" w:hAnsi="Times New Roman"/>
          <w:color w:val="000000"/>
          <w:sz w:val="21"/>
          <w:lang w:val="en-US"/>
        </w:rPr>
        <w:t>on of the budget process. Keywords: regulation, financial bodies, efficiency, budget process, problems.</w:t>
      </w:r>
      <w:r>
        <w:rPr>
          <w:rFonts w:ascii="Times New Roman" w:cs="Times New Roman" w:hAnsi="Times New Roman"/>
          <w:color w:val="000000"/>
          <w:sz w:val="18"/>
          <w:lang w:val="en-US"/>
        </w:rPr>
        <w:t xml:space="preserve"> </w:t>
      </w:r>
    </w:p>
    <w:p w14:paraId="00000091">
      <w:pPr>
        <w:pBdr>
          <w:top w:val="none" w:sz="4" w:space="0"/>
          <w:left w:val="none" w:sz="4" w:space="0"/>
          <w:bottom w:val="none" w:sz="4" w:space="0"/>
          <w:right w:val="none" w:sz="4" w:space="0"/>
          <w:between w:val="none" w:sz="4" w:space="0"/>
          <w:bar w:val="none" w:sz="4" w:space="0"/>
        </w:pBdr>
        <w:spacing w:after="0" w:line="240" w:lineRule="auto"/>
        <w:ind w:firstLine="709"/>
        <w:jc w:val="both"/>
        <w:rPr>
          <w:rFonts w:ascii="Times New Roman" w:cs="Times New Roman" w:hAnsi="Times New Roman"/>
          <w:i/>
          <w:iCs/>
          <w:color w:val="000000"/>
          <w:sz w:val="24"/>
          <w:szCs w:val="24"/>
          <w:lang w:val="en-US"/>
        </w:rPr>
      </w:pPr>
      <w:r>
        <w:rPr>
          <w:rFonts w:ascii="Times New Roman" w:cs="Times New Roman" w:hAnsi="Times New Roman"/>
          <w:b/>
          <w:bCs/>
          <w:color w:val="000000"/>
          <w:sz w:val="24"/>
          <w:szCs w:val="24"/>
          <w:lang w:val="en-US"/>
        </w:rPr>
        <w:t>W</w:t>
      </w:r>
      <w:r>
        <w:rPr>
          <w:rFonts w:ascii="Times New Roman" w:cs="Times New Roman" w:hAnsi="Times New Roman"/>
          <w:b/>
          <w:bCs/>
          <w:i/>
          <w:iCs/>
          <w:color w:val="000000"/>
          <w:sz w:val="24"/>
          <w:szCs w:val="24"/>
          <w:lang w:val="en-US"/>
        </w:rPr>
        <w:t>ords</w:t>
      </w:r>
      <w:r>
        <w:rPr>
          <w:rFonts w:ascii="Times New Roman" w:cs="Times New Roman" w:hAnsi="Times New Roman"/>
          <w:i/>
          <w:iCs/>
          <w:color w:val="000000"/>
          <w:sz w:val="24"/>
          <w:szCs w:val="24"/>
          <w:lang w:val="en-US"/>
        </w:rPr>
        <w:t>: regulation, financial authorities, efficiency, budget process, problems.</w:t>
      </w:r>
    </w:p>
    <w:p w14:paraId="00000092">
      <w:pPr>
        <w:pBdr>
          <w:top w:val="none" w:sz="4" w:space="0"/>
          <w:left w:val="none" w:sz="4" w:space="0"/>
          <w:bottom w:val="none" w:sz="4" w:space="0"/>
          <w:right w:val="none" w:sz="4" w:space="0"/>
          <w:between w:val="none" w:sz="4" w:space="0"/>
          <w:bar w:val="none" w:sz="4" w:space="0"/>
        </w:pBdr>
        <w:spacing w:after="0" w:line="240" w:lineRule="auto"/>
        <w:ind w:firstLine="709"/>
        <w:jc w:val="both"/>
        <w:rPr>
          <w:rFonts w:ascii="Times New Roman" w:cs="Times New Roman" w:hAnsi="Times New Roman"/>
          <w:i/>
          <w:iCs/>
          <w:color w:val="000000"/>
          <w:sz w:val="24"/>
          <w:szCs w:val="24"/>
          <w:lang w:val="en-US"/>
        </w:rPr>
      </w:pPr>
    </w:p>
    <w:p w14:paraId="00000093">
      <w:pPr>
        <w:pBdr>
          <w:top w:val="none" w:sz="4" w:space="0"/>
          <w:left w:val="none" w:sz="4" w:space="0"/>
          <w:bottom w:val="none" w:sz="4" w:space="0"/>
          <w:right w:val="none" w:sz="4" w:space="0"/>
          <w:between w:val="none" w:sz="4" w:space="0"/>
          <w:bar w:val="none" w:sz="4" w:space="0"/>
        </w:pBdr>
        <w:spacing w:after="0" w:line="240" w:lineRule="auto"/>
        <w:jc w:val="center"/>
        <w:rPr>
          <w:rFonts w:ascii="Times New Roman" w:cs="Times New Roman" w:hAnsi="Times New Roman"/>
          <w:color w:val="000000"/>
          <w:sz w:val="18"/>
          <w:lang w:val="en-US"/>
        </w:rPr>
      </w:pPr>
      <w:r>
        <w:rPr>
          <w:rFonts w:ascii="Times New Roman" w:cs="Times New Roman" w:hAnsi="Times New Roman"/>
          <w:b/>
          <w:bCs/>
          <w:color w:val="000000"/>
          <w:sz w:val="24"/>
          <w:szCs w:val="24"/>
          <w:lang w:val="en-US"/>
        </w:rPr>
        <w:t>Information about the author</w:t>
      </w:r>
      <w:r>
        <w:rPr>
          <w:rFonts w:ascii="Times New Roman" w:cs="Times New Roman" w:hAnsi="Times New Roman"/>
          <w:color w:val="000000"/>
          <w:sz w:val="18"/>
          <w:lang w:val="en-US"/>
        </w:rPr>
        <w:t xml:space="preserve"> </w:t>
      </w:r>
    </w:p>
    <w:p w14:paraId="00000094">
      <w:pPr>
        <w:pBdr>
          <w:top w:val="none" w:sz="4" w:space="0"/>
          <w:left w:val="none" w:sz="4" w:space="0"/>
          <w:bottom w:val="none" w:sz="4" w:space="0"/>
          <w:right w:val="none" w:sz="4" w:space="0"/>
          <w:between w:val="none" w:sz="4" w:space="0"/>
          <w:bar w:val="none" w:sz="4" w:space="0"/>
        </w:pBdr>
        <w:spacing w:after="0" w:line="240" w:lineRule="auto"/>
        <w:ind w:firstLine="709"/>
        <w:jc w:val="both"/>
        <w:rPr>
          <w:rFonts w:ascii="Times New Roman" w:cs="Times New Roman" w:hAnsi="Times New Roman"/>
          <w:color w:val="000000"/>
          <w:sz w:val="18"/>
          <w:lang w:val="en-US"/>
        </w:rPr>
      </w:pPr>
      <w:r>
        <w:rPr>
          <w:rFonts w:ascii="Times New Roman" w:cs="Times New Roman" w:hAnsi="Times New Roman"/>
          <w:color w:val="000000"/>
          <w:sz w:val="21"/>
          <w:lang w:val="en-US"/>
        </w:rPr>
        <w:t>Gotsko</w:t>
      </w:r>
      <w:r>
        <w:rPr>
          <w:rFonts w:ascii="Times New Roman" w:cs="Times New Roman" w:hAnsi="Times New Roman"/>
          <w:color w:val="000000"/>
          <w:sz w:val="21"/>
          <w:lang w:val="en-US"/>
        </w:rPr>
        <w:t xml:space="preserve"> Tatyana </w:t>
      </w:r>
      <w:r>
        <w:rPr>
          <w:rFonts w:ascii="Times New Roman" w:cs="Times New Roman" w:hAnsi="Times New Roman"/>
          <w:color w:val="000000"/>
          <w:sz w:val="21"/>
          <w:lang w:val="en-US"/>
        </w:rPr>
        <w:t>Vasilyevna</w:t>
      </w:r>
      <w:r>
        <w:rPr>
          <w:rFonts w:ascii="Times New Roman" w:cs="Times New Roman" w:hAnsi="Times New Roman"/>
          <w:color w:val="000000"/>
          <w:sz w:val="21"/>
          <w:lang w:val="en-US"/>
        </w:rPr>
        <w:t xml:space="preserve"> (Russia, Ko</w:t>
      </w:r>
      <w:r>
        <w:rPr>
          <w:rFonts w:ascii="Times New Roman" w:cs="Times New Roman" w:hAnsi="Times New Roman"/>
          <w:color w:val="000000"/>
          <w:sz w:val="21"/>
          <w:lang w:val="en-US"/>
        </w:rPr>
        <w:t>lomna) – PhD in Economics, Associate Professor of the Department of Management and Economics, State University of Social Sciences and Humanities, Kolomna, Zelenaya Street, 30, gotskotv@mail.ru</w:t>
      </w:r>
      <w:r>
        <w:rPr>
          <w:rFonts w:ascii="Times New Roman" w:cs="Times New Roman" w:hAnsi="Times New Roman"/>
          <w:color w:val="000000"/>
          <w:sz w:val="18"/>
          <w:lang w:val="en-US"/>
        </w:rPr>
        <w:t xml:space="preserve"> </w:t>
      </w:r>
    </w:p>
    <w:p w14:paraId="00000095">
      <w:pPr>
        <w:pBdr>
          <w:top w:val="none" w:sz="4" w:space="0"/>
          <w:left w:val="none" w:sz="4" w:space="0"/>
          <w:bottom w:val="none" w:sz="4" w:space="0"/>
          <w:right w:val="none" w:sz="4" w:space="0"/>
          <w:between w:val="none" w:sz="4" w:space="0"/>
          <w:bar w:val="none" w:sz="4" w:space="0"/>
        </w:pBdr>
        <w:spacing w:after="0" w:line="240" w:lineRule="auto"/>
        <w:jc w:val="both"/>
        <w:rPr>
          <w:rFonts w:ascii="Times New Roman" w:cs="Times New Roman" w:hAnsi="Times New Roman"/>
          <w:i/>
          <w:iCs/>
          <w:color w:val="000000"/>
          <w:sz w:val="24"/>
          <w:szCs w:val="24"/>
          <w:lang w:val="en-US"/>
        </w:rPr>
      </w:pPr>
    </w:p>
    <w:p w14:paraId="00000096">
      <w:pPr>
        <w:pBdr>
          <w:top w:val="none" w:sz="4" w:space="0"/>
          <w:left w:val="none" w:sz="4" w:space="0"/>
          <w:bottom w:val="none" w:sz="4" w:space="0"/>
          <w:right w:val="none" w:sz="4" w:space="0"/>
          <w:between w:val="none" w:sz="4" w:space="0"/>
          <w:bar w:val="none" w:sz="4" w:space="0"/>
        </w:pBdr>
        <w:spacing w:after="0" w:line="240" w:lineRule="auto"/>
        <w:jc w:val="center"/>
        <w:rPr>
          <w:rFonts w:ascii="Times New Roman" w:cs="Times New Roman" w:hAnsi="Times New Roman"/>
          <w:b/>
          <w:bCs/>
          <w:color w:val="000000"/>
          <w:sz w:val="24"/>
          <w:szCs w:val="24"/>
          <w:lang w:val="en-US"/>
        </w:rPr>
      </w:pPr>
      <w:r>
        <w:rPr>
          <w:rFonts w:ascii="Times New Roman" w:cs="Times New Roman" w:hAnsi="Times New Roman"/>
          <w:b/>
          <w:bCs/>
          <w:color w:val="000000"/>
          <w:sz w:val="24"/>
          <w:szCs w:val="24"/>
          <w:lang w:val="en-US"/>
        </w:rPr>
        <w:t xml:space="preserve">Bibliographic list </w:t>
      </w:r>
    </w:p>
    <w:p w14:paraId="00000097">
      <w:pPr>
        <w:pBdr>
          <w:top w:val="none" w:sz="4" w:space="0"/>
          <w:left w:val="none" w:sz="4" w:space="0"/>
          <w:bottom w:val="none" w:sz="4" w:space="0"/>
          <w:right w:val="none" w:sz="4" w:space="0"/>
          <w:between w:val="none" w:sz="4" w:space="0"/>
          <w:bar w:val="none" w:sz="4" w:space="0"/>
        </w:pBdr>
        <w:spacing w:after="0" w:line="240" w:lineRule="auto"/>
        <w:ind w:firstLine="709"/>
        <w:jc w:val="both"/>
        <w:rPr>
          <w:rFonts w:ascii="Times New Roman" w:cs="Times New Roman" w:hAnsi="Times New Roman"/>
          <w:color w:val="000000"/>
          <w:sz w:val="24"/>
          <w:szCs w:val="24"/>
          <w:lang w:val="en-US"/>
        </w:rPr>
      </w:pPr>
      <w:r>
        <w:rPr>
          <w:rFonts w:ascii="Times New Roman" w:cs="Times New Roman" w:hAnsi="Times New Roman"/>
          <w:color w:val="000000"/>
          <w:sz w:val="24"/>
          <w:szCs w:val="24"/>
          <w:lang w:val="en-US"/>
        </w:rPr>
        <w:t xml:space="preserve">1. Budget Code of the Russian </w:t>
      </w:r>
      <w:r>
        <w:rPr>
          <w:rFonts w:ascii="Times New Roman" w:cs="Times New Roman" w:hAnsi="Times New Roman"/>
          <w:color w:val="000000"/>
          <w:sz w:val="24"/>
          <w:szCs w:val="24"/>
          <w:lang w:val="en-US"/>
        </w:rPr>
        <w:t xml:space="preserve">Federation dated July 31, 1998, No. 145-FZ https://www.consultant.ru/document/cons_doc_LAW_19702/?ysclid=lpntwm6rxh779917747 </w:t>
      </w:r>
    </w:p>
    <w:p w14:paraId="00000098">
      <w:pPr>
        <w:pBdr>
          <w:top w:val="none" w:sz="4" w:space="0"/>
          <w:left w:val="none" w:sz="4" w:space="0"/>
          <w:bottom w:val="none" w:sz="4" w:space="0"/>
          <w:right w:val="none" w:sz="4" w:space="0"/>
          <w:between w:val="none" w:sz="4" w:space="0"/>
          <w:bar w:val="none" w:sz="4" w:space="0"/>
        </w:pBdr>
        <w:spacing w:after="0" w:line="240" w:lineRule="auto"/>
        <w:ind w:firstLine="709"/>
        <w:jc w:val="both"/>
        <w:rPr>
          <w:rFonts w:ascii="Times New Roman" w:cs="Times New Roman" w:hAnsi="Times New Roman"/>
          <w:color w:val="000000"/>
          <w:sz w:val="24"/>
          <w:szCs w:val="24"/>
          <w:lang w:val="en-US"/>
        </w:rPr>
      </w:pPr>
      <w:r>
        <w:rPr>
          <w:rFonts w:ascii="Times New Roman" w:cs="Times New Roman" w:hAnsi="Times New Roman"/>
          <w:color w:val="000000"/>
          <w:sz w:val="24"/>
          <w:szCs w:val="24"/>
          <w:lang w:val="en-US"/>
        </w:rPr>
        <w:t>2. Gotsko T.V. Key Trends in Municipal Finance Management in the Face of Global Challenges // Issues of Territorial Developmen</w:t>
      </w:r>
      <w:r>
        <w:rPr>
          <w:rFonts w:ascii="Times New Roman" w:cs="Times New Roman" w:hAnsi="Times New Roman"/>
          <w:color w:val="000000"/>
          <w:sz w:val="24"/>
          <w:szCs w:val="24"/>
          <w:lang w:val="en-US"/>
        </w:rPr>
        <w:t xml:space="preserve">t. - 2023. - Vol. 11. No. 1. pp. 1 - 14 </w:t>
      </w:r>
    </w:p>
    <w:p w14:paraId="00000099">
      <w:pPr>
        <w:pBdr>
          <w:top w:val="none" w:sz="4" w:space="0"/>
          <w:left w:val="none" w:sz="4" w:space="0"/>
          <w:bottom w:val="none" w:sz="4" w:space="0"/>
          <w:right w:val="none" w:sz="4" w:space="0"/>
          <w:between w:val="none" w:sz="4" w:space="0"/>
          <w:bar w:val="none" w:sz="4" w:space="0"/>
        </w:pBdr>
        <w:spacing w:after="0" w:line="240" w:lineRule="auto"/>
        <w:ind w:firstLine="709"/>
        <w:jc w:val="both"/>
        <w:rPr>
          <w:rFonts w:ascii="Times New Roman" w:cs="Times New Roman" w:hAnsi="Times New Roman"/>
          <w:color w:val="000000"/>
          <w:sz w:val="24"/>
          <w:szCs w:val="24"/>
          <w:lang w:val="en-US"/>
        </w:rPr>
      </w:pPr>
      <w:r>
        <w:rPr>
          <w:rFonts w:ascii="Times New Roman" w:cs="Times New Roman" w:hAnsi="Times New Roman"/>
          <w:color w:val="000000"/>
          <w:sz w:val="24"/>
          <w:szCs w:val="24"/>
          <w:lang w:val="en-US"/>
        </w:rPr>
        <w:t xml:space="preserve">3. </w:t>
      </w:r>
      <w:r>
        <w:rPr>
          <w:rFonts w:ascii="Times New Roman" w:cs="Times New Roman" w:hAnsi="Times New Roman"/>
          <w:color w:val="000000"/>
          <w:sz w:val="24"/>
          <w:szCs w:val="24"/>
          <w:lang w:val="en-US"/>
        </w:rPr>
        <w:t>Gotsko</w:t>
      </w:r>
      <w:r>
        <w:rPr>
          <w:rFonts w:ascii="Times New Roman" w:cs="Times New Roman" w:hAnsi="Times New Roman"/>
          <w:color w:val="000000"/>
          <w:sz w:val="24"/>
          <w:szCs w:val="24"/>
          <w:lang w:val="en-US"/>
        </w:rPr>
        <w:t xml:space="preserve"> T.V. </w:t>
      </w:r>
      <w:r>
        <w:rPr>
          <w:rFonts w:ascii="Times New Roman" w:cs="Times New Roman" w:hAnsi="Times New Roman"/>
          <w:color w:val="000000"/>
          <w:sz w:val="24"/>
          <w:szCs w:val="24"/>
          <w:lang w:val="en-US"/>
        </w:rPr>
        <w:t>Maksimova</w:t>
      </w:r>
      <w:r>
        <w:rPr>
          <w:rFonts w:ascii="Times New Roman" w:cs="Times New Roman" w:hAnsi="Times New Roman"/>
          <w:color w:val="000000"/>
          <w:sz w:val="24"/>
          <w:szCs w:val="24"/>
          <w:lang w:val="en-US"/>
        </w:rPr>
        <w:t xml:space="preserve"> </w:t>
      </w:r>
      <w:r>
        <w:rPr>
          <w:rFonts w:ascii="Times New Roman" w:cs="Times New Roman" w:hAnsi="Times New Roman"/>
          <w:color w:val="000000"/>
          <w:sz w:val="24"/>
          <w:szCs w:val="24"/>
          <w:lang w:val="en-US"/>
        </w:rPr>
        <w:t>Yu.Yu</w:t>
      </w:r>
      <w:r>
        <w:rPr>
          <w:rFonts w:ascii="Times New Roman" w:cs="Times New Roman" w:hAnsi="Times New Roman"/>
          <w:color w:val="000000"/>
          <w:sz w:val="24"/>
          <w:szCs w:val="24"/>
          <w:lang w:val="en-US"/>
        </w:rPr>
        <w:t>. Customer Centricity - a Vector of Improving the Quality of Municipal Finance Management //</w:t>
      </w:r>
      <w:r>
        <w:rPr>
          <w:rFonts w:ascii="Times New Roman" w:cs="Times New Roman" w:hAnsi="Times New Roman"/>
          <w:color w:val="000000"/>
          <w:sz w:val="24"/>
          <w:szCs w:val="24"/>
          <w:lang w:val="en-US"/>
        </w:rPr>
        <w:t>Vestnik</w:t>
      </w:r>
      <w:r>
        <w:rPr>
          <w:rFonts w:ascii="Times New Roman" w:cs="Times New Roman" w:hAnsi="Times New Roman"/>
          <w:color w:val="000000"/>
          <w:sz w:val="24"/>
          <w:szCs w:val="24"/>
          <w:lang w:val="en-US"/>
        </w:rPr>
        <w:t xml:space="preserve"> GSGU</w:t>
      </w:r>
      <w:r>
        <w:rPr>
          <w:rFonts w:ascii="Times New Roman" w:cs="Times New Roman" w:hAnsi="Times New Roman"/>
          <w:color w:val="000000"/>
          <w:sz w:val="24"/>
          <w:szCs w:val="24"/>
          <w:lang w:val="en-US"/>
        </w:rPr>
        <w:t>.-</w:t>
      </w:r>
      <w:r>
        <w:rPr>
          <w:rFonts w:ascii="Times New Roman" w:cs="Times New Roman" w:hAnsi="Times New Roman"/>
          <w:color w:val="000000"/>
          <w:sz w:val="24"/>
          <w:szCs w:val="24"/>
          <w:lang w:val="en-US"/>
        </w:rPr>
        <w:t xml:space="preserve"> 2024.- No. 2 (54).- p. 66-78</w:t>
      </w:r>
    </w:p>
    <w:p w14:paraId="0000009A">
      <w:pPr>
        <w:pBdr>
          <w:top w:val="none" w:sz="4" w:space="0"/>
          <w:left w:val="none" w:sz="4" w:space="0"/>
          <w:bottom w:val="none" w:sz="4" w:space="0"/>
          <w:right w:val="none" w:sz="4" w:space="0"/>
          <w:between w:val="none" w:sz="4" w:space="0"/>
          <w:bar w:val="none" w:sz="4" w:space="0"/>
        </w:pBdr>
        <w:spacing w:after="0" w:line="240" w:lineRule="auto"/>
        <w:ind w:firstLine="709"/>
        <w:jc w:val="both"/>
        <w:rPr>
          <w:rFonts w:ascii="Times New Roman" w:cs="Times New Roman" w:hAnsi="Times New Roman"/>
          <w:color w:val="000000"/>
          <w:sz w:val="24"/>
          <w:szCs w:val="24"/>
          <w:lang w:val="en-US"/>
        </w:rPr>
      </w:pPr>
      <w:r>
        <w:rPr>
          <w:rFonts w:ascii="Times New Roman" w:cs="Times New Roman" w:hAnsi="Times New Roman"/>
          <w:color w:val="000000"/>
          <w:sz w:val="24"/>
          <w:szCs w:val="24"/>
          <w:lang w:val="en-US"/>
        </w:rPr>
        <w:t>4. Istomina N. A. Labor Remuneration Regulati</w:t>
      </w:r>
      <w:r>
        <w:rPr>
          <w:rFonts w:ascii="Times New Roman" w:cs="Times New Roman" w:hAnsi="Times New Roman"/>
          <w:color w:val="000000"/>
          <w:sz w:val="24"/>
          <w:szCs w:val="24"/>
          <w:lang w:val="en-US"/>
        </w:rPr>
        <w:t>on in the System of Municipal Bodies and Institutions: Current Trends // National Interests: Priorities and Security. - 2012. - No. 6 (147) - Vol. 8. - pp. 44-48 https://www.elibrary.ru/item.asp?id=17306631</w:t>
      </w:r>
    </w:p>
    <w:p w14:paraId="0000009B">
      <w:pPr>
        <w:pBdr>
          <w:top w:val="none" w:sz="4" w:space="0"/>
          <w:left w:val="none" w:sz="4" w:space="0"/>
          <w:bottom w:val="none" w:sz="4" w:space="0"/>
          <w:right w:val="none" w:sz="4" w:space="0"/>
          <w:between w:val="none" w:sz="4" w:space="0"/>
          <w:bar w:val="none" w:sz="4" w:space="0"/>
        </w:pBdr>
        <w:spacing w:after="0" w:line="240" w:lineRule="auto"/>
        <w:ind w:firstLine="709"/>
        <w:jc w:val="both"/>
        <w:rPr>
          <w:rFonts w:ascii="Times New Roman" w:cs="Times New Roman" w:hAnsi="Times New Roman"/>
          <w:color w:val="000000"/>
          <w:sz w:val="24"/>
          <w:szCs w:val="24"/>
          <w:lang w:val="en-US"/>
        </w:rPr>
      </w:pPr>
      <w:r>
        <w:rPr>
          <w:rFonts w:ascii="Times New Roman" w:cs="Times New Roman" w:hAnsi="Times New Roman"/>
          <w:color w:val="000000"/>
          <w:sz w:val="24"/>
          <w:szCs w:val="24"/>
          <w:lang w:val="en-US"/>
        </w:rPr>
        <w:t>5. Solovyov, V.A. Human-Centeredness in Public A</w:t>
      </w:r>
      <w:r>
        <w:rPr>
          <w:rFonts w:ascii="Times New Roman" w:cs="Times New Roman" w:hAnsi="Times New Roman"/>
          <w:color w:val="000000"/>
          <w:sz w:val="24"/>
          <w:szCs w:val="24"/>
          <w:lang w:val="en-US"/>
        </w:rPr>
        <w:t xml:space="preserve">dministration: Scientific Discourse and Modern Russian Practices //Issues of State and Municipal Administration - 2025. - No. 4.- pp. 86 - 109. – doi: 10.17323/1999-5431-2025-0-4-86-109 </w:t>
      </w:r>
    </w:p>
    <w:p w14:paraId="0000009C">
      <w:pPr>
        <w:pBdr>
          <w:top w:val="none" w:sz="4" w:space="0"/>
          <w:left w:val="none" w:sz="4" w:space="0"/>
          <w:bottom w:val="none" w:sz="4" w:space="0"/>
          <w:right w:val="none" w:sz="4" w:space="0"/>
          <w:between w:val="none" w:sz="4" w:space="0"/>
          <w:bar w:val="none" w:sz="4" w:space="0"/>
        </w:pBdr>
        <w:spacing w:after="0" w:line="240" w:lineRule="auto"/>
        <w:ind w:firstLine="709"/>
        <w:jc w:val="both"/>
        <w:rPr>
          <w:rFonts w:ascii="Times New Roman" w:cs="Times New Roman" w:hAnsi="Times New Roman"/>
          <w:color w:val="000000"/>
          <w:sz w:val="24"/>
          <w:szCs w:val="24"/>
          <w:lang w:val="en-US"/>
        </w:rPr>
      </w:pPr>
      <w:r>
        <w:rPr>
          <w:rFonts w:ascii="Times New Roman" w:cs="Times New Roman" w:hAnsi="Times New Roman"/>
          <w:color w:val="000000"/>
          <w:sz w:val="24"/>
          <w:szCs w:val="24"/>
          <w:lang w:val="en-US"/>
        </w:rPr>
        <w:t>6. Starikov E.O. IT Projects in the Public Sector: Barriers to Dig</w:t>
      </w:r>
      <w:r>
        <w:rPr>
          <w:rFonts w:ascii="Times New Roman" w:cs="Times New Roman" w:hAnsi="Times New Roman"/>
          <w:color w:val="000000"/>
          <w:sz w:val="24"/>
          <w:szCs w:val="24"/>
          <w:lang w:val="en-US"/>
        </w:rPr>
        <w:t xml:space="preserve">ital Transformation // E. No. 8. Starikov, A.V. Lukyanova // Economics, Entrepreneurship, and Law. - 2025.- vol.15. No. 8 - p. 5303 - DOI https://doi.org/10.18334/epp.15.8.123440. – EDN NHZUIY </w:t>
      </w:r>
    </w:p>
    <w:p w14:paraId="0000009D">
      <w:pPr>
        <w:pBdr>
          <w:top w:val="none" w:sz="4" w:space="0"/>
          <w:left w:val="none" w:sz="4" w:space="0"/>
          <w:bottom w:val="none" w:sz="4" w:space="0"/>
          <w:right w:val="none" w:sz="4" w:space="0"/>
          <w:between w:val="none" w:sz="4" w:space="0"/>
          <w:bar w:val="none" w:sz="4" w:space="0"/>
        </w:pBdr>
        <w:spacing w:after="0" w:line="240" w:lineRule="auto"/>
        <w:jc w:val="both"/>
        <w:rPr>
          <w:rFonts w:ascii="Times New Roman" w:cs="Times New Roman" w:eastAsia="Times New Roman" w:hAnsi="Times New Roman"/>
          <w:caps/>
          <w:color w:val="000000"/>
          <w:sz w:val="28"/>
          <w:szCs w:val="28"/>
          <w:lang w:val="en-US" w:eastAsia="ru-RU"/>
        </w:rPr>
      </w:pPr>
    </w:p>
    <w:sectPr>
      <w:pgSz w:w="11906" w:h="16838"/>
      <w:pgMar w:top="1134" w:right="1134" w:bottom="1134" w:left="1134" w:header="709" w:footer="709" w:gutter="0"/>
      <w:cols w:space="708"/>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00000000" w:usb1="00000000" w:usb2="00000009" w:usb3="00000000" w:csb0="000001ff" w:csb1="00000000"/>
  </w:font>
  <w:font w:name="Courier New">
    <w:panose1 w:val="02070309020205020404"/>
    <w:charset w:val="cc"/>
    <w:family w:val="modern"/>
    <w:pitch w:val="fixed"/>
    <w:sig w:usb0="00000000" w:usb1="00000000" w:usb2="00000009" w:usb3="00000000" w:csb0="000001ff" w:csb1="00000000"/>
  </w:font>
  <w:font w:name="Wingdings">
    <w:panose1 w:val="05000000000000000000"/>
    <w:charset w:val="02"/>
    <w:family w:val="auto"/>
    <w:pitch w:val="variable"/>
    <w:sig w:usb0="00000000" w:usb1="10000000" w:usb2="00000000" w:usb3="00000000" w:csb0="00000000" w:csb1="00000000"/>
  </w:font>
  <w:font w:name="Symbol">
    <w:panose1 w:val="05050102010706020507"/>
    <w:charset w:val="02"/>
    <w:family w:val="roman"/>
    <w:pitch w:val="variable"/>
    <w:sig w:usb0="00000000" w:usb1="10000000" w:usb2="00000000" w:usb3="00000000" w:csb0="00000000" w:csb1="00000000"/>
  </w:font>
  <w:font w:name="Calibri">
    <w:panose1 w:val="020f0502020204030204"/>
    <w:charset w:val="cc"/>
    <w:family w:val="swiss"/>
    <w:pitch w:val="variable"/>
    <w:sig w:usb0="00000000" w:usb1="4000acff" w:usb2="00000009" w:usb3="00000000" w:csb0="0000019f" w:csb1="00000000"/>
  </w:font>
  <w:font w:name="Cambria">
    <w:panose1 w:val="02040503050406030204"/>
    <w:charset w:val="cc"/>
    <w:family w:val="roman"/>
    <w:pitch w:val="variable"/>
    <w:sig w:usb0="00000000" w:usb1="400004ff" w:usb2="00000000" w:usb3="00000000" w:csb0="0000019f" w:csb1="00000000"/>
  </w:font>
  <w:font w:name="Tahoma">
    <w:panose1 w:val="020b0604030504040204"/>
    <w:charset w:val="cc"/>
    <w:family w:val="swiss"/>
    <w:pitch w:val="variable"/>
    <w:sig w:usb0="00000000" w:usb1="00000000" w:usb2="00000029" w:usb3="00000000" w:csb0="000101ff" w:csb1="00000000"/>
  </w:font>
  <w:font w:name="Arial">
    <w:panose1 w:val="020b0604020202020204"/>
    <w:charset w:val="00"/>
    <w:family w:val="swiss"/>
    <w:pitch w:val="variable"/>
    <w:sig w:usb0="20002a87" w:usb1="80000000" w:usb2="00000008" w:usb3="00000000" w:csb0="000001ff" w:csb1="00000000"/>
  </w:font>
  <w:font w:name="Verdana">
    <w:panose1 w:val="020b0604030504040204"/>
    <w:charset w:val="00"/>
    <w:family w:val="roman"/>
    <w:pitch w:val="variable"/>
    <w:sig w:usb0="a10006ff" w:usb1="4000205b" w:usb2="00000010" w:usb3="00000000" w:csb0="0000019f" w:csb1="00000000"/>
  </w:font>
  <w:font w:name="Helvetica Neue">
    <w:charset w:val="00"/>
    <w:family w:val="swiss"/>
    <w:pitch w:val="variable"/>
  </w:font>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ne="http://schemas.microsoft.com/office/word/2006/wordml" xmlns:w14="http://schemas.microsoft.com/office/word/2010/wordml" xmlns:w="http://schemas.openxmlformats.org/wordprocessingml/2006/main">
  <w:abstractNum w:abstractNumId="0">
    <w:multiLevelType w:val="hybridMultilevel"/>
    <w:lvl w:ilvl="0" w:tentative="0">
      <w:start w:val="1"/>
      <w:numFmt w:val="decimal"/>
      <w:lvlText w:val="%1."/>
      <w:lvlJc w:val="left"/>
      <w:pPr>
        <w:ind w:left="928" w:hanging="360"/>
      </w:pPr>
      <w:rPr>
        <w:rFonts w:hint="default"/>
      </w:rPr>
    </w:lvl>
    <w:lvl w:ilvl="1" w:tentative="1">
      <w:start w:val="1"/>
      <w:numFmt w:val="bullet"/>
      <w:lvlText w:val="o"/>
      <w:lvlJc w:val="left"/>
      <w:pPr>
        <w:ind w:left="1440" w:hanging="360"/>
      </w:pPr>
      <w:rPr>
        <w:rFonts w:ascii="Courier New" w:cs="Courier New" w:hAnsi="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cs="Courier New" w:hAnsi="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cs="Courier New" w:hAnsi="Courier New" w:hint="default"/>
      </w:rPr>
    </w:lvl>
    <w:lvl w:ilvl="8" w:tentative="1">
      <w:start w:val="1"/>
      <w:numFmt w:val="bullet"/>
      <w:lvlText w:val=""/>
      <w:lvlJc w:val="left"/>
      <w:pPr>
        <w:ind w:left="6480" w:hanging="360"/>
      </w:pPr>
      <w:rPr>
        <w:rFonts w:ascii="Wingdings" w:hAnsi="Wingdings" w:hint="default"/>
      </w:rPr>
    </w:lvl>
  </w:abstractNum>
  <w:abstractNum w:abstractNumId="1">
    <w:multiLevelType w:val="multilevel"/>
    <w:lvl w:ilvl="0" w:tentative="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multiLevelType w:val="multilevel"/>
    <w:lvl w:ilvl="0" w:tentative="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multiLevelType w:val="multilevel"/>
    <w:lvl w:ilvl="0" w:tentative="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multiLevelType w:val="multilevel"/>
    <w:lvl w:ilvl="0" w:tentative="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multiLevelType w:val="multilevel"/>
    <w:lvl w:ilvl="0" w:tentative="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multiLevelType w:val="multilevel"/>
    <w:lvl w:ilvl="0" w:tentative="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multiLevelType w:val="multilevel"/>
    <w:lvl w:ilvl="0" w:tentative="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multiLevelType w:val="hybridMultilevel"/>
    <w:lvl w:ilvl="0" w:tentative="0">
      <w:start w:val="1"/>
      <w:numFmt w:val="bullet"/>
      <w:lvlText w:val=""/>
      <w:lvlJc w:val="left"/>
      <w:pPr>
        <w:tabs>
          <w:tab w:val="num" w:pos="720"/>
        </w:tabs>
        <w:ind w:left="720" w:hanging="360"/>
      </w:pPr>
      <w:rPr>
        <w:rFonts w:ascii="Symbol" w:hAnsi="Symbol" w:hint="default"/>
      </w:rPr>
    </w:lvl>
    <w:lvl w:ilvl="1" w:tentative="0">
      <w:start w:val="1"/>
      <w:numFmt w:val="bullet"/>
      <w:lvlText w:val="o"/>
      <w:lvlJc w:val="left"/>
      <w:pPr>
        <w:tabs>
          <w:tab w:val="num" w:pos="1440"/>
        </w:tabs>
        <w:ind w:left="1440" w:hanging="360"/>
      </w:pPr>
      <w:rPr>
        <w:rFonts w:ascii="Courier New" w:cs="Courier New" w:hAnsi="Courier New" w:hint="default"/>
      </w:rPr>
    </w:lvl>
    <w:lvl w:ilvl="2" w:tentative="0">
      <w:start w:val="1"/>
      <w:numFmt w:val="bullet"/>
      <w:lvlText w:val=""/>
      <w:lvlJc w:val="left"/>
      <w:pPr>
        <w:tabs>
          <w:tab w:val="num" w:pos="2160"/>
        </w:tabs>
        <w:ind w:left="2160" w:hanging="360"/>
      </w:pPr>
      <w:rPr>
        <w:rFonts w:ascii="Wingdings" w:hAnsi="Wingdings" w:hint="default"/>
      </w:rPr>
    </w:lvl>
    <w:lvl w:ilvl="3" w:tentative="0">
      <w:start w:val="1"/>
      <w:numFmt w:val="bullet"/>
      <w:lvlText w:val=""/>
      <w:lvlJc w:val="left"/>
      <w:pPr>
        <w:tabs>
          <w:tab w:val="num" w:pos="2880"/>
        </w:tabs>
        <w:ind w:left="2880" w:hanging="360"/>
      </w:pPr>
      <w:rPr>
        <w:rFonts w:ascii="Symbol" w:hAnsi="Symbol" w:hint="default"/>
      </w:rPr>
    </w:lvl>
    <w:lvl w:ilvl="4" w:tentative="0">
      <w:start w:val="1"/>
      <w:numFmt w:val="bullet"/>
      <w:lvlText w:val="o"/>
      <w:lvlJc w:val="left"/>
      <w:pPr>
        <w:tabs>
          <w:tab w:val="num" w:pos="3600"/>
        </w:tabs>
        <w:ind w:left="3600" w:hanging="360"/>
      </w:pPr>
      <w:rPr>
        <w:rFonts w:ascii="Courier New" w:cs="Courier New" w:hAnsi="Courier New" w:hint="default"/>
      </w:rPr>
    </w:lvl>
    <w:lvl w:ilvl="5" w:tentative="0">
      <w:start w:val="1"/>
      <w:numFmt w:val="bullet"/>
      <w:lvlText w:val=""/>
      <w:lvlJc w:val="left"/>
      <w:pPr>
        <w:tabs>
          <w:tab w:val="num" w:pos="4320"/>
        </w:tabs>
        <w:ind w:left="4320" w:hanging="360"/>
      </w:pPr>
      <w:rPr>
        <w:rFonts w:ascii="Wingdings" w:hAnsi="Wingdings" w:hint="default"/>
      </w:rPr>
    </w:lvl>
    <w:lvl w:ilvl="6" w:tentative="0">
      <w:start w:val="1"/>
      <w:numFmt w:val="bullet"/>
      <w:lvlText w:val=""/>
      <w:lvlJc w:val="left"/>
      <w:pPr>
        <w:tabs>
          <w:tab w:val="num" w:pos="5040"/>
        </w:tabs>
        <w:ind w:left="5040" w:hanging="360"/>
      </w:pPr>
      <w:rPr>
        <w:rFonts w:ascii="Symbol" w:hAnsi="Symbol" w:hint="default"/>
      </w:rPr>
    </w:lvl>
    <w:lvl w:ilvl="7" w:tentative="0">
      <w:start w:val="1"/>
      <w:numFmt w:val="bullet"/>
      <w:lvlText w:val="o"/>
      <w:lvlJc w:val="left"/>
      <w:pPr>
        <w:tabs>
          <w:tab w:val="num" w:pos="5760"/>
        </w:tabs>
        <w:ind w:left="5760" w:hanging="360"/>
      </w:pPr>
      <w:rPr>
        <w:rFonts w:ascii="Courier New" w:cs="Courier New" w:hAnsi="Courier New" w:hint="default"/>
      </w:rPr>
    </w:lvl>
    <w:lvl w:ilvl="8" w:tentative="0">
      <w:start w:val="1"/>
      <w:numFmt w:val="bullet"/>
      <w:lvlText w:val=""/>
      <w:lvlJc w:val="left"/>
      <w:pPr>
        <w:tabs>
          <w:tab w:val="num" w:pos="6480"/>
        </w:tabs>
        <w:ind w:left="6480" w:hanging="360"/>
      </w:pPr>
      <w:rPr>
        <w:rFonts w:ascii="Wingdings" w:hAnsi="Wingdings" w:hint="default"/>
      </w:rPr>
    </w:lvl>
  </w:abstractNum>
  <w:abstractNum w:abstractNumId="9">
    <w:multiLevelType w:val="multilevel"/>
    <w:lvl w:ilvl="0" w:tentative="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multiLevelType w:val="hybridMultilevel"/>
    <w:lvl w:ilvl="0" w:tentative="0">
      <w:start w:val="1"/>
      <w:numFmt w:val="bullet"/>
      <w:lvlText w:val="˗"/>
      <w:lvlJc w:val="left"/>
      <w:pPr>
        <w:ind w:left="1020" w:hanging="360"/>
      </w:pPr>
      <w:rPr>
        <w:rFonts w:ascii="Times New Roman" w:cs="Times New Roman" w:hAnsi="Times New Roman" w:hint="default"/>
      </w:rPr>
    </w:lvl>
    <w:lvl w:ilvl="1" w:tentative="1">
      <w:start w:val="1"/>
      <w:numFmt w:val="bullet"/>
      <w:lvlText w:val="o"/>
      <w:lvlJc w:val="left"/>
      <w:pPr>
        <w:ind w:left="1740" w:hanging="360"/>
      </w:pPr>
      <w:rPr>
        <w:rFonts w:ascii="Courier New" w:cs="Courier New" w:hAnsi="Courier New" w:hint="default"/>
      </w:rPr>
    </w:lvl>
    <w:lvl w:ilvl="2" w:tentative="1">
      <w:start w:val="1"/>
      <w:numFmt w:val="bullet"/>
      <w:lvlText w:val=""/>
      <w:lvlJc w:val="left"/>
      <w:pPr>
        <w:ind w:left="2460" w:hanging="360"/>
      </w:pPr>
      <w:rPr>
        <w:rFonts w:ascii="Wingdings" w:hAnsi="Wingdings" w:hint="default"/>
      </w:rPr>
    </w:lvl>
    <w:lvl w:ilvl="3" w:tentative="1">
      <w:start w:val="1"/>
      <w:numFmt w:val="bullet"/>
      <w:lvlText w:val=""/>
      <w:lvlJc w:val="left"/>
      <w:pPr>
        <w:ind w:left="3180" w:hanging="360"/>
      </w:pPr>
      <w:rPr>
        <w:rFonts w:ascii="Symbol" w:hAnsi="Symbol" w:hint="default"/>
      </w:rPr>
    </w:lvl>
    <w:lvl w:ilvl="4" w:tentative="1">
      <w:start w:val="1"/>
      <w:numFmt w:val="bullet"/>
      <w:lvlText w:val="o"/>
      <w:lvlJc w:val="left"/>
      <w:pPr>
        <w:ind w:left="3900" w:hanging="360"/>
      </w:pPr>
      <w:rPr>
        <w:rFonts w:ascii="Courier New" w:cs="Courier New" w:hAnsi="Courier New" w:hint="default"/>
      </w:rPr>
    </w:lvl>
    <w:lvl w:ilvl="5" w:tentative="1">
      <w:start w:val="1"/>
      <w:numFmt w:val="bullet"/>
      <w:lvlText w:val=""/>
      <w:lvlJc w:val="left"/>
      <w:pPr>
        <w:ind w:left="4620" w:hanging="360"/>
      </w:pPr>
      <w:rPr>
        <w:rFonts w:ascii="Wingdings" w:hAnsi="Wingdings" w:hint="default"/>
      </w:rPr>
    </w:lvl>
    <w:lvl w:ilvl="6" w:tentative="1">
      <w:start w:val="1"/>
      <w:numFmt w:val="bullet"/>
      <w:lvlText w:val=""/>
      <w:lvlJc w:val="left"/>
      <w:pPr>
        <w:ind w:left="5340" w:hanging="360"/>
      </w:pPr>
      <w:rPr>
        <w:rFonts w:ascii="Symbol" w:hAnsi="Symbol" w:hint="default"/>
      </w:rPr>
    </w:lvl>
    <w:lvl w:ilvl="7" w:tentative="1">
      <w:start w:val="1"/>
      <w:numFmt w:val="bullet"/>
      <w:lvlText w:val="o"/>
      <w:lvlJc w:val="left"/>
      <w:pPr>
        <w:ind w:left="6060" w:hanging="360"/>
      </w:pPr>
      <w:rPr>
        <w:rFonts w:ascii="Courier New" w:cs="Courier New" w:hAnsi="Courier New" w:hint="default"/>
      </w:rPr>
    </w:lvl>
    <w:lvl w:ilvl="8" w:tentative="1">
      <w:start w:val="1"/>
      <w:numFmt w:val="bullet"/>
      <w:lvlText w:val=""/>
      <w:lvlJc w:val="left"/>
      <w:pPr>
        <w:ind w:left="6780" w:hanging="360"/>
      </w:pPr>
      <w:rPr>
        <w:rFonts w:ascii="Wingdings" w:hAnsi="Wingdings" w:hint="default"/>
      </w:rPr>
    </w:lvl>
  </w:abstractNum>
  <w:abstractNum w:abstractNumId="11">
    <w:multiLevelType w:val="multilevel"/>
    <w:lvl w:ilvl="0" w:tentative="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multiLevelType w:val="multilevel"/>
    <w:lvl w:ilvl="0" w:tentative="0">
      <w:start w:val="1"/>
      <w:numFmt w:val="bullet"/>
      <w:lvlText w:val=""/>
      <w:lvlJc w:val="left"/>
      <w:pPr>
        <w:tabs>
          <w:tab w:val="num" w:pos="720"/>
        </w:tabs>
        <w:ind w:left="720" w:hanging="360"/>
      </w:pPr>
      <w:rPr>
        <w:rFonts w:ascii="Symbol" w:hAnsi="Symbol" w:hint="default"/>
        <w:sz w:val="20"/>
      </w:rPr>
    </w:lvl>
    <w:lvl w:ilvl="1" w:tentative="0">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multiLevelType w:val="multilevel"/>
    <w:lvl w:ilvl="0" w:tentative="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multiLevelType w:val="hybridMultilevel"/>
    <w:lvl w:ilvl="0" w:tentative="0">
      <w:start w:val="1"/>
      <w:numFmt w:val="decimal"/>
      <w:lvlText w:val="%1."/>
      <w:lvlJc w:val="left"/>
      <w:pPr>
        <w:ind w:left="1080" w:hanging="360"/>
      </w:pPr>
      <w:rPr>
        <w:rFonts w:hint="default"/>
      </w:rPr>
    </w:lvl>
    <w:lvl w:ilvl="1" w:tentative="1">
      <w:start w:val="1"/>
      <w:numFmt w:val="lowerLetter"/>
      <w:lvlText w:val="%2."/>
      <w:lvlJc w:val="left"/>
      <w:pPr>
        <w:ind w:left="1800" w:hanging="360"/>
      </w:pPr>
    </w:lvl>
    <w:lvl w:ilvl="2" w:tentative="1">
      <w:start w:val="1"/>
      <w:numFmt w:val="lowerRoman"/>
      <w:lvlText w:val="%3."/>
      <w:lvlJc w:val="right"/>
      <w:pPr>
        <w:ind w:left="2520" w:hanging="180"/>
      </w:pPr>
    </w:lvl>
    <w:lvl w:ilvl="3" w:tentative="1">
      <w:start w:val="1"/>
      <w:numFmt w:val="decimal"/>
      <w:lvlText w:val="%4."/>
      <w:lvlJc w:val="left"/>
      <w:pPr>
        <w:ind w:left="3240" w:hanging="360"/>
      </w:pPr>
    </w:lvl>
    <w:lvl w:ilvl="4" w:tentative="1">
      <w:start w:val="1"/>
      <w:numFmt w:val="lowerLetter"/>
      <w:lvlText w:val="%5."/>
      <w:lvlJc w:val="left"/>
      <w:pPr>
        <w:ind w:left="3960" w:hanging="360"/>
      </w:pPr>
    </w:lvl>
    <w:lvl w:ilvl="5" w:tentative="1">
      <w:start w:val="1"/>
      <w:numFmt w:val="lowerRoman"/>
      <w:lvlText w:val="%6."/>
      <w:lvlJc w:val="right"/>
      <w:pPr>
        <w:ind w:left="4680" w:hanging="180"/>
      </w:pPr>
    </w:lvl>
    <w:lvl w:ilvl="6" w:tentative="1">
      <w:start w:val="1"/>
      <w:numFmt w:val="decimal"/>
      <w:lvlText w:val="%7."/>
      <w:lvlJc w:val="left"/>
      <w:pPr>
        <w:ind w:left="5400" w:hanging="360"/>
      </w:pPr>
    </w:lvl>
    <w:lvl w:ilvl="7" w:tentative="1">
      <w:start w:val="1"/>
      <w:numFmt w:val="lowerLetter"/>
      <w:lvlText w:val="%8."/>
      <w:lvlJc w:val="left"/>
      <w:pPr>
        <w:ind w:left="6120" w:hanging="360"/>
      </w:pPr>
    </w:lvl>
    <w:lvl w:ilvl="8" w:tentative="1">
      <w:start w:val="1"/>
      <w:numFmt w:val="lowerRoman"/>
      <w:lvlText w:val="%9."/>
      <w:lvlJc w:val="right"/>
      <w:pPr>
        <w:ind w:left="6840" w:hanging="180"/>
      </w:pPr>
    </w:lvl>
  </w:abstractNum>
  <w:abstractNum w:abstractNumId="15">
    <w:multiLevelType w:val="hybridMultilevel"/>
    <w:lvl w:ilvl="0" w:tentative="0">
      <w:start w:val="1"/>
      <w:numFmt w:val="bullet"/>
      <w:lvlText w:val=""/>
      <w:lvlJc w:val="left"/>
      <w:pPr>
        <w:tabs>
          <w:tab w:val="num" w:pos="720"/>
        </w:tabs>
        <w:ind w:left="720" w:hanging="360"/>
      </w:pPr>
      <w:rPr>
        <w:rFonts w:ascii="Symbol" w:hAnsi="Symbol" w:hint="default"/>
      </w:rPr>
    </w:lvl>
    <w:lvl w:ilvl="1" w:tentative="0">
      <w:start w:val="1"/>
      <w:numFmt w:val="bullet"/>
      <w:lvlText w:val=""/>
      <w:lvlJc w:val="left"/>
      <w:pPr>
        <w:tabs>
          <w:tab w:val="num" w:pos="1440"/>
        </w:tabs>
        <w:ind w:left="1440" w:hanging="360"/>
      </w:pPr>
      <w:rPr>
        <w:rFonts w:ascii="Wingdings" w:hAnsi="Wingdings" w:hint="default"/>
      </w:rPr>
    </w:lvl>
    <w:lvl w:ilvl="2" w:tentative="0">
      <w:start w:val="1"/>
      <w:numFmt w:val="bullet"/>
      <w:lvlText w:val=""/>
      <w:lvlJc w:val="left"/>
      <w:pPr>
        <w:tabs>
          <w:tab w:val="num" w:pos="2160"/>
        </w:tabs>
        <w:ind w:left="2160" w:hanging="360"/>
      </w:pPr>
      <w:rPr>
        <w:rFonts w:ascii="Wingdings" w:hAnsi="Wingdings" w:hint="default"/>
      </w:rPr>
    </w:lvl>
    <w:lvl w:ilvl="3" w:tentative="0">
      <w:start w:val="1"/>
      <w:numFmt w:val="bullet"/>
      <w:lvlText w:val=""/>
      <w:lvlJc w:val="left"/>
      <w:pPr>
        <w:tabs>
          <w:tab w:val="num" w:pos="2880"/>
        </w:tabs>
        <w:ind w:left="2880" w:hanging="360"/>
      </w:pPr>
      <w:rPr>
        <w:rFonts w:ascii="Symbol" w:hAnsi="Symbol" w:hint="default"/>
      </w:rPr>
    </w:lvl>
    <w:lvl w:ilvl="4" w:tentative="0">
      <w:start w:val="1"/>
      <w:numFmt w:val="bullet"/>
      <w:lvlText w:val="o"/>
      <w:lvlJc w:val="left"/>
      <w:pPr>
        <w:tabs>
          <w:tab w:val="num" w:pos="3600"/>
        </w:tabs>
        <w:ind w:left="3600" w:hanging="360"/>
      </w:pPr>
      <w:rPr>
        <w:rFonts w:ascii="Courier New" w:cs="Courier New" w:hAnsi="Courier New" w:hint="default"/>
      </w:rPr>
    </w:lvl>
    <w:lvl w:ilvl="5" w:tentative="0">
      <w:start w:val="1"/>
      <w:numFmt w:val="bullet"/>
      <w:lvlText w:val=""/>
      <w:lvlJc w:val="left"/>
      <w:pPr>
        <w:tabs>
          <w:tab w:val="num" w:pos="4320"/>
        </w:tabs>
        <w:ind w:left="4320" w:hanging="360"/>
      </w:pPr>
      <w:rPr>
        <w:rFonts w:ascii="Wingdings" w:hAnsi="Wingdings" w:hint="default"/>
      </w:rPr>
    </w:lvl>
    <w:lvl w:ilvl="6" w:tentative="0">
      <w:start w:val="1"/>
      <w:numFmt w:val="bullet"/>
      <w:lvlText w:val=""/>
      <w:lvlJc w:val="left"/>
      <w:pPr>
        <w:tabs>
          <w:tab w:val="num" w:pos="5040"/>
        </w:tabs>
        <w:ind w:left="5040" w:hanging="360"/>
      </w:pPr>
      <w:rPr>
        <w:rFonts w:ascii="Symbol" w:hAnsi="Symbol" w:hint="default"/>
      </w:rPr>
    </w:lvl>
    <w:lvl w:ilvl="7" w:tentative="0">
      <w:start w:val="1"/>
      <w:numFmt w:val="bullet"/>
      <w:lvlText w:val="o"/>
      <w:lvlJc w:val="left"/>
      <w:pPr>
        <w:tabs>
          <w:tab w:val="num" w:pos="5760"/>
        </w:tabs>
        <w:ind w:left="5760" w:hanging="360"/>
      </w:pPr>
      <w:rPr>
        <w:rFonts w:ascii="Courier New" w:cs="Courier New" w:hAnsi="Courier New" w:hint="default"/>
      </w:rPr>
    </w:lvl>
    <w:lvl w:ilvl="8" w:tentative="0">
      <w:start w:val="1"/>
      <w:numFmt w:val="bullet"/>
      <w:lvlText w:val=""/>
      <w:lvlJc w:val="left"/>
      <w:pPr>
        <w:tabs>
          <w:tab w:val="num" w:pos="6480"/>
        </w:tabs>
        <w:ind w:left="6480" w:hanging="360"/>
      </w:pPr>
      <w:rPr>
        <w:rFonts w:ascii="Wingdings" w:hAnsi="Wingdings" w:hint="default"/>
      </w:rPr>
    </w:lvl>
  </w:abstractNum>
  <w:abstractNum w:abstractNumId="16">
    <w:multiLevelType w:val="multilevel"/>
    <w:lvl w:ilvl="0" w:tentative="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multiLevelType w:val="hybridMultilevel"/>
    <w:lvl w:ilvl="0" w:tentative="0">
      <w:start w:val="1"/>
      <w:numFmt w:val="decimal"/>
      <w:lvlText w:val="%1."/>
      <w:lvlJc w:val="left"/>
      <w:pPr>
        <w:ind w:left="885" w:hanging="360"/>
      </w:pPr>
      <w:rPr>
        <w:rFonts w:hint="default"/>
      </w:rPr>
    </w:lvl>
    <w:lvl w:ilvl="1" w:tentative="1">
      <w:start w:val="1"/>
      <w:numFmt w:val="lowerLetter"/>
      <w:lvlText w:val="%2."/>
      <w:lvlJc w:val="left"/>
      <w:pPr>
        <w:ind w:left="1605" w:hanging="360"/>
      </w:pPr>
    </w:lvl>
    <w:lvl w:ilvl="2" w:tentative="1">
      <w:start w:val="1"/>
      <w:numFmt w:val="lowerRoman"/>
      <w:lvlText w:val="%3."/>
      <w:lvlJc w:val="right"/>
      <w:pPr>
        <w:ind w:left="2325" w:hanging="180"/>
      </w:pPr>
    </w:lvl>
    <w:lvl w:ilvl="3" w:tentative="1">
      <w:start w:val="1"/>
      <w:numFmt w:val="decimal"/>
      <w:lvlText w:val="%4."/>
      <w:lvlJc w:val="left"/>
      <w:pPr>
        <w:ind w:left="3045" w:hanging="360"/>
      </w:pPr>
    </w:lvl>
    <w:lvl w:ilvl="4" w:tentative="1">
      <w:start w:val="1"/>
      <w:numFmt w:val="lowerLetter"/>
      <w:lvlText w:val="%5."/>
      <w:lvlJc w:val="left"/>
      <w:pPr>
        <w:ind w:left="3765" w:hanging="360"/>
      </w:pPr>
    </w:lvl>
    <w:lvl w:ilvl="5" w:tentative="1">
      <w:start w:val="1"/>
      <w:numFmt w:val="lowerRoman"/>
      <w:lvlText w:val="%6."/>
      <w:lvlJc w:val="right"/>
      <w:pPr>
        <w:ind w:left="4485" w:hanging="180"/>
      </w:pPr>
    </w:lvl>
    <w:lvl w:ilvl="6" w:tentative="1">
      <w:start w:val="1"/>
      <w:numFmt w:val="decimal"/>
      <w:lvlText w:val="%7."/>
      <w:lvlJc w:val="left"/>
      <w:pPr>
        <w:ind w:left="5205" w:hanging="360"/>
      </w:pPr>
    </w:lvl>
    <w:lvl w:ilvl="7" w:tentative="1">
      <w:start w:val="1"/>
      <w:numFmt w:val="lowerLetter"/>
      <w:lvlText w:val="%8."/>
      <w:lvlJc w:val="left"/>
      <w:pPr>
        <w:ind w:left="5925" w:hanging="360"/>
      </w:pPr>
    </w:lvl>
    <w:lvl w:ilvl="8" w:tentative="1">
      <w:start w:val="1"/>
      <w:numFmt w:val="lowerRoman"/>
      <w:lvlText w:val="%9."/>
      <w:lvlJc w:val="right"/>
      <w:pPr>
        <w:ind w:left="6645" w:hanging="180"/>
      </w:pPr>
    </w:lvl>
  </w:abstractNum>
  <w:num w:numId="1">
    <w:abstractNumId w:val="8"/>
  </w:num>
  <w:num w:numId="2">
    <w:abstractNumId w:val="15"/>
  </w:num>
  <w:num w:numId="3">
    <w:abstractNumId w:val="14"/>
  </w:num>
  <w:num w:numId="4">
    <w:abstractNumId w:val="17"/>
  </w:num>
  <w:num w:numId="5">
    <w:abstractNumId w:val="2"/>
  </w:num>
  <w:num w:numId="6">
    <w:abstractNumId w:val="11"/>
  </w:num>
  <w:num w:numId="7">
    <w:abstractNumId w:val="12"/>
  </w:num>
  <w:num w:numId="8">
    <w:abstractNumId w:val="7"/>
  </w:num>
  <w:num w:numId="9">
    <w:abstractNumId w:val="4"/>
  </w:num>
  <w:num w:numId="10">
    <w:abstractNumId w:val="6"/>
  </w:num>
  <w:num w:numId="11">
    <w:abstractNumId w:val="16"/>
  </w:num>
  <w:num w:numId="12">
    <w:abstractNumId w:val="1"/>
  </w:num>
  <w:num w:numId="13">
    <w:abstractNumId w:val="5"/>
  </w:num>
  <w:num w:numId="14">
    <w:abstractNumId w:val="3"/>
  </w:num>
  <w:num w:numId="15">
    <w:abstractNumId w:val="13"/>
  </w:num>
  <w:num w:numId="16">
    <w:abstractNumId w:val="9"/>
  </w:num>
  <w:num w:numId="17">
    <w:abstractNumId w:val="0"/>
  </w:num>
  <w:num w:numId="18">
    <w:abstractNumId w:val="1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characterSpacingControl w:val="doNotCompress"/>
  <w:compat/>
  <w:rsids>
    <w:rsidRoot w:val="00560043"/>
    <w:rsid w:val="00001C3F"/>
    <w:rsid w:val="0001473F"/>
    <w:rsid w:val="00027063"/>
    <w:rsid w:val="00030DA3"/>
    <w:rsid w:val="000345A5"/>
    <w:rsid w:val="000434F3"/>
    <w:rsid w:val="000474E1"/>
    <w:rsid w:val="00050BCD"/>
    <w:rsid w:val="00053B8E"/>
    <w:rsid w:val="000573D1"/>
    <w:rsid w:val="000575C1"/>
    <w:rsid w:val="00061BC5"/>
    <w:rsid w:val="00061F31"/>
    <w:rsid w:val="00066223"/>
    <w:rsid w:val="00073798"/>
    <w:rsid w:val="00073B2B"/>
    <w:rsid w:val="0007714C"/>
    <w:rsid w:val="00084AD8"/>
    <w:rsid w:val="00086484"/>
    <w:rsid w:val="00091248"/>
    <w:rsid w:val="00093B34"/>
    <w:rsid w:val="00095C1C"/>
    <w:rsid w:val="000A0110"/>
    <w:rsid w:val="000A24C4"/>
    <w:rsid w:val="000A2FAB"/>
    <w:rsid w:val="000A3347"/>
    <w:rsid w:val="000A6F05"/>
    <w:rsid w:val="000B1786"/>
    <w:rsid w:val="000B2D7B"/>
    <w:rsid w:val="000B446E"/>
    <w:rsid w:val="000D0AEB"/>
    <w:rsid w:val="000D0DB7"/>
    <w:rsid w:val="000D0F69"/>
    <w:rsid w:val="000D32A4"/>
    <w:rsid w:val="000D4F85"/>
    <w:rsid w:val="000D5D35"/>
    <w:rsid w:val="000E72CD"/>
    <w:rsid w:val="000E7E7B"/>
    <w:rsid w:val="000F23CD"/>
    <w:rsid w:val="000F27A8"/>
    <w:rsid w:val="000F57C8"/>
    <w:rsid w:val="00101DA6"/>
    <w:rsid w:val="00105810"/>
    <w:rsid w:val="001067B2"/>
    <w:rsid w:val="00106C7F"/>
    <w:rsid w:val="00107558"/>
    <w:rsid w:val="00107D35"/>
    <w:rsid w:val="00110AB5"/>
    <w:rsid w:val="00117B22"/>
    <w:rsid w:val="00130A84"/>
    <w:rsid w:val="00132E20"/>
    <w:rsid w:val="001427D9"/>
    <w:rsid w:val="00143A99"/>
    <w:rsid w:val="00150A0A"/>
    <w:rsid w:val="001575DB"/>
    <w:rsid w:val="00173F95"/>
    <w:rsid w:val="0017566D"/>
    <w:rsid w:val="00175F3F"/>
    <w:rsid w:val="00176AFD"/>
    <w:rsid w:val="00187133"/>
    <w:rsid w:val="00194BA1"/>
    <w:rsid w:val="0019524D"/>
    <w:rsid w:val="001A1094"/>
    <w:rsid w:val="001A1FD1"/>
    <w:rsid w:val="001A5B09"/>
    <w:rsid w:val="001B0243"/>
    <w:rsid w:val="001B1A65"/>
    <w:rsid w:val="001B3BB9"/>
    <w:rsid w:val="001B5F56"/>
    <w:rsid w:val="001B6417"/>
    <w:rsid w:val="001C0BA4"/>
    <w:rsid w:val="001C21BF"/>
    <w:rsid w:val="001C2CBC"/>
    <w:rsid w:val="001C3CA0"/>
    <w:rsid w:val="001C7C04"/>
    <w:rsid w:val="001D2416"/>
    <w:rsid w:val="001D2E04"/>
    <w:rsid w:val="001D7A09"/>
    <w:rsid w:val="001E72EE"/>
    <w:rsid w:val="001F66E9"/>
    <w:rsid w:val="001F7BD5"/>
    <w:rsid w:val="00200902"/>
    <w:rsid w:val="002134DC"/>
    <w:rsid w:val="00221563"/>
    <w:rsid w:val="0023132C"/>
    <w:rsid w:val="00233E2B"/>
    <w:rsid w:val="00234D50"/>
    <w:rsid w:val="0024045E"/>
    <w:rsid w:val="002412E2"/>
    <w:rsid w:val="00247222"/>
    <w:rsid w:val="00247F82"/>
    <w:rsid w:val="00253004"/>
    <w:rsid w:val="00254189"/>
    <w:rsid w:val="00262A4F"/>
    <w:rsid w:val="0026325E"/>
    <w:rsid w:val="00265721"/>
    <w:rsid w:val="002662EA"/>
    <w:rsid w:val="00266498"/>
    <w:rsid w:val="002679AB"/>
    <w:rsid w:val="0027246D"/>
    <w:rsid w:val="00277429"/>
    <w:rsid w:val="00277D35"/>
    <w:rsid w:val="00281C42"/>
    <w:rsid w:val="002900DC"/>
    <w:rsid w:val="00291AB1"/>
    <w:rsid w:val="00291ED1"/>
    <w:rsid w:val="00297593"/>
    <w:rsid w:val="002A44FF"/>
    <w:rsid w:val="002A50F3"/>
    <w:rsid w:val="002A594E"/>
    <w:rsid w:val="002A621D"/>
    <w:rsid w:val="002B1752"/>
    <w:rsid w:val="002B20A8"/>
    <w:rsid w:val="002B33A0"/>
    <w:rsid w:val="002B402F"/>
    <w:rsid w:val="002C1197"/>
    <w:rsid w:val="002C3FD4"/>
    <w:rsid w:val="002C54E5"/>
    <w:rsid w:val="002C7EB0"/>
    <w:rsid w:val="002D06A3"/>
    <w:rsid w:val="002D3D3E"/>
    <w:rsid w:val="002D7E7A"/>
    <w:rsid w:val="002E626E"/>
    <w:rsid w:val="002F0B58"/>
    <w:rsid w:val="002F0B77"/>
    <w:rsid w:val="002F2BB2"/>
    <w:rsid w:val="002F3CBD"/>
    <w:rsid w:val="002F3FF8"/>
    <w:rsid w:val="002F508E"/>
    <w:rsid w:val="003011ED"/>
    <w:rsid w:val="00302401"/>
    <w:rsid w:val="003037E6"/>
    <w:rsid w:val="003122E7"/>
    <w:rsid w:val="00320774"/>
    <w:rsid w:val="00321567"/>
    <w:rsid w:val="00324090"/>
    <w:rsid w:val="003250C9"/>
    <w:rsid w:val="003270F0"/>
    <w:rsid w:val="00331ECC"/>
    <w:rsid w:val="00332ABC"/>
    <w:rsid w:val="003362AE"/>
    <w:rsid w:val="003367F8"/>
    <w:rsid w:val="003414AD"/>
    <w:rsid w:val="00341D6C"/>
    <w:rsid w:val="003432E6"/>
    <w:rsid w:val="00343495"/>
    <w:rsid w:val="0034650F"/>
    <w:rsid w:val="0034764B"/>
    <w:rsid w:val="00347AD6"/>
    <w:rsid w:val="00347BFF"/>
    <w:rsid w:val="00350813"/>
    <w:rsid w:val="00351DEB"/>
    <w:rsid w:val="0035601B"/>
    <w:rsid w:val="00361AAF"/>
    <w:rsid w:val="00363F28"/>
    <w:rsid w:val="00366662"/>
    <w:rsid w:val="00370007"/>
    <w:rsid w:val="0037586E"/>
    <w:rsid w:val="00375B8D"/>
    <w:rsid w:val="0038213E"/>
    <w:rsid w:val="00382E48"/>
    <w:rsid w:val="00391536"/>
    <w:rsid w:val="003941A1"/>
    <w:rsid w:val="00397E3A"/>
    <w:rsid w:val="003A151B"/>
    <w:rsid w:val="003A273D"/>
    <w:rsid w:val="003A6A83"/>
    <w:rsid w:val="003A7D09"/>
    <w:rsid w:val="003B672E"/>
    <w:rsid w:val="003B6EB1"/>
    <w:rsid w:val="003B7D6C"/>
    <w:rsid w:val="003C0042"/>
    <w:rsid w:val="003C18C1"/>
    <w:rsid w:val="003C2784"/>
    <w:rsid w:val="003D2680"/>
    <w:rsid w:val="003E0EF2"/>
    <w:rsid w:val="003E135B"/>
    <w:rsid w:val="003E29B3"/>
    <w:rsid w:val="003E2A5E"/>
    <w:rsid w:val="003F28A7"/>
    <w:rsid w:val="003F425B"/>
    <w:rsid w:val="003F4AA7"/>
    <w:rsid w:val="003F5F60"/>
    <w:rsid w:val="0041164E"/>
    <w:rsid w:val="0041203B"/>
    <w:rsid w:val="00414576"/>
    <w:rsid w:val="00417D5C"/>
    <w:rsid w:val="00420B68"/>
    <w:rsid w:val="00421D6F"/>
    <w:rsid w:val="00425C4B"/>
    <w:rsid w:val="0044078B"/>
    <w:rsid w:val="00440BB7"/>
    <w:rsid w:val="004429FB"/>
    <w:rsid w:val="0045063C"/>
    <w:rsid w:val="00465882"/>
    <w:rsid w:val="0048127C"/>
    <w:rsid w:val="004863B6"/>
    <w:rsid w:val="00486924"/>
    <w:rsid w:val="00490BC1"/>
    <w:rsid w:val="004944A3"/>
    <w:rsid w:val="00495E78"/>
    <w:rsid w:val="004A0E2B"/>
    <w:rsid w:val="004A1170"/>
    <w:rsid w:val="004A1C16"/>
    <w:rsid w:val="004A2B03"/>
    <w:rsid w:val="004B726A"/>
    <w:rsid w:val="004C0681"/>
    <w:rsid w:val="004C0CDC"/>
    <w:rsid w:val="004C2298"/>
    <w:rsid w:val="004C3B5C"/>
    <w:rsid w:val="004D21D7"/>
    <w:rsid w:val="004D46B7"/>
    <w:rsid w:val="004D4C4C"/>
    <w:rsid w:val="004D6533"/>
    <w:rsid w:val="004E0EDB"/>
    <w:rsid w:val="004E2E21"/>
    <w:rsid w:val="004E4184"/>
    <w:rsid w:val="004E4387"/>
    <w:rsid w:val="00500798"/>
    <w:rsid w:val="0050327C"/>
    <w:rsid w:val="005077B5"/>
    <w:rsid w:val="0051040C"/>
    <w:rsid w:val="00511BDE"/>
    <w:rsid w:val="00514917"/>
    <w:rsid w:val="00515026"/>
    <w:rsid w:val="005150A9"/>
    <w:rsid w:val="00515316"/>
    <w:rsid w:val="0052291B"/>
    <w:rsid w:val="00523508"/>
    <w:rsid w:val="00524F5B"/>
    <w:rsid w:val="005253FC"/>
    <w:rsid w:val="00525554"/>
    <w:rsid w:val="00532F36"/>
    <w:rsid w:val="00535C54"/>
    <w:rsid w:val="00547530"/>
    <w:rsid w:val="00550E05"/>
    <w:rsid w:val="00555EA9"/>
    <w:rsid w:val="00556BD3"/>
    <w:rsid w:val="00560043"/>
    <w:rsid w:val="00560054"/>
    <w:rsid w:val="005631A7"/>
    <w:rsid w:val="0056370C"/>
    <w:rsid w:val="00564C18"/>
    <w:rsid w:val="00565250"/>
    <w:rsid w:val="00566D58"/>
    <w:rsid w:val="00570F1A"/>
    <w:rsid w:val="00571D3A"/>
    <w:rsid w:val="00572DA7"/>
    <w:rsid w:val="00574F02"/>
    <w:rsid w:val="00575CDC"/>
    <w:rsid w:val="005866AD"/>
    <w:rsid w:val="00586913"/>
    <w:rsid w:val="00597FD5"/>
    <w:rsid w:val="005A2628"/>
    <w:rsid w:val="005A329B"/>
    <w:rsid w:val="005A34A0"/>
    <w:rsid w:val="005A402B"/>
    <w:rsid w:val="005A4F79"/>
    <w:rsid w:val="005B395A"/>
    <w:rsid w:val="005C0785"/>
    <w:rsid w:val="005C1E05"/>
    <w:rsid w:val="005C1E8E"/>
    <w:rsid w:val="005C7EE6"/>
    <w:rsid w:val="005D15CD"/>
    <w:rsid w:val="005D2208"/>
    <w:rsid w:val="005D23FB"/>
    <w:rsid w:val="005D4D74"/>
    <w:rsid w:val="005E5A91"/>
    <w:rsid w:val="005F44AC"/>
    <w:rsid w:val="005F655C"/>
    <w:rsid w:val="00603055"/>
    <w:rsid w:val="00611334"/>
    <w:rsid w:val="00617FE9"/>
    <w:rsid w:val="00626C78"/>
    <w:rsid w:val="006309A6"/>
    <w:rsid w:val="006310F4"/>
    <w:rsid w:val="00634EA8"/>
    <w:rsid w:val="00641685"/>
    <w:rsid w:val="00641D17"/>
    <w:rsid w:val="00641F83"/>
    <w:rsid w:val="0064357F"/>
    <w:rsid w:val="006465FC"/>
    <w:rsid w:val="00651124"/>
    <w:rsid w:val="00651610"/>
    <w:rsid w:val="00654A65"/>
    <w:rsid w:val="00655F71"/>
    <w:rsid w:val="00660A0D"/>
    <w:rsid w:val="006622B1"/>
    <w:rsid w:val="00662EFA"/>
    <w:rsid w:val="00666E5F"/>
    <w:rsid w:val="006671C0"/>
    <w:rsid w:val="0066726D"/>
    <w:rsid w:val="00671B87"/>
    <w:rsid w:val="006720B9"/>
    <w:rsid w:val="00672232"/>
    <w:rsid w:val="00675F24"/>
    <w:rsid w:val="0068127B"/>
    <w:rsid w:val="0068378D"/>
    <w:rsid w:val="006854F9"/>
    <w:rsid w:val="00691119"/>
    <w:rsid w:val="006A100B"/>
    <w:rsid w:val="006A3C83"/>
    <w:rsid w:val="006A4532"/>
    <w:rsid w:val="006B0250"/>
    <w:rsid w:val="006B3727"/>
    <w:rsid w:val="006B763B"/>
    <w:rsid w:val="006B7B2C"/>
    <w:rsid w:val="006C34D4"/>
    <w:rsid w:val="006D4A08"/>
    <w:rsid w:val="006D68C6"/>
    <w:rsid w:val="006D7844"/>
    <w:rsid w:val="006E1B31"/>
    <w:rsid w:val="006E53A2"/>
    <w:rsid w:val="006F3861"/>
    <w:rsid w:val="00706C91"/>
    <w:rsid w:val="007076FF"/>
    <w:rsid w:val="0071536F"/>
    <w:rsid w:val="00716FF6"/>
    <w:rsid w:val="00721A96"/>
    <w:rsid w:val="00723017"/>
    <w:rsid w:val="0072301A"/>
    <w:rsid w:val="0073019A"/>
    <w:rsid w:val="00731172"/>
    <w:rsid w:val="007441E4"/>
    <w:rsid w:val="007446EA"/>
    <w:rsid w:val="007459C5"/>
    <w:rsid w:val="00750509"/>
    <w:rsid w:val="0075186A"/>
    <w:rsid w:val="00755815"/>
    <w:rsid w:val="00757828"/>
    <w:rsid w:val="00757A47"/>
    <w:rsid w:val="00762035"/>
    <w:rsid w:val="007654F0"/>
    <w:rsid w:val="00771DF5"/>
    <w:rsid w:val="00774553"/>
    <w:rsid w:val="0077532A"/>
    <w:rsid w:val="007814A0"/>
    <w:rsid w:val="00781AD3"/>
    <w:rsid w:val="007854FB"/>
    <w:rsid w:val="007954E3"/>
    <w:rsid w:val="007A1B78"/>
    <w:rsid w:val="007A45D4"/>
    <w:rsid w:val="007A7FE3"/>
    <w:rsid w:val="007B7555"/>
    <w:rsid w:val="007C7255"/>
    <w:rsid w:val="007D32B0"/>
    <w:rsid w:val="007E07AD"/>
    <w:rsid w:val="007E13D6"/>
    <w:rsid w:val="007E1574"/>
    <w:rsid w:val="007E3E74"/>
    <w:rsid w:val="007F3B82"/>
    <w:rsid w:val="007F5513"/>
    <w:rsid w:val="007F5DB3"/>
    <w:rsid w:val="007F5DB4"/>
    <w:rsid w:val="00800811"/>
    <w:rsid w:val="0080250E"/>
    <w:rsid w:val="00802A0F"/>
    <w:rsid w:val="00803032"/>
    <w:rsid w:val="00806686"/>
    <w:rsid w:val="0082236C"/>
    <w:rsid w:val="008244E4"/>
    <w:rsid w:val="00824FA6"/>
    <w:rsid w:val="00827C59"/>
    <w:rsid w:val="008308FA"/>
    <w:rsid w:val="00834272"/>
    <w:rsid w:val="00834AC4"/>
    <w:rsid w:val="00840CC1"/>
    <w:rsid w:val="008455E9"/>
    <w:rsid w:val="00847070"/>
    <w:rsid w:val="0084707E"/>
    <w:rsid w:val="00850FC4"/>
    <w:rsid w:val="008515F1"/>
    <w:rsid w:val="0085164E"/>
    <w:rsid w:val="00852575"/>
    <w:rsid w:val="00856545"/>
    <w:rsid w:val="008627D4"/>
    <w:rsid w:val="00863017"/>
    <w:rsid w:val="00865D7F"/>
    <w:rsid w:val="00872441"/>
    <w:rsid w:val="00880EB4"/>
    <w:rsid w:val="008810DF"/>
    <w:rsid w:val="00881E37"/>
    <w:rsid w:val="00895077"/>
    <w:rsid w:val="008962A4"/>
    <w:rsid w:val="00896ED4"/>
    <w:rsid w:val="00897A4E"/>
    <w:rsid w:val="00897BBD"/>
    <w:rsid w:val="008A0DDE"/>
    <w:rsid w:val="008A33F7"/>
    <w:rsid w:val="008A3936"/>
    <w:rsid w:val="008A4AF4"/>
    <w:rsid w:val="008B0B27"/>
    <w:rsid w:val="008B0C5D"/>
    <w:rsid w:val="008B2747"/>
    <w:rsid w:val="008B387A"/>
    <w:rsid w:val="008C265B"/>
    <w:rsid w:val="008C3BD7"/>
    <w:rsid w:val="008D297D"/>
    <w:rsid w:val="008E48BF"/>
    <w:rsid w:val="008E64E3"/>
    <w:rsid w:val="008F10AE"/>
    <w:rsid w:val="008F2F56"/>
    <w:rsid w:val="008F711D"/>
    <w:rsid w:val="009061D6"/>
    <w:rsid w:val="009066C8"/>
    <w:rsid w:val="00906868"/>
    <w:rsid w:val="0091206A"/>
    <w:rsid w:val="00917EB8"/>
    <w:rsid w:val="00921C00"/>
    <w:rsid w:val="0093579D"/>
    <w:rsid w:val="00940C83"/>
    <w:rsid w:val="00942195"/>
    <w:rsid w:val="00942FB3"/>
    <w:rsid w:val="0094497A"/>
    <w:rsid w:val="009471C0"/>
    <w:rsid w:val="00951777"/>
    <w:rsid w:val="00952408"/>
    <w:rsid w:val="00953794"/>
    <w:rsid w:val="00954ED7"/>
    <w:rsid w:val="00954F46"/>
    <w:rsid w:val="0096634C"/>
    <w:rsid w:val="009669F0"/>
    <w:rsid w:val="00967748"/>
    <w:rsid w:val="009744DB"/>
    <w:rsid w:val="009750AD"/>
    <w:rsid w:val="009775A8"/>
    <w:rsid w:val="00987122"/>
    <w:rsid w:val="009940A1"/>
    <w:rsid w:val="009A1091"/>
    <w:rsid w:val="009A13B1"/>
    <w:rsid w:val="009A1E73"/>
    <w:rsid w:val="009B071A"/>
    <w:rsid w:val="009B3F6E"/>
    <w:rsid w:val="009B402E"/>
    <w:rsid w:val="009C1D0C"/>
    <w:rsid w:val="009C287B"/>
    <w:rsid w:val="009D55D5"/>
    <w:rsid w:val="009E5090"/>
    <w:rsid w:val="009E50DB"/>
    <w:rsid w:val="00A01DFB"/>
    <w:rsid w:val="00A02ACE"/>
    <w:rsid w:val="00A05900"/>
    <w:rsid w:val="00A12EF7"/>
    <w:rsid w:val="00A130D1"/>
    <w:rsid w:val="00A259F2"/>
    <w:rsid w:val="00A322AE"/>
    <w:rsid w:val="00A3293C"/>
    <w:rsid w:val="00A33222"/>
    <w:rsid w:val="00A355DA"/>
    <w:rsid w:val="00A40AEB"/>
    <w:rsid w:val="00A41349"/>
    <w:rsid w:val="00A457C9"/>
    <w:rsid w:val="00A45F2D"/>
    <w:rsid w:val="00A471F4"/>
    <w:rsid w:val="00A519F8"/>
    <w:rsid w:val="00A51F97"/>
    <w:rsid w:val="00A6103E"/>
    <w:rsid w:val="00A62EE2"/>
    <w:rsid w:val="00A63920"/>
    <w:rsid w:val="00A677E2"/>
    <w:rsid w:val="00A67E48"/>
    <w:rsid w:val="00A7031F"/>
    <w:rsid w:val="00A72D78"/>
    <w:rsid w:val="00A757D8"/>
    <w:rsid w:val="00A75F77"/>
    <w:rsid w:val="00A76134"/>
    <w:rsid w:val="00A872C4"/>
    <w:rsid w:val="00A91332"/>
    <w:rsid w:val="00A914F0"/>
    <w:rsid w:val="00A94D40"/>
    <w:rsid w:val="00A95F25"/>
    <w:rsid w:val="00A97B8F"/>
    <w:rsid w:val="00AA1204"/>
    <w:rsid w:val="00AA7600"/>
    <w:rsid w:val="00AC31F7"/>
    <w:rsid w:val="00AD4430"/>
    <w:rsid w:val="00AE5045"/>
    <w:rsid w:val="00AE6B9D"/>
    <w:rsid w:val="00AE71D2"/>
    <w:rsid w:val="00AF3A54"/>
    <w:rsid w:val="00AF7204"/>
    <w:rsid w:val="00B02B55"/>
    <w:rsid w:val="00B07CC9"/>
    <w:rsid w:val="00B101D7"/>
    <w:rsid w:val="00B1031D"/>
    <w:rsid w:val="00B21DC0"/>
    <w:rsid w:val="00B22DF5"/>
    <w:rsid w:val="00B23173"/>
    <w:rsid w:val="00B237D8"/>
    <w:rsid w:val="00B23E7D"/>
    <w:rsid w:val="00B40184"/>
    <w:rsid w:val="00B41F67"/>
    <w:rsid w:val="00B467CB"/>
    <w:rsid w:val="00B51159"/>
    <w:rsid w:val="00B533BC"/>
    <w:rsid w:val="00B555A8"/>
    <w:rsid w:val="00B55FD1"/>
    <w:rsid w:val="00B63D2C"/>
    <w:rsid w:val="00B6566F"/>
    <w:rsid w:val="00B66896"/>
    <w:rsid w:val="00B679E6"/>
    <w:rsid w:val="00B67B84"/>
    <w:rsid w:val="00B77194"/>
    <w:rsid w:val="00B8136A"/>
    <w:rsid w:val="00B85D7E"/>
    <w:rsid w:val="00B86FDB"/>
    <w:rsid w:val="00B873D4"/>
    <w:rsid w:val="00B90B8E"/>
    <w:rsid w:val="00B92C4F"/>
    <w:rsid w:val="00B93F48"/>
    <w:rsid w:val="00B94B9E"/>
    <w:rsid w:val="00B94F30"/>
    <w:rsid w:val="00BA452D"/>
    <w:rsid w:val="00BB244E"/>
    <w:rsid w:val="00BB4D81"/>
    <w:rsid w:val="00BC1955"/>
    <w:rsid w:val="00BD0D05"/>
    <w:rsid w:val="00BD16DD"/>
    <w:rsid w:val="00BD1CA0"/>
    <w:rsid w:val="00BD5405"/>
    <w:rsid w:val="00BE1A56"/>
    <w:rsid w:val="00BE348E"/>
    <w:rsid w:val="00BE55E6"/>
    <w:rsid w:val="00BE606E"/>
    <w:rsid w:val="00BE6D1D"/>
    <w:rsid w:val="00BF2E57"/>
    <w:rsid w:val="00C00147"/>
    <w:rsid w:val="00C0572D"/>
    <w:rsid w:val="00C1627A"/>
    <w:rsid w:val="00C17EA9"/>
    <w:rsid w:val="00C21702"/>
    <w:rsid w:val="00C22A11"/>
    <w:rsid w:val="00C2506A"/>
    <w:rsid w:val="00C26704"/>
    <w:rsid w:val="00C31F86"/>
    <w:rsid w:val="00C4338E"/>
    <w:rsid w:val="00C43CD6"/>
    <w:rsid w:val="00C44449"/>
    <w:rsid w:val="00C46DE3"/>
    <w:rsid w:val="00C47D2C"/>
    <w:rsid w:val="00C51C80"/>
    <w:rsid w:val="00C60856"/>
    <w:rsid w:val="00C6312E"/>
    <w:rsid w:val="00C63D94"/>
    <w:rsid w:val="00C64AFB"/>
    <w:rsid w:val="00C67F6A"/>
    <w:rsid w:val="00C700BE"/>
    <w:rsid w:val="00C72AEA"/>
    <w:rsid w:val="00C733C8"/>
    <w:rsid w:val="00C75919"/>
    <w:rsid w:val="00C75E2E"/>
    <w:rsid w:val="00C83B4E"/>
    <w:rsid w:val="00C85237"/>
    <w:rsid w:val="00C9396E"/>
    <w:rsid w:val="00C96112"/>
    <w:rsid w:val="00CA1847"/>
    <w:rsid w:val="00CA2C85"/>
    <w:rsid w:val="00CA79AD"/>
    <w:rsid w:val="00CB37C6"/>
    <w:rsid w:val="00CB3AB4"/>
    <w:rsid w:val="00CC5CFD"/>
    <w:rsid w:val="00CD5A5F"/>
    <w:rsid w:val="00CE16B0"/>
    <w:rsid w:val="00CE449B"/>
    <w:rsid w:val="00CE4D6B"/>
    <w:rsid w:val="00CF0B72"/>
    <w:rsid w:val="00CF24FC"/>
    <w:rsid w:val="00CF31AB"/>
    <w:rsid w:val="00CF40C9"/>
    <w:rsid w:val="00CF4883"/>
    <w:rsid w:val="00D02F13"/>
    <w:rsid w:val="00D045C9"/>
    <w:rsid w:val="00D05C96"/>
    <w:rsid w:val="00D06BE8"/>
    <w:rsid w:val="00D075AE"/>
    <w:rsid w:val="00D122DC"/>
    <w:rsid w:val="00D13533"/>
    <w:rsid w:val="00D2027A"/>
    <w:rsid w:val="00D22CD5"/>
    <w:rsid w:val="00D24463"/>
    <w:rsid w:val="00D246F5"/>
    <w:rsid w:val="00D2766A"/>
    <w:rsid w:val="00D307FB"/>
    <w:rsid w:val="00D35C60"/>
    <w:rsid w:val="00D52ADE"/>
    <w:rsid w:val="00D5505C"/>
    <w:rsid w:val="00D55C50"/>
    <w:rsid w:val="00D55F2D"/>
    <w:rsid w:val="00D61276"/>
    <w:rsid w:val="00D71125"/>
    <w:rsid w:val="00D755D0"/>
    <w:rsid w:val="00D81BDF"/>
    <w:rsid w:val="00D83A02"/>
    <w:rsid w:val="00D83F2E"/>
    <w:rsid w:val="00D84A90"/>
    <w:rsid w:val="00D87F9F"/>
    <w:rsid w:val="00D91B60"/>
    <w:rsid w:val="00D940CE"/>
    <w:rsid w:val="00DA0072"/>
    <w:rsid w:val="00DA2592"/>
    <w:rsid w:val="00DA4B80"/>
    <w:rsid w:val="00DA7DDA"/>
    <w:rsid w:val="00DB2A61"/>
    <w:rsid w:val="00DB3007"/>
    <w:rsid w:val="00DB6F89"/>
    <w:rsid w:val="00DB7693"/>
    <w:rsid w:val="00DC1C64"/>
    <w:rsid w:val="00DC3F27"/>
    <w:rsid w:val="00DD22DA"/>
    <w:rsid w:val="00DD2AF4"/>
    <w:rsid w:val="00DD783B"/>
    <w:rsid w:val="00DE2902"/>
    <w:rsid w:val="00DE5415"/>
    <w:rsid w:val="00DE57B4"/>
    <w:rsid w:val="00DE7AAE"/>
    <w:rsid w:val="00DF03E4"/>
    <w:rsid w:val="00DF2EFC"/>
    <w:rsid w:val="00DF7C86"/>
    <w:rsid w:val="00E03665"/>
    <w:rsid w:val="00E04287"/>
    <w:rsid w:val="00E0449B"/>
    <w:rsid w:val="00E04CDD"/>
    <w:rsid w:val="00E0551C"/>
    <w:rsid w:val="00E24C15"/>
    <w:rsid w:val="00E26AF4"/>
    <w:rsid w:val="00E33BDF"/>
    <w:rsid w:val="00E47107"/>
    <w:rsid w:val="00E5326A"/>
    <w:rsid w:val="00E54851"/>
    <w:rsid w:val="00E748FD"/>
    <w:rsid w:val="00E762CB"/>
    <w:rsid w:val="00E7631F"/>
    <w:rsid w:val="00E7674A"/>
    <w:rsid w:val="00E826CC"/>
    <w:rsid w:val="00E82E77"/>
    <w:rsid w:val="00E856B4"/>
    <w:rsid w:val="00E857DE"/>
    <w:rsid w:val="00E91918"/>
    <w:rsid w:val="00E92E1D"/>
    <w:rsid w:val="00EA0525"/>
    <w:rsid w:val="00EB0721"/>
    <w:rsid w:val="00EB0A00"/>
    <w:rsid w:val="00EB4EDD"/>
    <w:rsid w:val="00EB5876"/>
    <w:rsid w:val="00EC23E8"/>
    <w:rsid w:val="00EC3ED4"/>
    <w:rsid w:val="00EC411B"/>
    <w:rsid w:val="00EC5D9C"/>
    <w:rsid w:val="00EC7640"/>
    <w:rsid w:val="00ED2E29"/>
    <w:rsid w:val="00ED4A62"/>
    <w:rsid w:val="00EF017A"/>
    <w:rsid w:val="00EF6605"/>
    <w:rsid w:val="00F00331"/>
    <w:rsid w:val="00F01647"/>
    <w:rsid w:val="00F064A4"/>
    <w:rsid w:val="00F07139"/>
    <w:rsid w:val="00F07396"/>
    <w:rsid w:val="00F07559"/>
    <w:rsid w:val="00F07A59"/>
    <w:rsid w:val="00F10D24"/>
    <w:rsid w:val="00F12F4A"/>
    <w:rsid w:val="00F146F7"/>
    <w:rsid w:val="00F3050B"/>
    <w:rsid w:val="00F32DB9"/>
    <w:rsid w:val="00F34011"/>
    <w:rsid w:val="00F34172"/>
    <w:rsid w:val="00F413F1"/>
    <w:rsid w:val="00F42083"/>
    <w:rsid w:val="00F44C5C"/>
    <w:rsid w:val="00F4660C"/>
    <w:rsid w:val="00F46FCB"/>
    <w:rsid w:val="00F606A8"/>
    <w:rsid w:val="00F66315"/>
    <w:rsid w:val="00F6691F"/>
    <w:rsid w:val="00F677A1"/>
    <w:rsid w:val="00F72F20"/>
    <w:rsid w:val="00F82F74"/>
    <w:rsid w:val="00F838C9"/>
    <w:rsid w:val="00F84627"/>
    <w:rsid w:val="00F86DF9"/>
    <w:rsid w:val="00F879EE"/>
    <w:rsid w:val="00FA7571"/>
    <w:rsid w:val="00FB6287"/>
    <w:rsid w:val="00FB72EA"/>
    <w:rsid w:val="00FC2360"/>
    <w:rsid w:val="00FC7E49"/>
    <w:rsid w:val="00FD40EF"/>
    <w:rsid w:val="00FE2392"/>
    <w:rsid w:val="00FE2CB5"/>
    <w:rsid w:val="00FE43F3"/>
    <w:rsid w:val="00FE4C48"/>
    <w:rsid w:val="00FF19B8"/>
    <w:rsid w:val="00FF6AEE"/>
    <w:rsid w:val="00FF7375"/>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footnotePr/>
  <w:endnotePr/>
</w:settings>
</file>

<file path=word/styles.xml><?xml version="1.0" encoding="utf-8"?>
<w:styles xmlns:r="http://schemas.openxmlformats.org/officeDocument/2006/relationships" xmlns:w14="http://schemas.microsoft.com/office/word/2010/wordml" xmlns:w="http://schemas.openxmlformats.org/wordprocessingml/2006/main">
  <w:docDefaults>
    <w:rPrDefault>
      <w:rPr>
        <w:rFonts w:asciiTheme="minorHAnsi" w:cstheme="minorBidi" w:eastAsiaTheme="minorHAnsi" w:hAnsiTheme="minorHAnsi"/>
        <w:sz w:val="22"/>
        <w:szCs w:val="22"/>
        <w:lang w:val="ru-RU" w:bidi="ar-SA" w:eastAsia="en-US"/>
      </w:rPr>
    </w:rPrDefault>
    <w:pPrDefault>
      <w:pPr>
        <w:spacing w:after="200" w:line="276" w:lineRule="auto"/>
      </w:pPr>
    </w:pPrDefault>
  </w:docDefaults>
  <w:style w:type="character" w:customStyle="1" w:styleId="TitleChar">
    <w:name w:val="Title Char"/>
    <w:uiPriority w:val="10"/>
    <w:rPr>
      <w:rFonts w:asciiTheme="majorHAnsi" w:cstheme="majorBidi" w:eastAsiaTheme="majorEastAsia" w:hAnsiTheme="majorHAnsi"/>
      <w:color w:val="17375d" w:themeColor="text2" w:themeShade="bf"/>
      <w:spacing w:val="5"/>
      <w:sz w:val="52"/>
      <w:szCs w:val="52"/>
    </w:rPr>
  </w:style>
  <w:style w:type="character" w:customStyle="1" w:styleId="SubtitleChar">
    <w:name w:val="Subtitle Char"/>
    <w:uiPriority w:val="11"/>
    <w:rPr>
      <w:rFonts w:asciiTheme="majorHAnsi" w:cstheme="majorBidi" w:eastAsiaTheme="majorEastAsia" w:hAnsiTheme="majorHAnsi"/>
      <w:i/>
      <w:iCs/>
      <w:color w:val="4f81bd" w:themeColor="accent1"/>
      <w:spacing w:val="15"/>
      <w:sz w:val="24"/>
      <w:szCs w:val="24"/>
    </w:rPr>
  </w:style>
  <w:style w:type="character" w:customStyle="1" w:styleId="QuoteChar">
    <w:name w:val="Quote Char"/>
    <w:uiPriority w:val="29"/>
    <w:rPr>
      <w:i/>
      <w:iCs/>
      <w:color w:val="000000" w:themeColor="text1"/>
    </w:rPr>
  </w:style>
  <w:style w:type="character" w:customStyle="1" w:styleId="IntenseQuoteChar">
    <w:name w:val="Intense Quote Char"/>
    <w:uiPriority w:val="30"/>
    <w:rPr>
      <w:b/>
      <w:bCs/>
      <w:i/>
      <w:iCs/>
      <w:color w:val="4f81bd" w:themeColor="accent1"/>
    </w:rPr>
  </w:style>
  <w:style w:type="character" w:customStyle="1" w:styleId="PlainTextChar">
    <w:name w:val="Plain Text Char"/>
    <w:uiPriority w:val="99"/>
    <w:rPr>
      <w:rFonts w:ascii="Courier New" w:cs="Courier New" w:hAnsi="Courier New"/>
      <w:sz w:val="21"/>
      <w:szCs w:val="21"/>
    </w:rPr>
  </w:style>
  <w:style w:type="paragraph" w:default="1" w:styleId="Normal">
    <w:name w:val="Normal"/>
    <w:uiPriority w:val="99"/>
    <w:qFormat w:val="on"/>
  </w:style>
  <w:style w:type="character" w:default="1" w:styleId="DefaultParagraphFont">
    <w:name w:val="Default Paragraph Font"/>
    <w:uiPriority w:val="1"/>
    <w:semiHidden w:val="on"/>
    <w:unhideWhenUsed w:val="on"/>
  </w:style>
  <w:style w:type="table" w:default="1" w:styleId="NormalTable">
    <w:name w:val="Normal Table"/>
    <w:uiPriority w:val="99"/>
    <w:semiHidden w:val="on"/>
    <w:unhideWhenUsed w:val="on"/>
    <w:qFormat w:val="on"/>
    <w:tblPr>
      <w:tblInd w:w="0" w:type="dxa"/>
      <w:tblCellMar>
        <w:top w:w="0" w:type="dxa"/>
        <w:left w:w="108" w:type="dxa"/>
        <w:bottom w:w="0" w:type="dxa"/>
        <w:right w:w="108" w:type="dxa"/>
      </w:tblCellMar>
    </w:tblPr>
  </w:style>
  <w:style w:type="numbering" w:default="1" w:styleId="NoList">
    <w:name w:val="No List"/>
    <w:uiPriority w:val="99"/>
    <w:semiHidden w:val="on"/>
    <w:unhideWhenUsed w:val="on"/>
  </w:style>
  <w:style w:type="paragraph" w:customStyle="1" w:styleId="Heading1">
    <w:name w:val="Heading 1"/>
    <w:link w:val="Heading1Char"/>
    <w:uiPriority w:val="9"/>
    <w:qFormat w:val="on"/>
    <w:pPr>
      <w:keepNext w:val="on"/>
      <w:keepLines w:val="on"/>
      <w:spacing w:before="480" w:after="0"/>
    </w:pPr>
    <w:rPr>
      <w:rFonts w:asciiTheme="majorHAnsi" w:cstheme="majorBidi" w:eastAsiaTheme="majorEastAsia" w:hAnsiTheme="majorHAnsi"/>
      <w:b/>
      <w:bCs/>
      <w:color w:val="376091" w:themeColor="accent1" w:themeShade="bf"/>
      <w:sz w:val="28"/>
      <w:szCs w:val="28"/>
    </w:rPr>
  </w:style>
  <w:style w:type="paragraph" w:customStyle="1" w:styleId="Heading2">
    <w:name w:val="Heading 2"/>
    <w:link w:val="Heading2Char"/>
    <w:uiPriority w:val="9"/>
    <w:semiHidden w:val="on"/>
    <w:unhideWhenUsed w:val="on"/>
    <w:qFormat w:val="on"/>
    <w:pPr>
      <w:keepNext w:val="on"/>
      <w:keepLines w:val="on"/>
      <w:spacing w:before="200" w:after="0"/>
    </w:pPr>
    <w:rPr>
      <w:rFonts w:asciiTheme="majorHAnsi" w:cstheme="majorBidi" w:eastAsiaTheme="majorEastAsia" w:hAnsiTheme="majorHAnsi"/>
      <w:b/>
      <w:bCs/>
      <w:color w:val="4f81bd" w:themeColor="accent1"/>
      <w:sz w:val="26"/>
      <w:szCs w:val="26"/>
    </w:rPr>
  </w:style>
  <w:style w:type="paragraph" w:customStyle="1" w:styleId="Heading3">
    <w:name w:val="Heading 3"/>
    <w:link w:val="Heading3Char"/>
    <w:uiPriority w:val="9"/>
    <w:semiHidden w:val="on"/>
    <w:unhideWhenUsed w:val="on"/>
    <w:qFormat w:val="on"/>
    <w:pPr>
      <w:keepNext w:val="on"/>
      <w:keepLines w:val="on"/>
      <w:spacing w:before="200" w:after="0"/>
    </w:pPr>
    <w:rPr>
      <w:rFonts w:asciiTheme="majorHAnsi" w:cstheme="majorBidi" w:eastAsiaTheme="majorEastAsia" w:hAnsiTheme="majorHAnsi"/>
      <w:b/>
      <w:bCs/>
      <w:color w:val="4f81bd" w:themeColor="accent1"/>
    </w:rPr>
  </w:style>
  <w:style w:type="paragraph" w:customStyle="1" w:styleId="Heading4">
    <w:name w:val="Heading 4"/>
    <w:link w:val="Heading4Char"/>
    <w:uiPriority w:val="9"/>
    <w:semiHidden w:val="on"/>
    <w:unhideWhenUsed w:val="on"/>
    <w:qFormat w:val="on"/>
    <w:pPr>
      <w:keepNext w:val="on"/>
      <w:keepLines w:val="on"/>
      <w:spacing w:before="200" w:after="0"/>
    </w:pPr>
    <w:rPr>
      <w:rFonts w:asciiTheme="majorHAnsi" w:cstheme="majorBidi" w:eastAsiaTheme="majorEastAsia" w:hAnsiTheme="majorHAnsi"/>
      <w:b/>
      <w:bCs/>
      <w:i/>
      <w:iCs/>
      <w:color w:val="4f81bd" w:themeColor="accent1"/>
    </w:rPr>
  </w:style>
  <w:style w:type="paragraph" w:customStyle="1" w:styleId="Heading5">
    <w:name w:val="Heading 5"/>
    <w:link w:val="Heading5Char"/>
    <w:uiPriority w:val="9"/>
    <w:semiHidden w:val="on"/>
    <w:unhideWhenUsed w:val="on"/>
    <w:qFormat w:val="on"/>
    <w:pPr>
      <w:keepNext w:val="on"/>
      <w:keepLines w:val="on"/>
      <w:spacing w:before="200" w:after="0"/>
    </w:pPr>
    <w:rPr>
      <w:rFonts w:asciiTheme="majorHAnsi" w:cstheme="majorBidi" w:eastAsiaTheme="majorEastAsia" w:hAnsiTheme="majorHAnsi"/>
      <w:color w:val="243f60" w:themeColor="accent1" w:themeShade="7f"/>
    </w:rPr>
  </w:style>
  <w:style w:type="paragraph" w:customStyle="1" w:styleId="Heading6">
    <w:name w:val="Heading 6"/>
    <w:link w:val="Heading6Char"/>
    <w:uiPriority w:val="9"/>
    <w:semiHidden w:val="on"/>
    <w:unhideWhenUsed w:val="on"/>
    <w:qFormat w:val="on"/>
    <w:pPr>
      <w:keepNext w:val="on"/>
      <w:keepLines w:val="on"/>
      <w:spacing w:before="200" w:after="0"/>
    </w:pPr>
    <w:rPr>
      <w:rFonts w:asciiTheme="majorHAnsi" w:cstheme="majorBidi" w:eastAsiaTheme="majorEastAsia" w:hAnsiTheme="majorHAnsi"/>
      <w:i/>
      <w:iCs/>
      <w:color w:val="243f60" w:themeColor="accent1" w:themeShade="7f"/>
    </w:rPr>
  </w:style>
  <w:style w:type="paragraph" w:customStyle="1" w:styleId="Heading7">
    <w:name w:val="Heading 7"/>
    <w:link w:val="Heading7Char"/>
    <w:uiPriority w:val="9"/>
    <w:semiHidden w:val="on"/>
    <w:unhideWhenUsed w:val="on"/>
    <w:qFormat w:val="on"/>
    <w:pPr>
      <w:keepNext w:val="on"/>
      <w:keepLines w:val="on"/>
      <w:spacing w:before="200" w:after="0"/>
    </w:pPr>
    <w:rPr>
      <w:rFonts w:asciiTheme="majorHAnsi" w:cstheme="majorBidi" w:eastAsiaTheme="majorEastAsia" w:hAnsiTheme="majorHAnsi"/>
      <w:i/>
      <w:iCs/>
      <w:color w:val="404040" w:themeColor="text1" w:themeTint="bf"/>
    </w:rPr>
  </w:style>
  <w:style w:type="paragraph" w:customStyle="1" w:styleId="Heading8">
    <w:name w:val="Heading 8"/>
    <w:link w:val="Heading8Char"/>
    <w:uiPriority w:val="9"/>
    <w:semiHidden w:val="on"/>
    <w:unhideWhenUsed w:val="on"/>
    <w:qFormat w:val="on"/>
    <w:pPr>
      <w:keepNext w:val="on"/>
      <w:keepLines w:val="on"/>
      <w:spacing w:before="200" w:after="0"/>
    </w:pPr>
    <w:rPr>
      <w:rFonts w:asciiTheme="majorHAnsi" w:cstheme="majorBidi" w:eastAsiaTheme="majorEastAsia" w:hAnsiTheme="majorHAnsi"/>
      <w:color w:val="404040" w:themeColor="text1" w:themeTint="bf"/>
      <w:sz w:val="20"/>
      <w:szCs w:val="20"/>
    </w:rPr>
  </w:style>
  <w:style w:type="paragraph" w:customStyle="1" w:styleId="Heading9">
    <w:name w:val="Heading 9"/>
    <w:link w:val="Heading9Char"/>
    <w:uiPriority w:val="9"/>
    <w:semiHidden w:val="on"/>
    <w:unhideWhenUsed w:val="on"/>
    <w:qFormat w:val="on"/>
    <w:pPr>
      <w:keepNext w:val="on"/>
      <w:keepLines w:val="on"/>
      <w:spacing w:before="200" w:after="0"/>
    </w:pPr>
    <w:rPr>
      <w:rFonts w:asciiTheme="majorHAnsi" w:cstheme="majorBidi" w:eastAsiaTheme="majorEastAsia" w:hAnsiTheme="majorHAnsi"/>
      <w:i/>
      <w:iCs/>
      <w:color w:val="404040" w:themeColor="text1" w:themeTint="bf"/>
      <w:sz w:val="20"/>
      <w:szCs w:val="20"/>
    </w:rPr>
  </w:style>
  <w:style w:type="paragraph" w:styleId="NoSpacing">
    <w:name w:val="No Spacing"/>
    <w:uiPriority w:val="1"/>
    <w:qFormat w:val="on"/>
    <w:pPr>
      <w:spacing w:after="0" w:line="240" w:lineRule="auto"/>
    </w:pPr>
  </w:style>
  <w:style w:type="character" w:customStyle="1" w:styleId="Heading1Char">
    <w:name w:val="Heading 1 Char"/>
    <w:link w:val="Heading1"/>
    <w:uiPriority w:val="9"/>
    <w:rPr>
      <w:rFonts w:asciiTheme="majorHAnsi" w:cstheme="majorBidi" w:eastAsiaTheme="majorEastAsia" w:hAnsiTheme="majorHAnsi"/>
      <w:b/>
      <w:bCs/>
      <w:color w:val="376091" w:themeColor="accent1" w:themeShade="bf"/>
      <w:sz w:val="28"/>
      <w:szCs w:val="28"/>
    </w:rPr>
  </w:style>
  <w:style w:type="character" w:customStyle="1" w:styleId="Heading2Char">
    <w:name w:val="Heading 2 Char"/>
    <w:link w:val="Heading2"/>
    <w:uiPriority w:val="9"/>
    <w:rPr>
      <w:rFonts w:asciiTheme="majorHAnsi" w:cstheme="majorBidi" w:eastAsiaTheme="majorEastAsia" w:hAnsiTheme="majorHAnsi"/>
      <w:b/>
      <w:bCs/>
      <w:color w:val="4f81bd" w:themeColor="accent1"/>
      <w:sz w:val="26"/>
      <w:szCs w:val="26"/>
    </w:rPr>
  </w:style>
  <w:style w:type="character" w:customStyle="1" w:styleId="Heading3Char">
    <w:name w:val="Heading 3 Char"/>
    <w:link w:val="Heading3"/>
    <w:uiPriority w:val="9"/>
    <w:rPr>
      <w:rFonts w:asciiTheme="majorHAnsi" w:cstheme="majorBidi" w:eastAsiaTheme="majorEastAsia" w:hAnsiTheme="majorHAnsi"/>
      <w:b/>
      <w:bCs/>
      <w:color w:val="4f81bd" w:themeColor="accent1"/>
    </w:rPr>
  </w:style>
  <w:style w:type="character" w:customStyle="1" w:styleId="Heading4Char">
    <w:name w:val="Heading 4 Char"/>
    <w:link w:val="Heading4"/>
    <w:uiPriority w:val="9"/>
    <w:rPr>
      <w:rFonts w:asciiTheme="majorHAnsi" w:cstheme="majorBidi" w:eastAsiaTheme="majorEastAsia" w:hAnsiTheme="majorHAnsi"/>
      <w:b/>
      <w:bCs/>
      <w:i/>
      <w:iCs/>
      <w:color w:val="4f81bd" w:themeColor="accent1"/>
    </w:rPr>
  </w:style>
  <w:style w:type="character" w:customStyle="1" w:styleId="Heading5Char">
    <w:name w:val="Heading 5 Char"/>
    <w:link w:val="Heading5"/>
    <w:uiPriority w:val="9"/>
    <w:rPr>
      <w:rFonts w:asciiTheme="majorHAnsi" w:cstheme="majorBidi" w:eastAsiaTheme="majorEastAsia" w:hAnsiTheme="majorHAnsi"/>
      <w:color w:val="243f60" w:themeColor="accent1" w:themeShade="7f"/>
    </w:rPr>
  </w:style>
  <w:style w:type="character" w:customStyle="1" w:styleId="Heading6Char">
    <w:name w:val="Heading 6 Char"/>
    <w:link w:val="Heading6"/>
    <w:uiPriority w:val="9"/>
    <w:rPr>
      <w:rFonts w:asciiTheme="majorHAnsi" w:cstheme="majorBidi" w:eastAsiaTheme="majorEastAsia" w:hAnsiTheme="majorHAnsi"/>
      <w:i/>
      <w:iCs/>
      <w:color w:val="243f60" w:themeColor="accent1" w:themeShade="7f"/>
    </w:rPr>
  </w:style>
  <w:style w:type="character" w:customStyle="1" w:styleId="Heading7Char">
    <w:name w:val="Heading 7 Char"/>
    <w:link w:val="Heading7"/>
    <w:uiPriority w:val="9"/>
    <w:rPr>
      <w:rFonts w:asciiTheme="majorHAnsi" w:cstheme="majorBidi" w:eastAsiaTheme="majorEastAsia" w:hAnsiTheme="majorHAnsi"/>
      <w:i/>
      <w:iCs/>
      <w:color w:val="404040" w:themeColor="text1" w:themeTint="bf"/>
    </w:rPr>
  </w:style>
  <w:style w:type="character" w:customStyle="1" w:styleId="Heading8Char">
    <w:name w:val="Heading 8 Char"/>
    <w:link w:val="Heading8"/>
    <w:uiPriority w:val="9"/>
    <w:rPr>
      <w:rFonts w:asciiTheme="majorHAnsi" w:cstheme="majorBidi" w:eastAsiaTheme="majorEastAsia" w:hAnsiTheme="majorHAnsi"/>
      <w:color w:val="404040" w:themeColor="text1" w:themeTint="bf"/>
      <w:sz w:val="20"/>
      <w:szCs w:val="20"/>
    </w:rPr>
  </w:style>
  <w:style w:type="character" w:customStyle="1" w:styleId="Heading9Char">
    <w:name w:val="Heading 9 Char"/>
    <w:link w:val="Heading9"/>
    <w:uiPriority w:val="9"/>
    <w:rPr>
      <w:rFonts w:asciiTheme="majorHAnsi" w:cstheme="majorBidi" w:eastAsiaTheme="majorEastAsia" w:hAnsiTheme="majorHAnsi"/>
      <w:i/>
      <w:iCs/>
      <w:color w:val="404040" w:themeColor="text1" w:themeTint="bf"/>
      <w:sz w:val="20"/>
      <w:szCs w:val="20"/>
    </w:rPr>
  </w:style>
  <w:style w:type="paragraph" w:styleId="Title">
    <w:name w:val="Title"/>
    <w:link w:val="НазваниеЗнак"/>
    <w:uiPriority w:val="10"/>
    <w:qFormat w:val="on"/>
    <w:pPr>
      <w:pBdr>
        <w:bottom w:val="single" w:color="4f81bd" w:themeColor="accent1" w:sz="8" w:space="4"/>
      </w:pBdr>
      <w:spacing w:after="300" w:line="240" w:lineRule="auto"/>
      <w:contextualSpacing w:val="on"/>
    </w:pPr>
    <w:rPr>
      <w:rFonts w:asciiTheme="majorHAnsi" w:cstheme="majorBidi" w:eastAsiaTheme="majorEastAsia" w:hAnsiTheme="majorHAnsi"/>
      <w:color w:val="17375d" w:themeColor="text2" w:themeShade="bf"/>
      <w:spacing w:val="5"/>
      <w:sz w:val="52"/>
      <w:szCs w:val="52"/>
    </w:rPr>
  </w:style>
  <w:style w:type="character" w:customStyle="1" w:styleId="НазваниеЗнак">
    <w:name w:val="Название Знак"/>
    <w:link w:val="Title"/>
    <w:uiPriority w:val="10"/>
    <w:rPr>
      <w:rFonts w:asciiTheme="majorHAnsi" w:cstheme="majorBidi" w:eastAsiaTheme="majorEastAsia" w:hAnsiTheme="majorHAnsi"/>
      <w:color w:val="17375d" w:themeColor="text2" w:themeShade="bf"/>
      <w:spacing w:val="5"/>
      <w:sz w:val="52"/>
      <w:szCs w:val="52"/>
    </w:rPr>
  </w:style>
  <w:style w:type="paragraph" w:styleId="Subtitle">
    <w:name w:val="Subtitle"/>
    <w:link w:val="ПодзаголовокЗнак"/>
    <w:uiPriority w:val="11"/>
    <w:qFormat w:val="on"/>
    <w:rPr>
      <w:rFonts w:asciiTheme="majorHAnsi" w:cstheme="majorBidi" w:eastAsiaTheme="majorEastAsia" w:hAnsiTheme="majorHAnsi"/>
      <w:i/>
      <w:iCs/>
      <w:color w:val="4f81bd" w:themeColor="accent1"/>
      <w:spacing w:val="15"/>
      <w:sz w:val="24"/>
      <w:szCs w:val="24"/>
    </w:rPr>
  </w:style>
  <w:style w:type="character" w:customStyle="1" w:styleId="ПодзаголовокЗнак">
    <w:name w:val="Подзаголовок Знак"/>
    <w:link w:val="Subtitle"/>
    <w:uiPriority w:val="11"/>
    <w:rPr>
      <w:rFonts w:asciiTheme="majorHAnsi" w:cstheme="majorBidi" w:eastAsiaTheme="majorEastAsia" w:hAnsiTheme="majorHAnsi"/>
      <w:i/>
      <w:iCs/>
      <w:color w:val="4f81bd" w:themeColor="accent1"/>
      <w:spacing w:val="15"/>
      <w:sz w:val="24"/>
      <w:szCs w:val="24"/>
    </w:rPr>
  </w:style>
  <w:style w:type="character" w:styleId="SubtleEmphasis">
    <w:name w:val="Subtle Emphasis"/>
    <w:uiPriority w:val="19"/>
    <w:qFormat w:val="on"/>
    <w:rPr>
      <w:i/>
      <w:iCs/>
      <w:color w:val="808080" w:themeColor="text1" w:themeTint="7f"/>
    </w:rPr>
  </w:style>
  <w:style w:type="character" w:styleId="IntenseEmphasis">
    <w:name w:val="Intense Emphasis"/>
    <w:uiPriority w:val="21"/>
    <w:qFormat w:val="on"/>
    <w:rPr>
      <w:b/>
      <w:bCs/>
      <w:i/>
      <w:iCs/>
      <w:color w:val="4f81bd" w:themeColor="accent1"/>
    </w:rPr>
  </w:style>
  <w:style w:type="character" w:styleId="Strong">
    <w:name w:val="Strong"/>
    <w:uiPriority w:val="22"/>
    <w:qFormat w:val="on"/>
    <w:rPr>
      <w:b/>
      <w:bCs/>
    </w:rPr>
  </w:style>
  <w:style w:type="paragraph" w:styleId="Quote">
    <w:name w:val="Quote"/>
    <w:link w:val="Цитата2Знак"/>
    <w:uiPriority w:val="29"/>
    <w:qFormat w:val="on"/>
    <w:rPr>
      <w:i/>
      <w:iCs/>
      <w:color w:val="000000" w:themeColor="text1"/>
    </w:rPr>
  </w:style>
  <w:style w:type="character" w:customStyle="1" w:styleId="Цитата2Знак">
    <w:name w:val="Цитата 2 Знак"/>
    <w:link w:val="Quote"/>
    <w:uiPriority w:val="29"/>
    <w:rPr>
      <w:i/>
      <w:iCs/>
      <w:color w:val="000000" w:themeColor="text1"/>
    </w:rPr>
  </w:style>
  <w:style w:type="paragraph" w:styleId="IntenseQuote">
    <w:name w:val="Intense Quote"/>
    <w:link w:val="ВыделеннаяцитатаЗнак"/>
    <w:uiPriority w:val="30"/>
    <w:qFormat w:val="on"/>
    <w:pPr>
      <w:pBdr>
        <w:bottom w:val="single" w:color="4f81bd" w:themeColor="accent1" w:sz="4" w:space="4"/>
      </w:pBdr>
      <w:spacing w:before="200" w:after="280"/>
      <w:ind w:left="936" w:right="936"/>
    </w:pPr>
    <w:rPr>
      <w:b/>
      <w:bCs/>
      <w:i/>
      <w:iCs/>
      <w:color w:val="4f81bd" w:themeColor="accent1"/>
    </w:rPr>
  </w:style>
  <w:style w:type="character" w:customStyle="1" w:styleId="ВыделеннаяцитатаЗнак">
    <w:name w:val="Выделенная цитата Знак"/>
    <w:link w:val="IntenseQuote"/>
    <w:uiPriority w:val="30"/>
    <w:rPr>
      <w:b/>
      <w:bCs/>
      <w:i/>
      <w:iCs/>
      <w:color w:val="4f81bd" w:themeColor="accent1"/>
    </w:rPr>
  </w:style>
  <w:style w:type="character" w:styleId="SubtleReference">
    <w:name w:val="Subtle Reference"/>
    <w:uiPriority w:val="31"/>
    <w:qFormat w:val="on"/>
    <w:rPr>
      <w:smallCaps/>
      <w:color w:val="c0504d" w:themeColor="accent2"/>
      <w:u w:val="single"/>
    </w:rPr>
  </w:style>
  <w:style w:type="character" w:styleId="IntenseReference">
    <w:name w:val="Intense Reference"/>
    <w:uiPriority w:val="32"/>
    <w:qFormat w:val="on"/>
    <w:rPr>
      <w:b/>
      <w:bCs/>
      <w:smallCaps/>
      <w:color w:val="c0504d" w:themeColor="accent2"/>
      <w:spacing w:val="5"/>
      <w:u w:val="single"/>
    </w:rPr>
  </w:style>
  <w:style w:type="character" w:styleId="BookTitle">
    <w:name w:val="Book Title"/>
    <w:uiPriority w:val="33"/>
    <w:qFormat w:val="on"/>
    <w:rPr>
      <w:b/>
      <w:bCs/>
      <w:smallCaps/>
      <w:spacing w:val="5"/>
    </w:rPr>
  </w:style>
  <w:style w:type="paragraph" w:customStyle="1" w:styleId="Footnotetext">
    <w:name w:val="Footnote text"/>
    <w:link w:val="FootnoteTextChar"/>
    <w:uiPriority w:val="99"/>
    <w:semiHidden w:val="on"/>
    <w:unhideWhenUsed w:val="on"/>
    <w:pPr>
      <w:spacing w:after="0" w:line="240" w:lineRule="auto"/>
    </w:pPr>
    <w:rPr>
      <w:sz w:val="20"/>
      <w:szCs w:val="20"/>
    </w:rPr>
  </w:style>
  <w:style w:type="character" w:customStyle="1" w:styleId="FootnoteTextChar">
    <w:name w:val="Footnote Text Char"/>
    <w:link w:val="Footnotetext"/>
    <w:uiPriority w:val="99"/>
    <w:semiHidden w:val="on"/>
    <w:rPr>
      <w:sz w:val="20"/>
      <w:szCs w:val="20"/>
    </w:rPr>
  </w:style>
  <w:style w:type="character" w:customStyle="1" w:styleId="Footnotereference">
    <w:name w:val="Footnote reference"/>
    <w:uiPriority w:val="99"/>
    <w:semiHidden w:val="on"/>
    <w:unhideWhenUsed w:val="on"/>
    <w:rPr>
      <w:vertAlign w:val="superscript"/>
    </w:rPr>
  </w:style>
  <w:style w:type="paragraph" w:customStyle="1" w:styleId="Endnotetext">
    <w:name w:val="Endnote text"/>
    <w:link w:val="EndnoteTextChar"/>
    <w:uiPriority w:val="99"/>
    <w:semiHidden w:val="on"/>
    <w:unhideWhenUsed w:val="on"/>
    <w:pPr>
      <w:spacing w:after="0" w:line="240" w:lineRule="auto"/>
    </w:pPr>
    <w:rPr>
      <w:sz w:val="20"/>
      <w:szCs w:val="20"/>
    </w:rPr>
  </w:style>
  <w:style w:type="character" w:customStyle="1" w:styleId="EndnoteTextChar">
    <w:name w:val="Endnote Text Char"/>
    <w:link w:val="Endnotetext"/>
    <w:uiPriority w:val="99"/>
    <w:semiHidden w:val="on"/>
    <w:rPr>
      <w:sz w:val="20"/>
      <w:szCs w:val="20"/>
    </w:rPr>
  </w:style>
  <w:style w:type="character" w:customStyle="1" w:styleId="Endnotereference">
    <w:name w:val="Endnote reference"/>
    <w:uiPriority w:val="99"/>
    <w:semiHidden w:val="on"/>
    <w:unhideWhenUsed w:val="on"/>
    <w:rPr>
      <w:vertAlign w:val="superscript"/>
    </w:rPr>
  </w:style>
  <w:style w:type="character" w:styleId="FollowedHyperlink">
    <w:name w:val="FollowedHyperlink"/>
    <w:uiPriority w:val="99"/>
    <w:semiHidden w:val="on"/>
    <w:unhideWhenUsed w:val="on"/>
    <w:rPr>
      <w:color w:val="800080" w:themeColor="followedHyperlink"/>
      <w:u w:val="single"/>
    </w:rPr>
  </w:style>
  <w:style w:type="paragraph" w:styleId="PlainText">
    <w:name w:val="Plain Text"/>
    <w:link w:val="ТекстЗнак"/>
    <w:uiPriority w:val="99"/>
    <w:semiHidden w:val="on"/>
    <w:unhideWhenUsed w:val="on"/>
    <w:pPr>
      <w:spacing w:after="0" w:line="240" w:lineRule="auto"/>
    </w:pPr>
    <w:rPr>
      <w:rFonts w:ascii="Courier New" w:cs="Courier New" w:hAnsi="Courier New"/>
      <w:sz w:val="21"/>
      <w:szCs w:val="21"/>
    </w:rPr>
  </w:style>
  <w:style w:type="character" w:customStyle="1" w:styleId="ТекстЗнак">
    <w:name w:val="Текст Знак"/>
    <w:link w:val="PlainText"/>
    <w:uiPriority w:val="99"/>
    <w:rPr>
      <w:rFonts w:ascii="Courier New" w:cs="Courier New" w:hAnsi="Courier New"/>
      <w:sz w:val="21"/>
      <w:szCs w:val="21"/>
    </w:rPr>
  </w:style>
  <w:style w:type="paragraph" w:customStyle="1" w:styleId="Header">
    <w:name w:val="Header"/>
    <w:link w:val="HeaderChar"/>
    <w:uiPriority w:val="99"/>
    <w:unhideWhenUsed w:val="on"/>
    <w:pPr>
      <w:spacing w:after="0" w:line="240" w:lineRule="auto"/>
    </w:pPr>
  </w:style>
  <w:style w:type="character" w:customStyle="1" w:styleId="HeaderChar">
    <w:name w:val="Header Char"/>
    <w:link w:val="Header"/>
    <w:uiPriority w:val="99"/>
  </w:style>
  <w:style w:type="paragraph" w:customStyle="1" w:styleId="Footer">
    <w:name w:val="Footer"/>
    <w:link w:val="FooterChar"/>
    <w:uiPriority w:val="99"/>
    <w:unhideWhenUsed w:val="on"/>
    <w:pPr>
      <w:spacing w:after="0" w:line="240" w:lineRule="auto"/>
    </w:pPr>
  </w:style>
  <w:style w:type="character" w:customStyle="1" w:styleId="FooterChar">
    <w:name w:val="Footer Char"/>
    <w:link w:val="Footer"/>
    <w:uiPriority w:val="99"/>
  </w:style>
  <w:style w:type="paragraph" w:customStyle="1" w:styleId="Caption">
    <w:name w:val="Caption"/>
    <w:uiPriority w:val="35"/>
    <w:unhideWhenUsed w:val="on"/>
    <w:qFormat w:val="on"/>
    <w:pPr>
      <w:spacing w:line="240" w:lineRule="auto"/>
    </w:pPr>
    <w:rPr>
      <w:i/>
      <w:iCs/>
      <w:color w:val="1f497d" w:themeColor="text2"/>
      <w:sz w:val="18"/>
      <w:szCs w:val="18"/>
    </w:rPr>
  </w:style>
  <w:style w:type="character" w:styleId="Hyperlink">
    <w:name w:val="Hyperlink"/>
    <w:basedOn w:val="DefaultParagraphFont"/>
    <w:uiPriority w:val="99"/>
    <w:unhideWhenUsed w:val="on"/>
    <w:rPr>
      <w:color w:val="0000ff"/>
      <w:u w:val="single"/>
    </w:rPr>
  </w:style>
  <w:style w:type="paragraph" w:styleId="BalloonText">
    <w:name w:val="Balloon Text"/>
    <w:basedOn w:val="Normal"/>
    <w:link w:val="ТекствыноскиЗнак"/>
    <w:uiPriority w:val="99"/>
    <w:semiHidden w:val="on"/>
    <w:unhideWhenUsed w:val="on"/>
    <w:pPr>
      <w:spacing w:after="0" w:line="240" w:lineRule="auto"/>
    </w:pPr>
    <w:rPr>
      <w:rFonts w:ascii="Tahoma" w:cs="Tahoma" w:hAnsi="Tahoma"/>
      <w:sz w:val="16"/>
      <w:szCs w:val="16"/>
    </w:rPr>
  </w:style>
  <w:style w:type="character" w:customStyle="1" w:styleId="ТекствыноскиЗнак">
    <w:name w:val="Текст выноски Знак"/>
    <w:basedOn w:val="DefaultParagraphFont"/>
    <w:link w:val="BalloonText"/>
    <w:uiPriority w:val="99"/>
    <w:semiHidden w:val="on"/>
    <w:rPr>
      <w:rFonts w:ascii="Tahoma" w:cs="Tahoma" w:hAnsi="Tahoma"/>
      <w:sz w:val="16"/>
      <w:szCs w:val="16"/>
    </w:rPr>
  </w:style>
  <w:style w:type="table" w:styleId="TableGrid">
    <w:name w:val="Table Grid"/>
    <w:basedOn w:val="NormalTable"/>
    <w:uiPriority w:val="99"/>
    <w:pPr>
      <w:spacing w:after="0" w:line="240" w:lineRule="auto"/>
    </w:pPr>
    <w:rPr>
      <w:rFonts w:ascii="Times New Roman" w:cs="Times New Roman" w:eastAsia="Times New Roman" w:hAnsi="Times New Roman"/>
      <w:sz w:val="20"/>
      <w:szCs w:val="20"/>
      <w:lang w:eastAsia="ru-RU"/>
    </w:rPr>
    <w:tblP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table" w:customStyle="1" w:styleId="Сеткатаблицы1">
    <w:name w:val="Сетка таблицы1"/>
    <w:basedOn w:val="NormalTable"/>
    <w:uiPriority w:val="59"/>
    <w:pPr>
      <w:spacing w:after="0" w:line="240" w:lineRule="auto"/>
    </w:pPr>
    <w:tblPr>
      <w:tblInd w:w="0" w:type="dxa"/>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
  </w:style>
  <w:style w:type="paragraph" w:styleId="Normal(Web)">
    <w:name w:val="Normal (Web)"/>
    <w:basedOn w:val="Normal"/>
    <w:uiPriority w:val="99"/>
    <w:unhideWhenUsed w:val="on"/>
    <w:pPr>
      <w:spacing w:before="100" w:after="100" w:line="240" w:lineRule="auto"/>
    </w:pPr>
    <w:rPr>
      <w:rFonts w:ascii="Times New Roman" w:cs="Times New Roman" w:eastAsia="Times New Roman" w:hAnsi="Times New Roman"/>
      <w:sz w:val="24"/>
      <w:szCs w:val="24"/>
      <w:lang w:eastAsia="ru-RU"/>
    </w:rPr>
  </w:style>
  <w:style w:type="character" w:styleId="Emphasis">
    <w:name w:val="Emphasis"/>
    <w:basedOn w:val="DefaultParagraphFont"/>
    <w:uiPriority w:val="20"/>
    <w:qFormat w:val="on"/>
    <w:rPr>
      <w:i/>
      <w:iCs/>
    </w:rPr>
  </w:style>
  <w:style w:type="paragraph" w:styleId="ListParagraph">
    <w:name w:val="List Paragraph"/>
    <w:basedOn w:val="Normal"/>
    <w:uiPriority w:val="34"/>
    <w:qFormat w:val="on"/>
    <w:pPr>
      <w:ind w:left="720"/>
      <w:contextualSpacing w:val="on"/>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F32DB9"/>
    <w:rPr>
      <w:color w:val="0000FF"/>
      <w:u w:val="single"/>
    </w:rPr>
  </w:style>
  <w:style w:type="paragraph" w:styleId="a4">
    <w:name w:val="Balloon Text"/>
    <w:basedOn w:val="a"/>
    <w:link w:val="a5"/>
    <w:uiPriority w:val="99"/>
    <w:semiHidden/>
    <w:unhideWhenUsed/>
    <w:rsid w:val="00896ED4"/>
    <w:pPr>
      <w:spacing w:after="0" w:line="240" w:lineRule="auto"/>
    </w:pPr>
    <w:rPr>
      <w:rFonts w:ascii="Tahoma" w:hAnsi="Tahoma" w:cs="Tahoma"/>
      <w:sz w:val="16"/>
      <w:szCs w:val="16"/>
    </w:rPr>
  </w:style>
  <w:style w:type="character" w:customStyle="1" w:styleId="a5">
    <w:name w:val="Текст выноски Знак"/>
    <w:basedOn w:val="a0"/>
    <w:link w:val="a4"/>
    <w:uiPriority w:val="99"/>
    <w:semiHidden/>
    <w:rsid w:val="00896ED4"/>
    <w:rPr>
      <w:rFonts w:ascii="Tahoma" w:hAnsi="Tahoma" w:cs="Tahoma"/>
      <w:sz w:val="16"/>
      <w:szCs w:val="16"/>
    </w:rPr>
  </w:style>
  <w:style w:type="table" w:styleId="a6">
    <w:name w:val="Table Grid"/>
    <w:basedOn w:val="a1"/>
    <w:rsid w:val="006A3C83"/>
    <w:pPr>
      <w:spacing w:after="0" w:line="240" w:lineRule="auto"/>
    </w:pPr>
    <w:rPr>
      <w:rFonts w:ascii="Times New Roman" w:eastAsia="Times New Roman" w:hAnsi="Times New Roman" w:cs="Times New Roman"/>
      <w:sz w:val="20"/>
      <w:szCs w:val="20"/>
      <w:lang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
    <w:name w:val="Сетка таблицы1"/>
    <w:basedOn w:val="a1"/>
    <w:next w:val="a6"/>
    <w:uiPriority w:val="59"/>
    <w:rsid w:val="00DB7693"/>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a7">
    <w:name w:val="Normal (Web)"/>
    <w:basedOn w:val="a"/>
    <w:uiPriority w:val="99"/>
    <w:unhideWhenUsed/>
    <w:rsid w:val="0066726D"/>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8">
    <w:name w:val="Emphasis"/>
    <w:basedOn w:val="a0"/>
    <w:uiPriority w:val="20"/>
    <w:qFormat/>
    <w:rsid w:val="0066726D"/>
    <w:rPr>
      <w:i/>
      <w:iCs/>
    </w:rPr>
  </w:style>
  <w:style w:type="paragraph" w:styleId="a9">
    <w:name w:val="List Paragraph"/>
    <w:basedOn w:val="a"/>
    <w:uiPriority w:val="34"/>
    <w:qFormat/>
    <w:rsid w:val="005150A9"/>
    <w:pPr>
      <w:ind w:left="720"/>
      <w:contextualSpacing/>
    </w:pPr>
  </w:style>
</w:styles>
</file>

<file path=word/webSettings.xml><?xml version="1.0" encoding="utf-8"?>
<w:webSettings xmlns:r="http://schemas.openxmlformats.org/officeDocument/2006/relationships" xmlns:w="http://schemas.openxmlformats.org/wordprocessingml/2006/main">
  <w:divs>
    <w:div w:id="264924574">
      <w:bodyDiv w:val="1"/>
      <w:marLeft w:val="0"/>
      <w:marRight w:val="0"/>
      <w:marTop w:val="0"/>
      <w:marBottom w:val="0"/>
      <w:divBdr>
        <w:top w:val="none" w:sz="0" w:space="0" w:color="auto"/>
        <w:left w:val="none" w:sz="0" w:space="0" w:color="auto"/>
        <w:bottom w:val="none" w:sz="0" w:space="0" w:color="auto"/>
        <w:right w:val="none" w:sz="0" w:space="0" w:color="auto"/>
      </w:divBdr>
    </w:div>
    <w:div w:id="742217933">
      <w:bodyDiv w:val="1"/>
      <w:marLeft w:val="0"/>
      <w:marRight w:val="0"/>
      <w:marTop w:val="0"/>
      <w:marBottom w:val="0"/>
      <w:divBdr>
        <w:top w:val="none" w:sz="0" w:space="0" w:color="auto"/>
        <w:left w:val="none" w:sz="0" w:space="0" w:color="auto"/>
        <w:bottom w:val="none" w:sz="0" w:space="0" w:color="auto"/>
        <w:right w:val="none" w:sz="0" w:space="0" w:color="auto"/>
      </w:divBdr>
    </w:div>
    <w:div w:id="752506137">
      <w:bodyDiv w:val="1"/>
      <w:marLeft w:val="0"/>
      <w:marRight w:val="0"/>
      <w:marTop w:val="0"/>
      <w:marBottom w:val="0"/>
      <w:divBdr>
        <w:top w:val="none" w:sz="0" w:space="0" w:color="auto"/>
        <w:left w:val="none" w:sz="0" w:space="0" w:color="auto"/>
        <w:bottom w:val="none" w:sz="0" w:space="0" w:color="auto"/>
        <w:right w:val="none" w:sz="0" w:space="0" w:color="auto"/>
      </w:divBdr>
    </w:div>
    <w:div w:id="927033635">
      <w:bodyDiv w:val="1"/>
      <w:marLeft w:val="0"/>
      <w:marRight w:val="0"/>
      <w:marTop w:val="0"/>
      <w:marBottom w:val="0"/>
      <w:divBdr>
        <w:top w:val="none" w:sz="0" w:space="0" w:color="auto"/>
        <w:left w:val="none" w:sz="0" w:space="0" w:color="auto"/>
        <w:bottom w:val="none" w:sz="0" w:space="0" w:color="auto"/>
        <w:right w:val="none" w:sz="0" w:space="0" w:color="auto"/>
      </w:divBdr>
    </w:div>
    <w:div w:id="1026828365">
      <w:bodyDiv w:val="1"/>
      <w:marLeft w:val="0"/>
      <w:marRight w:val="0"/>
      <w:marTop w:val="0"/>
      <w:marBottom w:val="0"/>
      <w:divBdr>
        <w:top w:val="none" w:sz="0" w:space="0" w:color="auto"/>
        <w:left w:val="none" w:sz="0" w:space="0" w:color="auto"/>
        <w:bottom w:val="none" w:sz="0" w:space="0" w:color="auto"/>
        <w:right w:val="none" w:sz="0" w:space="0" w:color="auto"/>
      </w:divBdr>
    </w:div>
    <w:div w:id="1314140654">
      <w:bodyDiv w:val="1"/>
      <w:marLeft w:val="0"/>
      <w:marRight w:val="0"/>
      <w:marTop w:val="0"/>
      <w:marBottom w:val="0"/>
      <w:divBdr>
        <w:top w:val="none" w:sz="0" w:space="0" w:color="auto"/>
        <w:left w:val="none" w:sz="0" w:space="0" w:color="auto"/>
        <w:bottom w:val="none" w:sz="0" w:space="0" w:color="auto"/>
        <w:right w:val="none" w:sz="0" w:space="0" w:color="auto"/>
      </w:divBdr>
    </w:div>
    <w:div w:id="1507018332">
      <w:bodyDiv w:val="1"/>
      <w:marLeft w:val="0"/>
      <w:marRight w:val="0"/>
      <w:marTop w:val="0"/>
      <w:marBottom w:val="0"/>
      <w:divBdr>
        <w:top w:val="none" w:sz="0" w:space="0" w:color="auto"/>
        <w:left w:val="none" w:sz="0" w:space="0" w:color="auto"/>
        <w:bottom w:val="none" w:sz="0" w:space="0" w:color="auto"/>
        <w:right w:val="none" w:sz="0" w:space="0" w:color="auto"/>
      </w:divBdr>
    </w:div>
    <w:div w:id="20399651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0" Type="http://schemas.openxmlformats.org/officeDocument/2006/relationships/theme" Target="theme/theme1.xml"/><Relationship Id="rId2" Type="http://schemas.openxmlformats.org/officeDocument/2006/relationships/numbering" Target="numbering.xml"/><Relationship Id="rId3" Type="http://schemas.openxmlformats.org/officeDocument/2006/relationships/styles" Target="styles.xml"/><Relationship Id="rId4" Type="http://schemas.openxmlformats.org/officeDocument/2006/relationships/settings" Target="settings.xml"/><Relationship Id="rId9" Type="http://schemas.openxmlformats.org/officeDocument/2006/relationships/fontTable" Target="fontTable.xml"/><Relationship Id="rId1" Type="http://schemas.openxmlformats.org/officeDocument/2006/relationships/customXml" Target="../customXml/item1.xml"/><Relationship Id="rId5" Type="http://schemas.openxmlformats.org/officeDocument/2006/relationships/webSettings" Target="webSettings.xml"/><Relationship Id="rId6" Type="http://schemas.openxmlformats.org/officeDocument/2006/relationships/hyperlink" Target="https://www.consultant.ru/document/cons_doc_LAW_19702/?ysclid=lpntwm6rxh779917747" TargetMode="External"/><Relationship Id="rId7" Type="http://schemas.openxmlformats.org/officeDocument/2006/relationships/hyperlink" Target="https://www.elibrary.ru/item.asp?id=17306631" TargetMode="External"/><Relationship Id="rId8" Type="http://schemas.openxmlformats.org/officeDocument/2006/relationships/hyperlink" Target="mailto:gotskotv@mail.ru" TargetMode="External"/><Relationship Id="rId11" Type="http://schemas.microsoft.com/office/2007/relationships/stylesWithEffects" Target="stylesWithEffects.xml"/></Relationships>
</file>

<file path=word/_rels/numbering.xml.rels><?xml version="1.0" encoding="UTF-8" standalone="yes"?>
<Relationships xmlns="http://schemas.openxmlformats.org/package/2006/relationships"></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Arab" typeface="Times New Roman"/>
        <a:font script="Beng" typeface="Vrinda"/>
        <a:font script="Cher" typeface="Plantagenet Cherokee"/>
        <a:font script="Deva" typeface="Mangal"/>
        <a:font script="Ethi" typeface="Nyala"/>
        <a:font script="Geor" typeface="Sylfaen"/>
        <a:font script="Gujr" typeface="Shruti"/>
        <a:font script="Guru" typeface="Raavi"/>
        <a:font script="Hang" typeface="맑은 고딕"/>
        <a:font script="Hebr" typeface="Times New Roman"/>
        <a:font script="Knda" typeface="Tunga"/>
        <a:font script="Khmr" typeface="MoolBoran"/>
        <a:font script="Laoo" typeface="DokChampa"/>
        <a:font script="Mlym" typeface="Kartika"/>
        <a:font script="Mong" typeface="Mongolian Baiti"/>
        <a:font script="Orya" typeface="Kalinga"/>
        <a:font script="Sinh" typeface="Iskoola Pota"/>
        <a:font script="Syrc" typeface="Estrangelo Edessa"/>
        <a:font script="Taml" typeface="Latha"/>
        <a:font script="Telu" typeface="Gautami"/>
        <a:font script="Thaa" typeface="MV Boli"/>
        <a:font script="Thai" typeface="Angsana New"/>
        <a:font script="Tibt" typeface="Microsoft Himalaya"/>
        <a:font script="Cans" typeface="Euphemia"/>
        <a:font script="Yiii" typeface="Microsoft Yi Baiti"/>
        <a:font script="Hans" typeface="宋体"/>
        <a:font script="Hant" typeface="新細明體"/>
        <a:font script="Jpan" typeface="ＭＳ ゴシック"/>
      </a:majorFont>
      <a:minorFont>
        <a:latin typeface="Calibri"/>
        <a:ea typeface=""/>
        <a:cs typeface=""/>
        <a:font script="Arab" typeface="Arial"/>
        <a:font script="Beng" typeface="Vrinda"/>
        <a:font script="Cher" typeface="Plantagenet Cherokee"/>
        <a:font script="Deva" typeface="Mangal"/>
        <a:font script="Ethi" typeface="Nyala"/>
        <a:font script="Geor" typeface="Sylfaen"/>
        <a:font script="Gujr" typeface="Shruti"/>
        <a:font script="Guru" typeface="Raavi"/>
        <a:font script="Hang" typeface="맑은 고딕"/>
        <a:font script="Hebr" typeface="Arial"/>
        <a:font script="Knda" typeface="Tunga"/>
        <a:font script="Khmr" typeface="DaunPenh"/>
        <a:font script="Laoo" typeface="DokChampa"/>
        <a:font script="Mlym" typeface="Kartika"/>
        <a:font script="Mong" typeface="Mongolian Baiti"/>
        <a:font script="Orya" typeface="Kalinga"/>
        <a:font script="Sinh" typeface="Iskoola Pota"/>
        <a:font script="Syrc" typeface="Estrangelo Edessa"/>
        <a:font script="Taml" typeface="Latha"/>
        <a:font script="Telu" typeface="Gautami"/>
        <a:font script="Thaa" typeface="MV Boli"/>
        <a:font script="Thai" typeface="Cordia New"/>
        <a:font script="Tibt" typeface="Microsoft Himalaya"/>
        <a:font script="Cans" typeface="Euphemia"/>
        <a:font script="Yiii" typeface="Microsoft Yi Baiti"/>
        <a:font script="Hans" typeface="宋体"/>
        <a:font script="Hant" typeface="新細明體"/>
        <a:font script="Jpan" typeface="ＭＳ 明朝"/>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DFB6C3B-D898-4EF1-B2A0-6B44D9EAFD6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6836</TotalTime>
  <Pages>5</Pages>
  <Words>2561</Words>
  <Characters>14599</Characters>
  <Application>Microsoft Office Word</Application>
  <DocSecurity>0</DocSecurity>
  <Lines>121</Lines>
  <Paragraphs>34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17126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Т.В.</dc:creator>
  <cp:lastModifiedBy>Гоцко Алексей Иосифович</cp:lastModifiedBy>
</cp:coreProperties>
</file>