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6872D" w14:textId="77777777" w:rsidR="00DA402F" w:rsidRPr="00DA402F" w:rsidRDefault="00217495" w:rsidP="00DA402F">
      <w:pPr>
        <w:pStyle w:val="2"/>
        <w:rPr>
          <w:rFonts w:ascii="Times New Roman" w:hAnsi="Times New Roman" w:cs="Times New Roman"/>
          <w:b/>
          <w:bCs/>
          <w:sz w:val="24"/>
          <w:szCs w:val="24"/>
        </w:rPr>
      </w:pPr>
      <w:r w:rsidRPr="00DA402F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DA402F" w:rsidRPr="00DA402F">
        <w:rPr>
          <w:rFonts w:ascii="Times New Roman" w:hAnsi="Times New Roman" w:cs="Times New Roman"/>
          <w:b/>
          <w:bCs/>
          <w:sz w:val="24"/>
          <w:szCs w:val="24"/>
        </w:rPr>
        <w:t>332,12</w:t>
      </w:r>
      <w:r w:rsidRPr="00DA402F">
        <w:rPr>
          <w:rFonts w:ascii="Times New Roman" w:hAnsi="Times New Roman" w:cs="Times New Roman"/>
          <w:b/>
          <w:bCs/>
          <w:sz w:val="24"/>
          <w:szCs w:val="24"/>
        </w:rPr>
        <w:t xml:space="preserve"> / ББК </w:t>
      </w:r>
      <w:r w:rsidR="00DA402F" w:rsidRPr="00DA402F">
        <w:rPr>
          <w:rFonts w:ascii="Times New Roman" w:hAnsi="Times New Roman" w:cs="Times New Roman"/>
          <w:b/>
          <w:bCs/>
          <w:sz w:val="24"/>
          <w:szCs w:val="24"/>
        </w:rPr>
        <w:t>65.049(2)</w:t>
      </w:r>
    </w:p>
    <w:p w14:paraId="7C3C97CB" w14:textId="77777777" w:rsidR="00021CDA" w:rsidRDefault="00FC6B9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Гусева Е.П.</w:t>
      </w:r>
    </w:p>
    <w:p w14:paraId="3B984DC4" w14:textId="40AAF026" w:rsidR="00021CDA" w:rsidRDefault="00BE2150" w:rsidP="00BE2150">
      <w:pPr>
        <w:spacing w:after="0" w:line="240" w:lineRule="auto"/>
        <w:ind w:left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132353867"/>
      <w:bookmarkStart w:id="1" w:name="_Hlk129337751"/>
      <w:bookmarkEnd w:id="0"/>
      <w:bookmarkEnd w:id="1"/>
      <w:r>
        <w:rPr>
          <w:rFonts w:ascii="Times New Roman" w:hAnsi="Times New Roman" w:cs="Times New Roman"/>
          <w:b/>
          <w:bCs/>
          <w:sz w:val="24"/>
          <w:szCs w:val="24"/>
        </w:rPr>
        <w:t>ДЕМОГРАФИЧЕСКАЯ ДИНАМИК</w:t>
      </w:r>
      <w:r w:rsidR="00CD44C5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="00FE6F46">
        <w:rPr>
          <w:rFonts w:ascii="Times New Roman" w:hAnsi="Times New Roman" w:cs="Times New Roman"/>
          <w:b/>
          <w:bCs/>
          <w:sz w:val="24"/>
          <w:szCs w:val="24"/>
        </w:rPr>
        <w:t xml:space="preserve"> 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ДИВЕРСИФИКАЦИЯ </w:t>
      </w:r>
      <w:r w:rsidR="00FE6F46">
        <w:rPr>
          <w:rFonts w:ascii="Times New Roman" w:hAnsi="Times New Roman" w:cs="Times New Roman"/>
          <w:b/>
          <w:bCs/>
          <w:sz w:val="24"/>
          <w:szCs w:val="24"/>
        </w:rPr>
        <w:t xml:space="preserve">ЭКОНОМИКИ </w:t>
      </w:r>
      <w:r>
        <w:rPr>
          <w:rFonts w:ascii="Times New Roman" w:hAnsi="Times New Roman" w:cs="Times New Roman"/>
          <w:b/>
          <w:bCs/>
          <w:sz w:val="24"/>
          <w:szCs w:val="24"/>
        </w:rPr>
        <w:t>СЕЛЬСКИХ ТЕРРИТОРИЙ</w:t>
      </w:r>
    </w:p>
    <w:p w14:paraId="5CEC3E54" w14:textId="77777777" w:rsidR="00021CDA" w:rsidRDefault="00021CD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6E200C75" w14:textId="77777777" w:rsidR="00021CDA" w:rsidRPr="00BE2150" w:rsidRDefault="002174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2150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BE2150">
        <w:rPr>
          <w:rFonts w:ascii="Times New Roman" w:hAnsi="Times New Roman" w:cs="Times New Roman"/>
          <w:bCs/>
          <w:sz w:val="24"/>
          <w:szCs w:val="24"/>
        </w:rPr>
        <w:t xml:space="preserve"> В </w:t>
      </w:r>
      <w:r w:rsidR="007E45AD" w:rsidRPr="00BE2150">
        <w:rPr>
          <w:rFonts w:ascii="Times New Roman" w:hAnsi="Times New Roman" w:cs="Times New Roman"/>
          <w:bCs/>
          <w:sz w:val="24"/>
          <w:szCs w:val="24"/>
        </w:rPr>
        <w:t>статье анализируется демографическая динамика сельских территорий Оренбургской области за 2019-2024 гг. Выявлены устойчивая убыль населения. Обоснована необходимость диверсификации сельской эконо</w:t>
      </w:r>
      <w:r w:rsidR="00BE2150" w:rsidRPr="00BE2150">
        <w:rPr>
          <w:rFonts w:ascii="Times New Roman" w:hAnsi="Times New Roman" w:cs="Times New Roman"/>
          <w:bCs/>
          <w:sz w:val="24"/>
          <w:szCs w:val="24"/>
        </w:rPr>
        <w:t>мики как фактора стабилизации демографической ситуации. Представлена классификация форм диверсификации применительно к природно-климатической специфике региона.</w:t>
      </w:r>
    </w:p>
    <w:p w14:paraId="5E8ACC94" w14:textId="77777777" w:rsidR="00021CDA" w:rsidRDefault="0021749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E2150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BE215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E2150" w:rsidRPr="00BE2150">
        <w:rPr>
          <w:rFonts w:ascii="Times New Roman" w:hAnsi="Times New Roman" w:cs="Times New Roman"/>
          <w:bCs/>
          <w:sz w:val="24"/>
          <w:szCs w:val="24"/>
        </w:rPr>
        <w:t>сельские территории, демографическая динамика, диверсификация сельской экономики, классификация форм диверсификации</w:t>
      </w:r>
      <w:r w:rsidRPr="00BE2150">
        <w:rPr>
          <w:rFonts w:ascii="Times New Roman" w:hAnsi="Times New Roman" w:cs="Times New Roman"/>
          <w:bCs/>
          <w:sz w:val="24"/>
          <w:szCs w:val="24"/>
        </w:rPr>
        <w:t>.</w:t>
      </w:r>
    </w:p>
    <w:p w14:paraId="0DD72F26" w14:textId="77777777" w:rsidR="00021CDA" w:rsidRDefault="00021CDA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13386F11" w14:textId="77777777" w:rsidR="002F4587" w:rsidRDefault="002F4587" w:rsidP="002F45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225522506"/>
      <w:r>
        <w:rPr>
          <w:rFonts w:ascii="Times New Roman" w:hAnsi="Times New Roman" w:cs="Times New Roman"/>
          <w:sz w:val="24"/>
          <w:szCs w:val="24"/>
        </w:rPr>
        <w:t>Современное состояние сельских территорий является одним и</w:t>
      </w:r>
      <w:r w:rsidR="00CD44C5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 xml:space="preserve"> ключевых индикаторов устойчивости социально</w:t>
      </w:r>
      <w:r w:rsidR="00CD44C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экономического развития регионов. В Оренбургской области, как и во многих субъектах Российской </w:t>
      </w:r>
      <w:r w:rsidR="00CD44C5">
        <w:rPr>
          <w:rFonts w:ascii="Times New Roman" w:hAnsi="Times New Roman" w:cs="Times New Roman"/>
          <w:sz w:val="24"/>
          <w:szCs w:val="24"/>
        </w:rPr>
        <w:t>Федерации</w:t>
      </w:r>
      <w:r>
        <w:rPr>
          <w:rFonts w:ascii="Times New Roman" w:hAnsi="Times New Roman" w:cs="Times New Roman"/>
          <w:sz w:val="24"/>
          <w:szCs w:val="24"/>
        </w:rPr>
        <w:t>, демографические процесс</w:t>
      </w:r>
      <w:r w:rsidR="001D5DCB">
        <w:rPr>
          <w:rFonts w:ascii="Times New Roman" w:hAnsi="Times New Roman" w:cs="Times New Roman"/>
          <w:sz w:val="24"/>
          <w:szCs w:val="24"/>
        </w:rPr>
        <w:t xml:space="preserve">ы в сельской местности на протяжении последних лет формируются под влиянием комплекса взаимосвязанных факторов, включая естественное движение населения, миграционные потоки и последствия макроэкономической </w:t>
      </w:r>
      <w:r w:rsidR="00CD44C5">
        <w:rPr>
          <w:rFonts w:ascii="Times New Roman" w:hAnsi="Times New Roman" w:cs="Times New Roman"/>
          <w:sz w:val="24"/>
          <w:szCs w:val="24"/>
        </w:rPr>
        <w:t>не</w:t>
      </w:r>
      <w:r w:rsidR="001D5DCB">
        <w:rPr>
          <w:rFonts w:ascii="Times New Roman" w:hAnsi="Times New Roman" w:cs="Times New Roman"/>
          <w:sz w:val="24"/>
          <w:szCs w:val="24"/>
        </w:rPr>
        <w:t>стабильности. Комплексный анализ ключевых показателей – от естественного прироста и коэффициентов рождаемости – позволяет не только зафиксировать текущую демографическую ситуацию, но выявить глубинные закономерности, определяющие перспективы развития сельских территорий Оренбургской области</w:t>
      </w:r>
      <w:r w:rsidR="00F81217">
        <w:rPr>
          <w:rFonts w:ascii="Times New Roman" w:hAnsi="Times New Roman" w:cs="Times New Roman"/>
          <w:sz w:val="24"/>
          <w:szCs w:val="24"/>
        </w:rPr>
        <w:t xml:space="preserve"> </w:t>
      </w:r>
      <w:r w:rsidR="00F81217" w:rsidRPr="00F81217">
        <w:rPr>
          <w:rFonts w:ascii="Times New Roman" w:hAnsi="Times New Roman" w:cs="Times New Roman"/>
          <w:sz w:val="24"/>
          <w:szCs w:val="24"/>
        </w:rPr>
        <w:t>[</w:t>
      </w:r>
      <w:r w:rsidR="00F81217">
        <w:rPr>
          <w:rFonts w:ascii="Times New Roman" w:hAnsi="Times New Roman" w:cs="Times New Roman"/>
          <w:sz w:val="24"/>
          <w:szCs w:val="24"/>
        </w:rPr>
        <w:fldChar w:fldCharType="begin"/>
      </w:r>
      <w:r w:rsidR="00F81217">
        <w:rPr>
          <w:rFonts w:ascii="Times New Roman" w:hAnsi="Times New Roman" w:cs="Times New Roman"/>
          <w:sz w:val="24"/>
          <w:szCs w:val="24"/>
        </w:rPr>
        <w:instrText xml:space="preserve"> REF _Ref225531301 \r \h </w:instrText>
      </w:r>
      <w:r w:rsidR="00F81217">
        <w:rPr>
          <w:rFonts w:ascii="Times New Roman" w:hAnsi="Times New Roman" w:cs="Times New Roman"/>
          <w:sz w:val="24"/>
          <w:szCs w:val="24"/>
        </w:rPr>
      </w:r>
      <w:r w:rsidR="00F81217">
        <w:rPr>
          <w:rFonts w:ascii="Times New Roman" w:hAnsi="Times New Roman" w:cs="Times New Roman"/>
          <w:sz w:val="24"/>
          <w:szCs w:val="24"/>
        </w:rPr>
        <w:fldChar w:fldCharType="separate"/>
      </w:r>
      <w:r w:rsidR="003C52A0">
        <w:rPr>
          <w:rFonts w:ascii="Times New Roman" w:hAnsi="Times New Roman" w:cs="Times New Roman"/>
          <w:sz w:val="24"/>
          <w:szCs w:val="24"/>
        </w:rPr>
        <w:t>3</w:t>
      </w:r>
      <w:r w:rsidR="00F81217">
        <w:rPr>
          <w:rFonts w:ascii="Times New Roman" w:hAnsi="Times New Roman" w:cs="Times New Roman"/>
          <w:sz w:val="24"/>
          <w:szCs w:val="24"/>
        </w:rPr>
        <w:fldChar w:fldCharType="end"/>
      </w:r>
      <w:r w:rsidR="00F81217">
        <w:rPr>
          <w:rFonts w:ascii="Times New Roman" w:hAnsi="Times New Roman" w:cs="Times New Roman"/>
          <w:sz w:val="24"/>
          <w:szCs w:val="24"/>
        </w:rPr>
        <w:t xml:space="preserve">, </w:t>
      </w:r>
      <w:r w:rsidR="00F81217">
        <w:rPr>
          <w:rFonts w:ascii="Times New Roman" w:hAnsi="Times New Roman" w:cs="Times New Roman"/>
          <w:sz w:val="24"/>
          <w:szCs w:val="24"/>
        </w:rPr>
        <w:fldChar w:fldCharType="begin"/>
      </w:r>
      <w:r w:rsidR="00F81217">
        <w:rPr>
          <w:rFonts w:ascii="Times New Roman" w:hAnsi="Times New Roman" w:cs="Times New Roman"/>
          <w:sz w:val="24"/>
          <w:szCs w:val="24"/>
        </w:rPr>
        <w:instrText xml:space="preserve"> REF _Ref225531392 \r \h </w:instrText>
      </w:r>
      <w:r w:rsidR="00F81217">
        <w:rPr>
          <w:rFonts w:ascii="Times New Roman" w:hAnsi="Times New Roman" w:cs="Times New Roman"/>
          <w:sz w:val="24"/>
          <w:szCs w:val="24"/>
        </w:rPr>
      </w:r>
      <w:r w:rsidR="00F81217">
        <w:rPr>
          <w:rFonts w:ascii="Times New Roman" w:hAnsi="Times New Roman" w:cs="Times New Roman"/>
          <w:sz w:val="24"/>
          <w:szCs w:val="24"/>
        </w:rPr>
        <w:fldChar w:fldCharType="separate"/>
      </w:r>
      <w:r w:rsidR="003C52A0">
        <w:rPr>
          <w:rFonts w:ascii="Times New Roman" w:hAnsi="Times New Roman" w:cs="Times New Roman"/>
          <w:sz w:val="24"/>
          <w:szCs w:val="24"/>
        </w:rPr>
        <w:t>1</w:t>
      </w:r>
      <w:r w:rsidR="00F81217">
        <w:rPr>
          <w:rFonts w:ascii="Times New Roman" w:hAnsi="Times New Roman" w:cs="Times New Roman"/>
          <w:sz w:val="24"/>
          <w:szCs w:val="24"/>
        </w:rPr>
        <w:fldChar w:fldCharType="end"/>
      </w:r>
      <w:r w:rsidR="00F81217" w:rsidRPr="00F81217">
        <w:rPr>
          <w:rFonts w:ascii="Times New Roman" w:hAnsi="Times New Roman" w:cs="Times New Roman"/>
          <w:sz w:val="24"/>
          <w:szCs w:val="24"/>
        </w:rPr>
        <w:t>]</w:t>
      </w:r>
      <w:r w:rsidR="001D5DCB">
        <w:rPr>
          <w:rFonts w:ascii="Times New Roman" w:hAnsi="Times New Roman" w:cs="Times New Roman"/>
          <w:sz w:val="24"/>
          <w:szCs w:val="24"/>
        </w:rPr>
        <w:t>.</w:t>
      </w:r>
    </w:p>
    <w:p w14:paraId="7709A3BB" w14:textId="77777777" w:rsidR="002F4587" w:rsidRPr="00FC6B99" w:rsidRDefault="00FC6B99" w:rsidP="002F45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4587">
        <w:rPr>
          <w:rFonts w:ascii="Times New Roman" w:hAnsi="Times New Roman" w:cs="Times New Roman"/>
          <w:sz w:val="24"/>
          <w:szCs w:val="24"/>
        </w:rPr>
        <w:t>Проведенный анализ охватывает шестилетний период (2019-2024 гг.) и базируется на статистических данных Оренбургстата</w:t>
      </w:r>
      <w:r w:rsidR="001D5DCB">
        <w:rPr>
          <w:rFonts w:ascii="Times New Roman" w:hAnsi="Times New Roman" w:cs="Times New Roman"/>
          <w:sz w:val="24"/>
          <w:szCs w:val="24"/>
        </w:rPr>
        <w:t>, б</w:t>
      </w:r>
      <w:r w:rsidR="002F4587" w:rsidRPr="00FC6B99">
        <w:rPr>
          <w:rFonts w:ascii="Times New Roman" w:hAnsi="Times New Roman" w:cs="Times New Roman"/>
          <w:sz w:val="24"/>
          <w:szCs w:val="24"/>
        </w:rPr>
        <w:t xml:space="preserve">олее наглядно тенденция развития динамики численности сельского населения в Оренбургской области представлена на рис. </w:t>
      </w:r>
      <w:r w:rsidR="002F4587">
        <w:rPr>
          <w:rFonts w:ascii="Times New Roman" w:hAnsi="Times New Roman" w:cs="Times New Roman"/>
          <w:sz w:val="24"/>
          <w:szCs w:val="24"/>
        </w:rPr>
        <w:t>1</w:t>
      </w:r>
      <w:r w:rsidR="002F4587" w:rsidRPr="00FC6B99">
        <w:rPr>
          <w:rFonts w:ascii="Times New Roman" w:hAnsi="Times New Roman" w:cs="Times New Roman"/>
          <w:sz w:val="24"/>
          <w:szCs w:val="24"/>
        </w:rPr>
        <w:t>.</w:t>
      </w:r>
    </w:p>
    <w:p w14:paraId="47DB44DA" w14:textId="77777777" w:rsidR="00BB5E21" w:rsidRDefault="00BB5E21" w:rsidP="00BB5E21">
      <w:pPr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 wp14:anchorId="4F9704D3" wp14:editId="6FA0F22F">
            <wp:extent cx="6065520" cy="3019330"/>
            <wp:effectExtent l="0" t="0" r="0" b="0"/>
            <wp:docPr id="715244745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10287938-9B47-DB38-4B78-3BF6612FCFD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1ED4C37" w14:textId="77777777" w:rsidR="00BB5E21" w:rsidRDefault="00BB5E21" w:rsidP="00BB5E2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FC6B99">
        <w:rPr>
          <w:rFonts w:ascii="Times New Roman" w:hAnsi="Times New Roman" w:cs="Times New Roman"/>
          <w:sz w:val="24"/>
          <w:szCs w:val="24"/>
        </w:rPr>
        <w:t xml:space="preserve">Рис. </w:t>
      </w:r>
      <w:r w:rsidRPr="00CD44C5">
        <w:rPr>
          <w:rFonts w:ascii="Times New Roman" w:hAnsi="Times New Roman" w:cs="Times New Roman"/>
          <w:sz w:val="24"/>
          <w:szCs w:val="24"/>
        </w:rPr>
        <w:t>1</w:t>
      </w:r>
      <w:r w:rsidRPr="00FC6B99">
        <w:rPr>
          <w:rFonts w:ascii="Times New Roman" w:hAnsi="Times New Roman" w:cs="Times New Roman"/>
          <w:sz w:val="24"/>
          <w:szCs w:val="24"/>
        </w:rPr>
        <w:t xml:space="preserve">. Динамика численности сельского населения </w:t>
      </w:r>
    </w:p>
    <w:p w14:paraId="4791BED5" w14:textId="77777777" w:rsidR="00BB5E21" w:rsidRPr="00FC6B99" w:rsidRDefault="00BB5E21" w:rsidP="00BB5E2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FC6B99">
        <w:rPr>
          <w:rFonts w:ascii="Times New Roman" w:hAnsi="Times New Roman" w:cs="Times New Roman"/>
          <w:sz w:val="24"/>
          <w:szCs w:val="24"/>
        </w:rPr>
        <w:t>Оренбургской области за 2019-202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C6B99">
        <w:rPr>
          <w:rFonts w:ascii="Times New Roman" w:hAnsi="Times New Roman" w:cs="Times New Roman"/>
          <w:sz w:val="24"/>
          <w:szCs w:val="24"/>
        </w:rPr>
        <w:t xml:space="preserve"> гг.</w:t>
      </w:r>
    </w:p>
    <w:p w14:paraId="3D52DDF3" w14:textId="77777777" w:rsidR="00BB5E21" w:rsidRPr="00BB5E21" w:rsidRDefault="00BB5E21" w:rsidP="00D12D2D">
      <w:pPr>
        <w:pStyle w:val="afe"/>
        <w:ind w:left="0" w:right="-1" w:firstLine="709"/>
        <w:rPr>
          <w:sz w:val="24"/>
          <w:szCs w:val="24"/>
        </w:rPr>
      </w:pPr>
    </w:p>
    <w:p w14:paraId="2F1994AF" w14:textId="77777777" w:rsidR="00FD0E88" w:rsidRDefault="00BB5E21" w:rsidP="00BB5E21">
      <w:pPr>
        <w:pStyle w:val="afe"/>
        <w:ind w:left="0" w:firstLine="709"/>
        <w:rPr>
          <w:sz w:val="24"/>
          <w:szCs w:val="24"/>
        </w:rPr>
      </w:pPr>
      <w:r w:rsidRPr="00FC6B99">
        <w:rPr>
          <w:sz w:val="24"/>
          <w:szCs w:val="24"/>
        </w:rPr>
        <w:t xml:space="preserve">За исследуемый период 2019-2024 гг. численность сельского населения Оренбургской области сократилась с 770 266 до 725 198 человек. Абсолютная убыль составила 45 068 человек, что эквивалентно 5,85% от исходной численности. Как следует из представленных данных, максимальные темпы сокращения сельского населения наблюдались в 2020-2021 гг. </w:t>
      </w:r>
      <w:r w:rsidRPr="00FC6B99">
        <w:rPr>
          <w:sz w:val="24"/>
          <w:szCs w:val="24"/>
        </w:rPr>
        <w:lastRenderedPageBreak/>
        <w:t>(-1,53%), что может быть связано с последствиями пандемии COVID-19. В 2022-2024 гг. темпы убыли замедлились, однако остаются устойчиво отрицательными.</w:t>
      </w:r>
      <w:r w:rsidR="002F4587">
        <w:rPr>
          <w:sz w:val="24"/>
          <w:szCs w:val="24"/>
        </w:rPr>
        <w:t xml:space="preserve"> </w:t>
      </w:r>
      <w:r w:rsidRPr="00FC6B99">
        <w:rPr>
          <w:sz w:val="24"/>
          <w:szCs w:val="24"/>
        </w:rPr>
        <w:t>Накопленная убыль в 45 тыс. человек сопоставима с исчезновением среднего по численности муниципального района области.</w:t>
      </w:r>
      <w:r w:rsidR="003F1427">
        <w:rPr>
          <w:sz w:val="24"/>
          <w:szCs w:val="24"/>
        </w:rPr>
        <w:t xml:space="preserve"> </w:t>
      </w:r>
      <w:r w:rsidR="00FD0E88">
        <w:rPr>
          <w:sz w:val="24"/>
          <w:szCs w:val="24"/>
        </w:rPr>
        <w:t xml:space="preserve">Структурные компоненты, формирующие </w:t>
      </w:r>
      <w:r w:rsidR="003F1427">
        <w:rPr>
          <w:sz w:val="24"/>
          <w:szCs w:val="24"/>
        </w:rPr>
        <w:t>процессы в разрезе сельских территорий Оренбургской области, систематизированы в таблице 1.</w:t>
      </w:r>
      <w:r w:rsidR="00FD0E88">
        <w:rPr>
          <w:sz w:val="24"/>
          <w:szCs w:val="24"/>
        </w:rPr>
        <w:t xml:space="preserve"> </w:t>
      </w:r>
    </w:p>
    <w:p w14:paraId="0369DC83" w14:textId="77777777" w:rsidR="00FC6B99" w:rsidRPr="00FC6B99" w:rsidRDefault="00FC6B99" w:rsidP="00D12D2D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FC6B99">
        <w:rPr>
          <w:rFonts w:ascii="Times New Roman" w:hAnsi="Times New Roman" w:cs="Times New Roman"/>
          <w:sz w:val="24"/>
          <w:szCs w:val="24"/>
        </w:rPr>
        <w:t xml:space="preserve">Таблица 1 </w:t>
      </w:r>
    </w:p>
    <w:p w14:paraId="0F3D4664" w14:textId="77777777" w:rsidR="00FC6B99" w:rsidRPr="00FC6B99" w:rsidRDefault="00FD0E88" w:rsidP="00D12D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Основные</w:t>
      </w:r>
      <w:r w:rsidR="00FC6B99" w:rsidRPr="00FC6B99">
        <w:rPr>
          <w:rFonts w:ascii="Times New Roman" w:hAnsi="Times New Roman" w:cs="Times New Roman"/>
          <w:sz w:val="24"/>
          <w:szCs w:val="24"/>
        </w:rPr>
        <w:t xml:space="preserve"> демографическ</w:t>
      </w:r>
      <w:r>
        <w:rPr>
          <w:rFonts w:ascii="Times New Roman" w:hAnsi="Times New Roman" w:cs="Times New Roman"/>
          <w:sz w:val="24"/>
          <w:szCs w:val="24"/>
        </w:rPr>
        <w:t>ие показатели</w:t>
      </w:r>
      <w:r w:rsidR="00FC6B99" w:rsidRPr="00FC6B99">
        <w:rPr>
          <w:rFonts w:ascii="Times New Roman" w:hAnsi="Times New Roman" w:cs="Times New Roman"/>
          <w:sz w:val="24"/>
          <w:szCs w:val="24"/>
        </w:rPr>
        <w:t xml:space="preserve"> сельских территорий Оренбургской области, 2019-2024 гг. [3].</w:t>
      </w:r>
    </w:p>
    <w:tbl>
      <w:tblPr>
        <w:tblStyle w:val="afa"/>
        <w:tblW w:w="9634" w:type="dxa"/>
        <w:tblLook w:val="04A0" w:firstRow="1" w:lastRow="0" w:firstColumn="1" w:lastColumn="0" w:noHBand="0" w:noVBand="1"/>
      </w:tblPr>
      <w:tblGrid>
        <w:gridCol w:w="1952"/>
        <w:gridCol w:w="949"/>
        <w:gridCol w:w="950"/>
        <w:gridCol w:w="950"/>
        <w:gridCol w:w="949"/>
        <w:gridCol w:w="950"/>
        <w:gridCol w:w="950"/>
        <w:gridCol w:w="1984"/>
      </w:tblGrid>
      <w:tr w:rsidR="00FC6B99" w:rsidRPr="00BB5E21" w14:paraId="19802AA4" w14:textId="77777777" w:rsidTr="009D0E9B">
        <w:tc>
          <w:tcPr>
            <w:tcW w:w="1952" w:type="dxa"/>
            <w:vAlign w:val="center"/>
          </w:tcPr>
          <w:p w14:paraId="3CC211AA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Показатель</w:t>
            </w:r>
          </w:p>
        </w:tc>
        <w:tc>
          <w:tcPr>
            <w:tcW w:w="949" w:type="dxa"/>
            <w:vAlign w:val="center"/>
          </w:tcPr>
          <w:p w14:paraId="7C2C8E75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2019 г.</w:t>
            </w:r>
          </w:p>
        </w:tc>
        <w:tc>
          <w:tcPr>
            <w:tcW w:w="950" w:type="dxa"/>
            <w:vAlign w:val="center"/>
          </w:tcPr>
          <w:p w14:paraId="54620754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2020 г.</w:t>
            </w:r>
          </w:p>
        </w:tc>
        <w:tc>
          <w:tcPr>
            <w:tcW w:w="950" w:type="dxa"/>
            <w:vAlign w:val="center"/>
          </w:tcPr>
          <w:p w14:paraId="4FBFFFDA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2021 г.</w:t>
            </w:r>
          </w:p>
        </w:tc>
        <w:tc>
          <w:tcPr>
            <w:tcW w:w="949" w:type="dxa"/>
            <w:vAlign w:val="center"/>
          </w:tcPr>
          <w:p w14:paraId="13C71BF9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2022 г.</w:t>
            </w:r>
          </w:p>
        </w:tc>
        <w:tc>
          <w:tcPr>
            <w:tcW w:w="950" w:type="dxa"/>
            <w:vAlign w:val="center"/>
          </w:tcPr>
          <w:p w14:paraId="5888E7C3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2023 г.</w:t>
            </w:r>
          </w:p>
        </w:tc>
        <w:tc>
          <w:tcPr>
            <w:tcW w:w="950" w:type="dxa"/>
            <w:vAlign w:val="center"/>
          </w:tcPr>
          <w:p w14:paraId="1730088C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2024 г.</w:t>
            </w:r>
          </w:p>
        </w:tc>
        <w:tc>
          <w:tcPr>
            <w:tcW w:w="1984" w:type="dxa"/>
            <w:vAlign w:val="center"/>
          </w:tcPr>
          <w:p w14:paraId="28C49B22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Изменение 2024 г к 2019 г. (+,-)</w:t>
            </w:r>
          </w:p>
        </w:tc>
      </w:tr>
      <w:tr w:rsidR="00BB5E21" w:rsidRPr="00BB5E21" w14:paraId="0245196A" w14:textId="77777777" w:rsidTr="009D0E9B">
        <w:tc>
          <w:tcPr>
            <w:tcW w:w="1952" w:type="dxa"/>
            <w:vAlign w:val="center"/>
          </w:tcPr>
          <w:p w14:paraId="64F08D66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Доля сельского населения в общей численности, п.п.</w:t>
            </w:r>
          </w:p>
        </w:tc>
        <w:tc>
          <w:tcPr>
            <w:tcW w:w="949" w:type="dxa"/>
            <w:vAlign w:val="center"/>
          </w:tcPr>
          <w:p w14:paraId="7B6D6841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39,4</w:t>
            </w:r>
          </w:p>
        </w:tc>
        <w:tc>
          <w:tcPr>
            <w:tcW w:w="950" w:type="dxa"/>
            <w:vAlign w:val="center"/>
          </w:tcPr>
          <w:p w14:paraId="2F457C87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39,2</w:t>
            </w:r>
          </w:p>
        </w:tc>
        <w:tc>
          <w:tcPr>
            <w:tcW w:w="950" w:type="dxa"/>
            <w:vAlign w:val="center"/>
          </w:tcPr>
          <w:p w14:paraId="17C704B6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38,9</w:t>
            </w:r>
          </w:p>
        </w:tc>
        <w:tc>
          <w:tcPr>
            <w:tcW w:w="949" w:type="dxa"/>
            <w:vAlign w:val="center"/>
          </w:tcPr>
          <w:p w14:paraId="490C8066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40,1</w:t>
            </w:r>
          </w:p>
        </w:tc>
        <w:tc>
          <w:tcPr>
            <w:tcW w:w="950" w:type="dxa"/>
            <w:vAlign w:val="center"/>
          </w:tcPr>
          <w:p w14:paraId="7FA6B16D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39,8</w:t>
            </w:r>
          </w:p>
        </w:tc>
        <w:tc>
          <w:tcPr>
            <w:tcW w:w="950" w:type="dxa"/>
            <w:vAlign w:val="center"/>
          </w:tcPr>
          <w:p w14:paraId="38F1A3C6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39,9</w:t>
            </w:r>
          </w:p>
        </w:tc>
        <w:tc>
          <w:tcPr>
            <w:tcW w:w="1984" w:type="dxa"/>
            <w:vAlign w:val="center"/>
          </w:tcPr>
          <w:p w14:paraId="2924C277" w14:textId="77777777" w:rsidR="00BB5E21" w:rsidRPr="00BB5E21" w:rsidRDefault="00BB5E21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+0,5</w:t>
            </w:r>
          </w:p>
        </w:tc>
      </w:tr>
      <w:tr w:rsidR="00FC6B99" w:rsidRPr="00BB5E21" w14:paraId="40FC9299" w14:textId="77777777" w:rsidTr="009D0E9B">
        <w:tc>
          <w:tcPr>
            <w:tcW w:w="1952" w:type="dxa"/>
            <w:vAlign w:val="center"/>
          </w:tcPr>
          <w:p w14:paraId="2FECA43E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Естественный прирост, убыль (-), человек</w:t>
            </w:r>
          </w:p>
        </w:tc>
        <w:tc>
          <w:tcPr>
            <w:tcW w:w="949" w:type="dxa"/>
            <w:vAlign w:val="center"/>
          </w:tcPr>
          <w:p w14:paraId="2465A2DD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- 2494</w:t>
            </w:r>
          </w:p>
        </w:tc>
        <w:tc>
          <w:tcPr>
            <w:tcW w:w="950" w:type="dxa"/>
            <w:vAlign w:val="center"/>
          </w:tcPr>
          <w:p w14:paraId="6A25B593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- 5391</w:t>
            </w:r>
          </w:p>
        </w:tc>
        <w:tc>
          <w:tcPr>
            <w:tcW w:w="950" w:type="dxa"/>
            <w:vAlign w:val="center"/>
          </w:tcPr>
          <w:p w14:paraId="43B3B892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- 7399</w:t>
            </w:r>
          </w:p>
        </w:tc>
        <w:tc>
          <w:tcPr>
            <w:tcW w:w="949" w:type="dxa"/>
            <w:vAlign w:val="center"/>
          </w:tcPr>
          <w:p w14:paraId="60BC8FA8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-4230</w:t>
            </w:r>
          </w:p>
        </w:tc>
        <w:tc>
          <w:tcPr>
            <w:tcW w:w="950" w:type="dxa"/>
            <w:vAlign w:val="center"/>
          </w:tcPr>
          <w:p w14:paraId="3CDFF8F9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-6700*</w:t>
            </w:r>
          </w:p>
        </w:tc>
        <w:tc>
          <w:tcPr>
            <w:tcW w:w="950" w:type="dxa"/>
            <w:vAlign w:val="center"/>
          </w:tcPr>
          <w:p w14:paraId="775F333B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-7600*</w:t>
            </w:r>
          </w:p>
        </w:tc>
        <w:tc>
          <w:tcPr>
            <w:tcW w:w="1984" w:type="dxa"/>
            <w:vAlign w:val="center"/>
          </w:tcPr>
          <w:p w14:paraId="1A3D6947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-5106</w:t>
            </w:r>
          </w:p>
        </w:tc>
      </w:tr>
      <w:tr w:rsidR="00FC6B99" w:rsidRPr="00BB5E21" w14:paraId="78C8BFC7" w14:textId="77777777" w:rsidTr="009D0E9B">
        <w:tc>
          <w:tcPr>
            <w:tcW w:w="1952" w:type="dxa"/>
            <w:vAlign w:val="center"/>
          </w:tcPr>
          <w:p w14:paraId="3490CE33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Коэффициент рождаемости, промилле</w:t>
            </w:r>
          </w:p>
        </w:tc>
        <w:tc>
          <w:tcPr>
            <w:tcW w:w="949" w:type="dxa"/>
            <w:vAlign w:val="center"/>
          </w:tcPr>
          <w:p w14:paraId="32435378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10,4</w:t>
            </w:r>
          </w:p>
        </w:tc>
        <w:tc>
          <w:tcPr>
            <w:tcW w:w="950" w:type="dxa"/>
            <w:vAlign w:val="center"/>
          </w:tcPr>
          <w:p w14:paraId="5BE5ED5F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9,8</w:t>
            </w:r>
          </w:p>
        </w:tc>
        <w:tc>
          <w:tcPr>
            <w:tcW w:w="950" w:type="dxa"/>
            <w:vAlign w:val="center"/>
          </w:tcPr>
          <w:p w14:paraId="1ED039FE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9,7</w:t>
            </w:r>
          </w:p>
        </w:tc>
        <w:tc>
          <w:tcPr>
            <w:tcW w:w="949" w:type="dxa"/>
            <w:vAlign w:val="center"/>
          </w:tcPr>
          <w:p w14:paraId="354D8F01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8,7</w:t>
            </w:r>
          </w:p>
        </w:tc>
        <w:tc>
          <w:tcPr>
            <w:tcW w:w="950" w:type="dxa"/>
            <w:vAlign w:val="center"/>
          </w:tcPr>
          <w:p w14:paraId="7B73E902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8,3</w:t>
            </w:r>
          </w:p>
        </w:tc>
        <w:tc>
          <w:tcPr>
            <w:tcW w:w="950" w:type="dxa"/>
            <w:vAlign w:val="center"/>
          </w:tcPr>
          <w:p w14:paraId="28BEF527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8,1</w:t>
            </w:r>
          </w:p>
        </w:tc>
        <w:tc>
          <w:tcPr>
            <w:tcW w:w="1984" w:type="dxa"/>
            <w:vAlign w:val="center"/>
          </w:tcPr>
          <w:p w14:paraId="40CFA3B9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-2,3</w:t>
            </w:r>
          </w:p>
        </w:tc>
      </w:tr>
      <w:tr w:rsidR="00FC6B99" w:rsidRPr="00BB5E21" w14:paraId="5E135C53" w14:textId="77777777" w:rsidTr="009D0E9B">
        <w:tc>
          <w:tcPr>
            <w:tcW w:w="1952" w:type="dxa"/>
            <w:vAlign w:val="center"/>
          </w:tcPr>
          <w:p w14:paraId="487231C0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Коэффициент смертности, промилле</w:t>
            </w:r>
          </w:p>
        </w:tc>
        <w:tc>
          <w:tcPr>
            <w:tcW w:w="949" w:type="dxa"/>
            <w:vAlign w:val="center"/>
          </w:tcPr>
          <w:p w14:paraId="5FEB6159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13,6</w:t>
            </w:r>
          </w:p>
        </w:tc>
        <w:tc>
          <w:tcPr>
            <w:tcW w:w="950" w:type="dxa"/>
            <w:vAlign w:val="center"/>
          </w:tcPr>
          <w:p w14:paraId="640281ED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16,8</w:t>
            </w:r>
          </w:p>
        </w:tc>
        <w:tc>
          <w:tcPr>
            <w:tcW w:w="950" w:type="dxa"/>
            <w:vAlign w:val="center"/>
          </w:tcPr>
          <w:p w14:paraId="4F3F3ED5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19,4</w:t>
            </w:r>
          </w:p>
        </w:tc>
        <w:tc>
          <w:tcPr>
            <w:tcW w:w="949" w:type="dxa"/>
            <w:vAlign w:val="center"/>
          </w:tcPr>
          <w:p w14:paraId="485A5422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14,4</w:t>
            </w:r>
          </w:p>
        </w:tc>
        <w:tc>
          <w:tcPr>
            <w:tcW w:w="950" w:type="dxa"/>
            <w:vAlign w:val="center"/>
          </w:tcPr>
          <w:p w14:paraId="4C5A85A0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17,5</w:t>
            </w:r>
          </w:p>
        </w:tc>
        <w:tc>
          <w:tcPr>
            <w:tcW w:w="950" w:type="dxa"/>
            <w:vAlign w:val="center"/>
          </w:tcPr>
          <w:p w14:paraId="47C52CD5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18,6</w:t>
            </w:r>
          </w:p>
        </w:tc>
        <w:tc>
          <w:tcPr>
            <w:tcW w:w="1984" w:type="dxa"/>
            <w:vAlign w:val="center"/>
          </w:tcPr>
          <w:p w14:paraId="7255BBD2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+5,0</w:t>
            </w:r>
          </w:p>
        </w:tc>
      </w:tr>
      <w:tr w:rsidR="00FC6B99" w:rsidRPr="00BB5E21" w14:paraId="704D49BD" w14:textId="77777777" w:rsidTr="009D0E9B">
        <w:tc>
          <w:tcPr>
            <w:tcW w:w="1952" w:type="dxa"/>
            <w:vAlign w:val="center"/>
          </w:tcPr>
          <w:p w14:paraId="27C9D1DE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Естественный прирост, убыль (-) на 1000 человек населения, промилле</w:t>
            </w:r>
          </w:p>
        </w:tc>
        <w:tc>
          <w:tcPr>
            <w:tcW w:w="949" w:type="dxa"/>
            <w:vAlign w:val="center"/>
          </w:tcPr>
          <w:p w14:paraId="0484F2D7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- 3,2</w:t>
            </w:r>
          </w:p>
        </w:tc>
        <w:tc>
          <w:tcPr>
            <w:tcW w:w="950" w:type="dxa"/>
            <w:vAlign w:val="center"/>
          </w:tcPr>
          <w:p w14:paraId="7B64D6A0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- 7,0</w:t>
            </w:r>
          </w:p>
        </w:tc>
        <w:tc>
          <w:tcPr>
            <w:tcW w:w="950" w:type="dxa"/>
            <w:vAlign w:val="center"/>
          </w:tcPr>
          <w:p w14:paraId="668AC4FD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- 9,7</w:t>
            </w:r>
          </w:p>
        </w:tc>
        <w:tc>
          <w:tcPr>
            <w:tcW w:w="949" w:type="dxa"/>
            <w:vAlign w:val="center"/>
          </w:tcPr>
          <w:p w14:paraId="74B40A54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-4,9</w:t>
            </w:r>
          </w:p>
        </w:tc>
        <w:tc>
          <w:tcPr>
            <w:tcW w:w="950" w:type="dxa"/>
            <w:vAlign w:val="center"/>
          </w:tcPr>
          <w:p w14:paraId="39FD325A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-9,2</w:t>
            </w:r>
          </w:p>
        </w:tc>
        <w:tc>
          <w:tcPr>
            <w:tcW w:w="950" w:type="dxa"/>
            <w:vAlign w:val="center"/>
          </w:tcPr>
          <w:p w14:paraId="418167A9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-10,5</w:t>
            </w:r>
          </w:p>
        </w:tc>
        <w:tc>
          <w:tcPr>
            <w:tcW w:w="1984" w:type="dxa"/>
            <w:vAlign w:val="center"/>
          </w:tcPr>
          <w:p w14:paraId="1C728461" w14:textId="77777777" w:rsidR="00FC6B99" w:rsidRPr="00BB5E21" w:rsidRDefault="00FC6B99" w:rsidP="009D0E9B">
            <w:pPr>
              <w:jc w:val="center"/>
              <w:rPr>
                <w:sz w:val="20"/>
                <w:szCs w:val="20"/>
              </w:rPr>
            </w:pPr>
            <w:r w:rsidRPr="00BB5E21">
              <w:rPr>
                <w:sz w:val="20"/>
                <w:szCs w:val="20"/>
              </w:rPr>
              <w:t>-7,3</w:t>
            </w:r>
          </w:p>
        </w:tc>
      </w:tr>
    </w:tbl>
    <w:p w14:paraId="6012C2F5" w14:textId="77777777" w:rsidR="00FC6B99" w:rsidRPr="00FC6B99" w:rsidRDefault="00FC6B99" w:rsidP="00C411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FC6B99">
        <w:rPr>
          <w:rFonts w:ascii="Times New Roman" w:hAnsi="Times New Roman" w:cs="Times New Roman"/>
          <w:sz w:val="20"/>
          <w:szCs w:val="20"/>
        </w:rPr>
        <w:t>Составлено авторами. *Предварительные данные</w:t>
      </w:r>
    </w:p>
    <w:p w14:paraId="4ACE0F0A" w14:textId="77777777" w:rsidR="00FC6B99" w:rsidRPr="00FC6B99" w:rsidRDefault="00FC6B99" w:rsidP="00FC6B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C6B99">
        <w:rPr>
          <w:rFonts w:ascii="Times New Roman" w:hAnsi="Times New Roman" w:cs="Times New Roman"/>
          <w:sz w:val="24"/>
          <w:szCs w:val="24"/>
        </w:rPr>
        <w:t>Доля сельского населения в общей численности населения области характеризуется относительной стабильностью с колебаниями в пределах 1,2 процентных пункта (от 38,9% до 40,1%). Примечательно, что при абсолютном сокращении численности сельского населения его доля в 2024 году (39,9%) оказалась выше, чем в 2019 году (39,4%) на 0,5 п.п. городское население сокращалось опережающими темпами (-8,04% против -5,85% в сельской местности), что привело к формальному росту доли сельских жителей в общей структуре при их абсолютном сокращении</w:t>
      </w:r>
      <w:r w:rsidR="00CD44C5">
        <w:rPr>
          <w:rFonts w:ascii="Times New Roman" w:hAnsi="Times New Roman" w:cs="Times New Roman"/>
          <w:sz w:val="24"/>
          <w:szCs w:val="24"/>
        </w:rPr>
        <w:t>.</w:t>
      </w:r>
    </w:p>
    <w:bookmarkEnd w:id="2"/>
    <w:p w14:paraId="5E23CAE6" w14:textId="77777777" w:rsidR="003F1427" w:rsidRDefault="000F33A7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>Среди факторов, определяющих демографическую динамику сельских территорий, особое место занимает уровень диверсификации местной экономики. Моноструктура хозяйства, характерная для многих районов Оренбургской области с преобладанием сельскохозяйственного производства, создает ограниченные возможности трудоустройства, особенно для молодежи и специалистов несельскохозяйственных професси</w:t>
      </w:r>
      <w:r w:rsidR="00CD44C5">
        <w:rPr>
          <w:sz w:val="24"/>
          <w:szCs w:val="24"/>
        </w:rPr>
        <w:t>й</w:t>
      </w:r>
      <w:r>
        <w:rPr>
          <w:sz w:val="24"/>
          <w:szCs w:val="24"/>
        </w:rPr>
        <w:t>, что стимулирует миграционный отток. Территории с более диверсифицированной структурой экономики – включающей перерабатывающие предприятия, малый бизнес, сферу услуг – демонстрируют относительно более благоприятные демографические показатели.</w:t>
      </w:r>
    </w:p>
    <w:p w14:paraId="1E2BB259" w14:textId="77777777" w:rsidR="000F33A7" w:rsidRDefault="000F33A7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>Оренбургская область выступает уникальной моделью территори</w:t>
      </w:r>
      <w:r w:rsidR="00AB014C">
        <w:rPr>
          <w:sz w:val="24"/>
          <w:szCs w:val="24"/>
        </w:rPr>
        <w:t>ей для исследования процессов диверсификации сельской экономики благодаря географическому положению на стыке Европы и Азии, природно-климатической неоднородности и устоявшейся структуре аг</w:t>
      </w:r>
      <w:r w:rsidR="00CD44C5">
        <w:rPr>
          <w:sz w:val="24"/>
          <w:szCs w:val="24"/>
        </w:rPr>
        <w:t>р</w:t>
      </w:r>
      <w:r w:rsidR="00AB014C">
        <w:rPr>
          <w:sz w:val="24"/>
          <w:szCs w:val="24"/>
        </w:rPr>
        <w:t>арного природопользования.  Протяженность региона с запада на восток составляет 760 км, с севера на юг – 445 км, что определяет разнообразие природно-хозяйственных зон. Резко-континентальный климат с жарким засушливым летом и холодной зимой, а также неравномерное распределение осадков – от 450 мм/год на северо-западе до 260 мм/г</w:t>
      </w:r>
      <w:r w:rsidR="00CD44C5">
        <w:rPr>
          <w:sz w:val="24"/>
          <w:szCs w:val="24"/>
        </w:rPr>
        <w:t>о</w:t>
      </w:r>
      <w:r w:rsidR="00AB014C">
        <w:rPr>
          <w:sz w:val="24"/>
          <w:szCs w:val="24"/>
        </w:rPr>
        <w:t>д на юго-востоке – создают высокую степень засушливости: сильные и средние засухи в южны</w:t>
      </w:r>
      <w:r w:rsidR="00CD44C5">
        <w:rPr>
          <w:sz w:val="24"/>
          <w:szCs w:val="24"/>
        </w:rPr>
        <w:t>х</w:t>
      </w:r>
      <w:r w:rsidR="00AB014C">
        <w:rPr>
          <w:sz w:val="24"/>
          <w:szCs w:val="24"/>
        </w:rPr>
        <w:t xml:space="preserve"> районах повторяются с периодичностью один раз в два-три года. Именно климатические риски выступают ключевым фактором, стимулирующим диверсифицированные процессы в регионе</w:t>
      </w:r>
      <w:r w:rsidR="003C52A0">
        <w:rPr>
          <w:sz w:val="24"/>
          <w:szCs w:val="24"/>
        </w:rPr>
        <w:t xml:space="preserve"> </w:t>
      </w:r>
      <w:r w:rsidR="003C52A0" w:rsidRPr="003C52A0">
        <w:rPr>
          <w:sz w:val="24"/>
          <w:szCs w:val="24"/>
        </w:rPr>
        <w:t>[</w:t>
      </w:r>
      <w:r w:rsidR="003C52A0">
        <w:rPr>
          <w:sz w:val="24"/>
          <w:szCs w:val="24"/>
        </w:rPr>
        <w:fldChar w:fldCharType="begin"/>
      </w:r>
      <w:r w:rsidR="003C52A0">
        <w:rPr>
          <w:sz w:val="24"/>
          <w:szCs w:val="24"/>
        </w:rPr>
        <w:instrText xml:space="preserve"> REF _Ref225531674 \r \h </w:instrText>
      </w:r>
      <w:r w:rsidR="003C52A0">
        <w:rPr>
          <w:sz w:val="24"/>
          <w:szCs w:val="24"/>
        </w:rPr>
      </w:r>
      <w:r w:rsidR="003C52A0">
        <w:rPr>
          <w:sz w:val="24"/>
          <w:szCs w:val="24"/>
        </w:rPr>
        <w:fldChar w:fldCharType="separate"/>
      </w:r>
      <w:r w:rsidR="003C52A0">
        <w:rPr>
          <w:sz w:val="24"/>
          <w:szCs w:val="24"/>
        </w:rPr>
        <w:t>2</w:t>
      </w:r>
      <w:r w:rsidR="003C52A0">
        <w:rPr>
          <w:sz w:val="24"/>
          <w:szCs w:val="24"/>
        </w:rPr>
        <w:fldChar w:fldCharType="end"/>
      </w:r>
      <w:r w:rsidR="003C52A0" w:rsidRPr="003C52A0">
        <w:rPr>
          <w:sz w:val="24"/>
          <w:szCs w:val="24"/>
        </w:rPr>
        <w:t>]</w:t>
      </w:r>
      <w:r w:rsidR="00AB014C">
        <w:rPr>
          <w:sz w:val="24"/>
          <w:szCs w:val="24"/>
        </w:rPr>
        <w:t>.</w:t>
      </w:r>
    </w:p>
    <w:p w14:paraId="0D65BD2D" w14:textId="77777777" w:rsidR="00FC6B99" w:rsidRPr="00FC6B99" w:rsidRDefault="00AB014C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 xml:space="preserve">В широком понимании диверсификация сельской экономики сводится к </w:t>
      </w:r>
      <w:r>
        <w:rPr>
          <w:sz w:val="24"/>
          <w:szCs w:val="24"/>
        </w:rPr>
        <w:lastRenderedPageBreak/>
        <w:t>формированию сельских территориях</w:t>
      </w:r>
      <w:r w:rsidR="004472DF">
        <w:rPr>
          <w:sz w:val="24"/>
          <w:szCs w:val="24"/>
        </w:rPr>
        <w:t xml:space="preserve"> максимально разнообразной структуры хозяйственных форм и видов деятельности, способной удовлетворить потребности населения в трудоустройстве и обеспечить рациональное использование ресурсного потенциала территорий.</w:t>
      </w:r>
      <w:r w:rsidR="00FC6B99" w:rsidRPr="00FC6B99">
        <w:rPr>
          <w:sz w:val="24"/>
          <w:szCs w:val="24"/>
        </w:rPr>
        <w:t xml:space="preserve"> [</w:t>
      </w:r>
      <w:r w:rsidR="003C52A0">
        <w:rPr>
          <w:sz w:val="24"/>
          <w:szCs w:val="24"/>
        </w:rPr>
        <w:fldChar w:fldCharType="begin"/>
      </w:r>
      <w:r w:rsidR="003C52A0">
        <w:rPr>
          <w:sz w:val="24"/>
          <w:szCs w:val="24"/>
        </w:rPr>
        <w:instrText xml:space="preserve"> REF _Ref225531846 \r \h </w:instrText>
      </w:r>
      <w:r w:rsidR="003C52A0">
        <w:rPr>
          <w:sz w:val="24"/>
          <w:szCs w:val="24"/>
        </w:rPr>
      </w:r>
      <w:r w:rsidR="003C52A0">
        <w:rPr>
          <w:sz w:val="24"/>
          <w:szCs w:val="24"/>
        </w:rPr>
        <w:fldChar w:fldCharType="separate"/>
      </w:r>
      <w:r w:rsidR="003C52A0">
        <w:rPr>
          <w:sz w:val="24"/>
          <w:szCs w:val="24"/>
        </w:rPr>
        <w:t>4</w:t>
      </w:r>
      <w:r w:rsidR="003C52A0">
        <w:rPr>
          <w:sz w:val="24"/>
          <w:szCs w:val="24"/>
        </w:rPr>
        <w:fldChar w:fldCharType="end"/>
      </w:r>
      <w:r w:rsidR="00601C7A">
        <w:rPr>
          <w:sz w:val="24"/>
          <w:szCs w:val="24"/>
        </w:rPr>
        <w:t xml:space="preserve">, </w:t>
      </w:r>
      <w:r w:rsidR="00601C7A">
        <w:rPr>
          <w:sz w:val="24"/>
          <w:szCs w:val="24"/>
        </w:rPr>
        <w:fldChar w:fldCharType="begin"/>
      </w:r>
      <w:r w:rsidR="00601C7A">
        <w:rPr>
          <w:sz w:val="24"/>
          <w:szCs w:val="24"/>
        </w:rPr>
        <w:instrText xml:space="preserve"> REF _Ref225531006 \r \h </w:instrText>
      </w:r>
      <w:r w:rsidR="00601C7A">
        <w:rPr>
          <w:sz w:val="24"/>
          <w:szCs w:val="24"/>
        </w:rPr>
      </w:r>
      <w:r w:rsidR="00601C7A">
        <w:rPr>
          <w:sz w:val="24"/>
          <w:szCs w:val="24"/>
        </w:rPr>
        <w:fldChar w:fldCharType="separate"/>
      </w:r>
      <w:r w:rsidR="00601C7A">
        <w:rPr>
          <w:sz w:val="24"/>
          <w:szCs w:val="24"/>
        </w:rPr>
        <w:t>5</w:t>
      </w:r>
      <w:r w:rsidR="00601C7A">
        <w:rPr>
          <w:sz w:val="24"/>
          <w:szCs w:val="24"/>
        </w:rPr>
        <w:fldChar w:fldCharType="end"/>
      </w:r>
      <w:r w:rsidR="00FC6B99" w:rsidRPr="00FC6B99">
        <w:rPr>
          <w:sz w:val="24"/>
          <w:szCs w:val="24"/>
        </w:rPr>
        <w:t>].</w:t>
      </w:r>
    </w:p>
    <w:p w14:paraId="13172DB5" w14:textId="77777777" w:rsidR="00FC6B99" w:rsidRDefault="004472DF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>Современная парадигма развития в качестве ключевого тезиса выдвигает положение о том, что дальнейшая диверсификация сельской экономики с опорой на социально-экономический и природно-ресурсный потенциал территорий выступает необходимым условием сохранения сельского уклада жизни, обеспечения территориального контроля над регионом, а также повышения престижности аграрного труда и проживания на селе</w:t>
      </w:r>
      <w:r w:rsidR="00FC6B99" w:rsidRPr="00FC6B99">
        <w:rPr>
          <w:sz w:val="24"/>
          <w:szCs w:val="24"/>
        </w:rPr>
        <w:t xml:space="preserve"> [</w:t>
      </w:r>
      <w:r w:rsidR="00F81217">
        <w:rPr>
          <w:sz w:val="24"/>
          <w:szCs w:val="24"/>
        </w:rPr>
        <w:fldChar w:fldCharType="begin"/>
      </w:r>
      <w:r w:rsidR="00F81217">
        <w:rPr>
          <w:sz w:val="24"/>
          <w:szCs w:val="24"/>
        </w:rPr>
        <w:instrText xml:space="preserve"> REF _Ref223422948 \r \h </w:instrText>
      </w:r>
      <w:r w:rsidR="00F81217">
        <w:rPr>
          <w:sz w:val="24"/>
          <w:szCs w:val="24"/>
        </w:rPr>
      </w:r>
      <w:r w:rsidR="00F81217">
        <w:rPr>
          <w:sz w:val="24"/>
          <w:szCs w:val="24"/>
        </w:rPr>
        <w:fldChar w:fldCharType="separate"/>
      </w:r>
      <w:r w:rsidR="003C52A0">
        <w:rPr>
          <w:sz w:val="24"/>
          <w:szCs w:val="24"/>
        </w:rPr>
        <w:t>6</w:t>
      </w:r>
      <w:r w:rsidR="00F81217">
        <w:rPr>
          <w:sz w:val="24"/>
          <w:szCs w:val="24"/>
        </w:rPr>
        <w:fldChar w:fldCharType="end"/>
      </w:r>
      <w:r w:rsidR="00FC6B99" w:rsidRPr="00FC6B99">
        <w:rPr>
          <w:sz w:val="24"/>
          <w:szCs w:val="24"/>
        </w:rPr>
        <w:t>].</w:t>
      </w:r>
    </w:p>
    <w:p w14:paraId="7B4141BB" w14:textId="77777777" w:rsidR="001D51FA" w:rsidRDefault="00FC6B99" w:rsidP="00FC6B99">
      <w:pPr>
        <w:pStyle w:val="afe"/>
        <w:ind w:left="0" w:firstLine="709"/>
        <w:rPr>
          <w:sz w:val="24"/>
          <w:szCs w:val="24"/>
        </w:rPr>
      </w:pPr>
      <w:r w:rsidRPr="00FC6B99">
        <w:rPr>
          <w:sz w:val="24"/>
          <w:szCs w:val="24"/>
        </w:rPr>
        <w:t xml:space="preserve">Современные исследования в области диверсификации сельских территорий базируются на принципах инклюзивного роста и учитывают такие цивилизационные трансформации, как глобализация мирохозяйственных связей, ускорение научно-технического прогресса, всесторонняя информатизация общественной и хозяйственной деятельности, гуманизация целей экономического роста. </w:t>
      </w:r>
      <w:r w:rsidR="001D51FA">
        <w:rPr>
          <w:sz w:val="24"/>
          <w:szCs w:val="24"/>
        </w:rPr>
        <w:t>Применительно к специфике Оренбургской области классификация форм диверсификации по направлениям деятельности представлена на рисунке 2.</w:t>
      </w:r>
    </w:p>
    <w:p w14:paraId="11839FFE" w14:textId="77777777" w:rsidR="00C311F7" w:rsidRDefault="0058249C" w:rsidP="00FC6B99">
      <w:pPr>
        <w:pStyle w:val="afe"/>
        <w:ind w:left="0" w:firstLine="709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C77E59F" wp14:editId="6EB0B1A4">
                <wp:simplePos x="0" y="0"/>
                <wp:positionH relativeFrom="margin">
                  <wp:align>right</wp:align>
                </wp:positionH>
                <wp:positionV relativeFrom="paragraph">
                  <wp:posOffset>40640</wp:posOffset>
                </wp:positionV>
                <wp:extent cx="6008103" cy="3084844"/>
                <wp:effectExtent l="0" t="0" r="12065" b="20320"/>
                <wp:wrapNone/>
                <wp:docPr id="76648981" name="Группа 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08103" cy="3084844"/>
                          <a:chOff x="0" y="0"/>
                          <a:chExt cx="6008103" cy="3084844"/>
                        </a:xfrm>
                      </wpg:grpSpPr>
                      <wps:wsp>
                        <wps:cNvPr id="1544360723" name="Прямая со стрелкой 31"/>
                        <wps:cNvCnPr/>
                        <wps:spPr>
                          <a:xfrm>
                            <a:off x="3547068" y="1451987"/>
                            <a:ext cx="869183" cy="98976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17546744" name="Прямая со стрелкой 30"/>
                        <wps:cNvCnPr/>
                        <wps:spPr>
                          <a:xfrm flipH="1">
                            <a:off x="1359459" y="1462036"/>
                            <a:ext cx="783771" cy="960148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10569963" name="Прямоугольник 1"/>
                        <wps:cNvSpPr/>
                        <wps:spPr>
                          <a:xfrm>
                            <a:off x="1693148" y="0"/>
                            <a:ext cx="3006510" cy="431554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532519D" w14:textId="77777777" w:rsidR="00C311F7" w:rsidRPr="00D7352F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Классификация форм диверсификации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4292577" name="Прямоугольник 1"/>
                        <wps:cNvSpPr/>
                        <wps:spPr>
                          <a:xfrm>
                            <a:off x="0" y="823965"/>
                            <a:ext cx="1411605" cy="653143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B54E9AE" w14:textId="77777777" w:rsidR="00C311F7" w:rsidRPr="0037259A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37259A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1.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Производственная диверсификация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5611024" name="Прямоугольник 1"/>
                        <wps:cNvSpPr/>
                        <wps:spPr>
                          <a:xfrm>
                            <a:off x="1451987" y="823965"/>
                            <a:ext cx="1382395" cy="638063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365D9F2" w14:textId="77777777" w:rsidR="00C311F7" w:rsidRPr="0037259A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37259A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2.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Технологическая д</w:t>
                              </w:r>
                              <w:r w:rsidRPr="0037259A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иверсификация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9595759" name="Прямоугольник 1"/>
                        <wps:cNvSpPr/>
                        <wps:spPr>
                          <a:xfrm>
                            <a:off x="2868805" y="834014"/>
                            <a:ext cx="1390015" cy="628022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892D243" w14:textId="77777777" w:rsidR="00C311F7" w:rsidRPr="0037259A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37259A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3.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Структурно-отраслевая трансформация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6444677" name="Прямоугольник 1"/>
                        <wps:cNvSpPr/>
                        <wps:spPr>
                          <a:xfrm>
                            <a:off x="4310743" y="839038"/>
                            <a:ext cx="1697360" cy="633047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4C460F2" w14:textId="77777777" w:rsidR="00C311F7" w:rsidRPr="0037259A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37259A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4. </w:t>
                              </w:r>
                              <w:r w:rsidR="00601C7A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Территориально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-функциональная диверсификация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35681120" name="Прямая со стрелкой 2"/>
                        <wps:cNvCnPr/>
                        <wps:spPr>
                          <a:xfrm flipH="1">
                            <a:off x="641001" y="442128"/>
                            <a:ext cx="2574919" cy="365724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03281774" name="Прямая со стрелкой 3"/>
                        <wps:cNvCnPr/>
                        <wps:spPr>
                          <a:xfrm flipH="1">
                            <a:off x="2108061" y="447152"/>
                            <a:ext cx="1089951" cy="373038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74493947" name="Прямая со стрелкой 4"/>
                        <wps:cNvCnPr/>
                        <wps:spPr>
                          <a:xfrm>
                            <a:off x="3190352" y="447152"/>
                            <a:ext cx="848553" cy="39498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34082352" name="Прямая со стрелкой 5"/>
                        <wps:cNvCnPr/>
                        <wps:spPr>
                          <a:xfrm>
                            <a:off x="3190352" y="457200"/>
                            <a:ext cx="2413986" cy="32915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0148319" name="Прямоугольник 1"/>
                        <wps:cNvSpPr/>
                        <wps:spPr>
                          <a:xfrm>
                            <a:off x="10049" y="1652954"/>
                            <a:ext cx="2818562" cy="59245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FC34242" w14:textId="77777777" w:rsidR="00C311F7" w:rsidRPr="0058249C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58249C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Расширение набора сельскохозяйственных культур и отраслей животноводства с учетом агроклиматического зонирования территорий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0218440" name="Прямоугольник 1"/>
                        <wps:cNvSpPr/>
                        <wps:spPr>
                          <a:xfrm>
                            <a:off x="40194" y="2416629"/>
                            <a:ext cx="2730786" cy="66821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9D5EF77" w14:textId="77777777" w:rsidR="00C311F7" w:rsidRDefault="00C311F7" w:rsidP="00C311F7">
                              <w:pPr>
                                <w:jc w:val="center"/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Внедрение различных агротехнологий (от экстенсивных до интенсивных) в зависимости от агроэкологических групп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8078796" name="Прямоугольник 1"/>
                        <wps:cNvSpPr/>
                        <wps:spPr>
                          <a:xfrm>
                            <a:off x="2898950" y="2426677"/>
                            <a:ext cx="3004457" cy="63807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104C267" w14:textId="77777777" w:rsidR="00C311F7" w:rsidRPr="00E137C9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Изменение соотношения между растениеводств</w:t>
                              </w:r>
                              <w:r w:rsidR="00601C7A">
                                <w:rPr>
                                  <w:rFonts w:ascii="Times New Roman" w:hAnsi="Times New Roman" w:cs="Times New Roman"/>
                                </w:rPr>
                                <w:t>ом</w:t>
                              </w:r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и животноводством, а также между подотраслями внутри них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397824" name="Прямоугольник 1"/>
                        <wps:cNvSpPr/>
                        <wps:spPr>
                          <a:xfrm>
                            <a:off x="2999433" y="1647930"/>
                            <a:ext cx="2973970" cy="572135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A4B318D" w14:textId="77777777" w:rsidR="00C311F7" w:rsidRPr="0058249C" w:rsidRDefault="00C311F7" w:rsidP="00C311F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58249C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Дифференцированное использование земель различного качества (пашня, пастбища, залежи) с учетом их агроприродного потенциала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046525" name="Прямая со стрелкой 27"/>
                        <wps:cNvCnPr/>
                        <wps:spPr>
                          <a:xfrm>
                            <a:off x="718457" y="1487156"/>
                            <a:ext cx="697865" cy="16891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49596183" name="Прямая со стрелкой 29"/>
                        <wps:cNvCnPr/>
                        <wps:spPr>
                          <a:xfrm flipH="1">
                            <a:off x="4394061" y="1472084"/>
                            <a:ext cx="768699" cy="16136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77E59F" id="Группа 32" o:spid="_x0000_s1026" style="position:absolute;left:0;text-align:left;margin-left:421.9pt;margin-top:3.2pt;width:473.1pt;height:242.9pt;z-index:251660288;mso-position-horizontal:right;mso-position-horizontal-relative:margin" coordsize="60081,30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31" o:spid="_x0000_s1027" type="#_x0000_t32" style="position:absolute;left:35470;top:14519;width:8692;height:989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" strokecolor="#4472c4 [3204]" strokeweight=".5pt">
                  <v:stroke endarrow="block" joinstyle="miter"/>
                </v:shape>
                <v:shape id="Прямая со стрелкой 30" o:spid="_x0000_s1028" type="#_x0000_t32" style="position:absolute;left:13594;top:14620;width:7838;height:960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" strokecolor="#4472c4 [3204]" strokeweight=".5pt">
                  <v:stroke endarrow="block" joinstyle="miter"/>
                </v:shape>
                <v:rect id="Прямоугольник 1" o:spid="_x0000_s1029" style="position:absolute;left:16931;width:30065;height:43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" fillcolor="white [3201]" strokecolor="black [3213]" strokeweight="1pt">
                  <v:textbox>
                    <w:txbxContent>
                      <w:p w14:paraId="7532519D" w14:textId="77777777" w:rsidR="00C311F7" w:rsidRPr="00D7352F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Классификация форм диверсификации</w:t>
                        </w:r>
                      </w:p>
                    </w:txbxContent>
                  </v:textbox>
                </v:rect>
                <v:rect id="Прямоугольник 1" o:spid="_x0000_s1030" style="position:absolute;top:8239;width:14116;height:65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" fillcolor="white [3201]" strokecolor="black [3213]" strokeweight="1pt">
                  <v:textbox>
                    <w:txbxContent>
                      <w:p w14:paraId="7B54E9AE" w14:textId="77777777" w:rsidR="00C311F7" w:rsidRPr="0037259A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37259A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1.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Производственная диверсификация</w:t>
                        </w:r>
                      </w:p>
                    </w:txbxContent>
                  </v:textbox>
                </v:rect>
                <v:rect id="Прямоугольник 1" o:spid="_x0000_s1031" style="position:absolute;left:14519;top:8239;width:13824;height:6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" fillcolor="white [3201]" strokecolor="black [3213]" strokeweight="1pt">
                  <v:textbox>
                    <w:txbxContent>
                      <w:p w14:paraId="2365D9F2" w14:textId="77777777" w:rsidR="00C311F7" w:rsidRPr="0037259A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37259A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2.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Технологическая д</w:t>
                        </w:r>
                        <w:r w:rsidRPr="0037259A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иверсификация</w:t>
                        </w:r>
                      </w:p>
                    </w:txbxContent>
                  </v:textbox>
                </v:rect>
                <v:rect id="Прямоугольник 1" o:spid="_x0000_s1032" style="position:absolute;left:28688;top:8340;width:13900;height:62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" fillcolor="white [3201]" strokecolor="black [3213]" strokeweight="1pt">
                  <v:textbox>
                    <w:txbxContent>
                      <w:p w14:paraId="2892D243" w14:textId="77777777" w:rsidR="00C311F7" w:rsidRPr="0037259A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37259A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3.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Структурно-отраслевая трансформация</w:t>
                        </w:r>
                      </w:p>
                    </w:txbxContent>
                  </v:textbox>
                </v:rect>
                <v:rect id="Прямоугольник 1" o:spid="_x0000_s1033" style="position:absolute;left:43107;top:8390;width:16974;height:63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" fillcolor="white [3201]" strokecolor="black [3213]" strokeweight="1pt">
                  <v:textbox>
                    <w:txbxContent>
                      <w:p w14:paraId="44C460F2" w14:textId="77777777" w:rsidR="00C311F7" w:rsidRPr="0037259A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37259A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4. </w:t>
                        </w:r>
                        <w:r w:rsidR="00601C7A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Территориально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-функциональная диверсификация</w:t>
                        </w:r>
                      </w:p>
                    </w:txbxContent>
                  </v:textbox>
                </v:rect>
                <v:shape id="Прямая со стрелкой 2" o:spid="_x0000_s1034" type="#_x0000_t32" style="position:absolute;left:6410;top:4421;width:25749;height:365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" strokecolor="black [3200]" strokeweight=".5pt">
                  <v:stroke endarrow="block" joinstyle="miter"/>
                </v:shape>
                <v:shape id="Прямая со стрелкой 3" o:spid="_x0000_s1035" type="#_x0000_t32" style="position:absolute;left:21080;top:4471;width:10900;height:373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" strokecolor="black [3200]" strokeweight=".5pt">
                  <v:stroke endarrow="block" joinstyle="miter"/>
                </v:shape>
                <v:shape id="Прямая со стрелкой 4" o:spid="_x0000_s1036" type="#_x0000_t32" style="position:absolute;left:31903;top:4471;width:8486;height:395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" strokecolor="black [3200]" strokeweight=".5pt">
                  <v:stroke endarrow="block" joinstyle="miter"/>
                </v:shape>
                <v:shape id="Прямая со стрелкой 5" o:spid="_x0000_s1037" type="#_x0000_t32" style="position:absolute;left:31903;top:4572;width:24140;height:329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" strokecolor="black [3200]" strokeweight=".5pt">
                  <v:stroke endarrow="block" joinstyle="miter"/>
                </v:shape>
                <v:rect id="Прямоугольник 1" o:spid="_x0000_s1038" style="position:absolute;left:100;top:16529;width:28186;height:59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" fillcolor="white [3201]" strokecolor="black [3213]" strokeweight="1pt">
                  <v:textbox>
                    <w:txbxContent>
                      <w:p w14:paraId="5FC34242" w14:textId="77777777" w:rsidR="00C311F7" w:rsidRPr="0058249C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58249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Расширение набора сельскохозяйственных культур и отраслей животноводства с учетом агроклиматического зонирования территорий</w:t>
                        </w:r>
                      </w:p>
                    </w:txbxContent>
                  </v:textbox>
                </v:rect>
                <v:rect id="Прямоугольник 1" o:spid="_x0000_s1039" style="position:absolute;left:401;top:24166;width:27308;height:66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" fillcolor="white [3201]" strokecolor="black [3213]" strokeweight="1pt">
                  <v:textbox>
                    <w:txbxContent>
                      <w:p w14:paraId="69D5EF77" w14:textId="77777777" w:rsidR="00C311F7" w:rsidRDefault="00C311F7" w:rsidP="00C311F7">
                        <w:pPr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Внедрение различных агротехнологий (от экстенсивных до интенсивных) в зависимости от агроэкологических групп</w:t>
                        </w:r>
                      </w:p>
                    </w:txbxContent>
                  </v:textbox>
                </v:rect>
                <v:rect id="Прямоугольник 1" o:spid="_x0000_s1040" style="position:absolute;left:28989;top:24266;width:30045;height:6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" fillcolor="white [3201]" strokecolor="black [3213]" strokeweight="1pt">
                  <v:textbox>
                    <w:txbxContent>
                      <w:p w14:paraId="6104C267" w14:textId="77777777" w:rsidR="00C311F7" w:rsidRPr="00E137C9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Изменение соотношения между растениеводств</w:t>
                        </w:r>
                        <w:r w:rsidR="00601C7A">
                          <w:rPr>
                            <w:rFonts w:ascii="Times New Roman" w:hAnsi="Times New Roman" w:cs="Times New Roman"/>
                          </w:rPr>
                          <w:t>ом</w:t>
                        </w:r>
                        <w:r>
                          <w:rPr>
                            <w:rFonts w:ascii="Times New Roman" w:hAnsi="Times New Roman" w:cs="Times New Roman"/>
                          </w:rPr>
                          <w:t xml:space="preserve"> и животноводством, а также между подотраслями внутри них</w:t>
                        </w:r>
                      </w:p>
                    </w:txbxContent>
                  </v:textbox>
                </v:rect>
                <v:rect id="Прямоугольник 1" o:spid="_x0000_s1041" style="position:absolute;left:29994;top:16479;width:29740;height:5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" fillcolor="white [3201]" strokecolor="black [3213]" strokeweight="1pt">
                  <v:textbox>
                    <w:txbxContent>
                      <w:p w14:paraId="1A4B318D" w14:textId="77777777" w:rsidR="00C311F7" w:rsidRPr="0058249C" w:rsidRDefault="00C311F7" w:rsidP="00C311F7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58249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Дифференцированное использование земель различного качества (пашня, пастбища, залежи) с учетом их агроприродного потенциала</w:t>
                        </w:r>
                      </w:p>
                    </w:txbxContent>
                  </v:textbox>
                </v:rect>
                <v:shape id="Прямая со стрелкой 27" o:spid="_x0000_s1042" type="#_x0000_t32" style="position:absolute;left:7184;top:14871;width:6979;height:168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" strokecolor="#4472c4 [3204]" strokeweight=".5pt">
                  <v:stroke endarrow="block" joinstyle="miter"/>
                </v:shape>
                <v:shape id="Прямая со стрелкой 29" o:spid="_x0000_s1043" type="#_x0000_t32" style="position:absolute;left:43940;top:14720;width:7687;height:161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" strokecolor="#4472c4 [3204]" strokeweight=".5pt">
                  <v:stroke endarrow="block" joinstyle="miter"/>
                </v:shape>
                <w10:wrap anchorx="margin"/>
              </v:group>
            </w:pict>
          </mc:Fallback>
        </mc:AlternateContent>
      </w:r>
    </w:p>
    <w:p w14:paraId="019D8CE6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1432FAD2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02CD04AA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0E38997B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2C64C9DC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31A0B84E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7DCB4D14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7B58FE6C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20256B19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568A6D48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178F3CC6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6D1B34B2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47C1766B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63E8B41F" w14:textId="77777777" w:rsidR="00C311F7" w:rsidRDefault="00C311F7" w:rsidP="00FC6B99">
      <w:pPr>
        <w:pStyle w:val="afe"/>
        <w:ind w:left="0" w:firstLine="709"/>
        <w:rPr>
          <w:sz w:val="24"/>
          <w:szCs w:val="24"/>
        </w:rPr>
      </w:pPr>
    </w:p>
    <w:p w14:paraId="7152ED83" w14:textId="77777777" w:rsidR="001D51FA" w:rsidRDefault="001D51FA" w:rsidP="00FC6B99">
      <w:pPr>
        <w:pStyle w:val="afe"/>
        <w:ind w:left="0" w:firstLine="709"/>
        <w:rPr>
          <w:sz w:val="24"/>
          <w:szCs w:val="24"/>
        </w:rPr>
      </w:pPr>
    </w:p>
    <w:p w14:paraId="156EBC25" w14:textId="77777777" w:rsidR="001D51FA" w:rsidRDefault="001D51FA" w:rsidP="00FC6B99">
      <w:pPr>
        <w:pStyle w:val="afe"/>
        <w:ind w:left="0" w:firstLine="709"/>
        <w:rPr>
          <w:sz w:val="24"/>
          <w:szCs w:val="24"/>
        </w:rPr>
      </w:pPr>
    </w:p>
    <w:p w14:paraId="54348D2A" w14:textId="77777777" w:rsidR="001D51FA" w:rsidRDefault="001D51FA" w:rsidP="00FC6B99">
      <w:pPr>
        <w:pStyle w:val="afe"/>
        <w:ind w:left="0" w:firstLine="709"/>
        <w:rPr>
          <w:sz w:val="24"/>
          <w:szCs w:val="24"/>
        </w:rPr>
      </w:pPr>
    </w:p>
    <w:p w14:paraId="7F186729" w14:textId="77777777" w:rsidR="001D51FA" w:rsidRDefault="0058249C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>Рисунок 2 – Классификация форм диверсификации по направлениям деятельности</w:t>
      </w:r>
    </w:p>
    <w:p w14:paraId="663A871A" w14:textId="77777777" w:rsidR="001D51FA" w:rsidRDefault="001D51FA" w:rsidP="00FC6B99">
      <w:pPr>
        <w:pStyle w:val="afe"/>
        <w:ind w:left="0" w:firstLine="709"/>
        <w:rPr>
          <w:sz w:val="24"/>
          <w:szCs w:val="24"/>
        </w:rPr>
      </w:pPr>
    </w:p>
    <w:p w14:paraId="6E5DF058" w14:textId="77777777" w:rsidR="00B51D13" w:rsidRDefault="00B51D13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>Представленная классификация форм диверсификации, учитывающая природно-климатическую и хозяйственную специфику Оренбургской области, позволяет конкретизировать направления трансформации сельской экономики применительно к различным типам территорий. Комплексная реализация выделенных форм создает предпосылки для расширения занятости, снижени</w:t>
      </w:r>
      <w:r w:rsidR="00601C7A">
        <w:rPr>
          <w:sz w:val="24"/>
          <w:szCs w:val="24"/>
        </w:rPr>
        <w:t>я</w:t>
      </w:r>
      <w:r>
        <w:rPr>
          <w:sz w:val="24"/>
          <w:szCs w:val="24"/>
        </w:rPr>
        <w:t xml:space="preserve"> миграционного оттока и повышения устойчивости сельских поселений в долгосрочной перспективе.</w:t>
      </w:r>
    </w:p>
    <w:p w14:paraId="24DA627F" w14:textId="77777777" w:rsidR="001D51FA" w:rsidRDefault="000732B3" w:rsidP="00FC6B99">
      <w:pPr>
        <w:pStyle w:val="afe"/>
        <w:ind w:left="0" w:firstLine="709"/>
        <w:rPr>
          <w:sz w:val="24"/>
          <w:szCs w:val="24"/>
        </w:rPr>
      </w:pPr>
      <w:r>
        <w:rPr>
          <w:sz w:val="24"/>
          <w:szCs w:val="24"/>
        </w:rPr>
        <w:t>Демографическая ситуация на сельских территориях Оренбургской области характеризуется устойчивой естественной убылью населения, усугубляемой миграционным оттоком, особенно из районов моноструктур</w:t>
      </w:r>
      <w:r w:rsidR="00601C7A">
        <w:rPr>
          <w:sz w:val="24"/>
          <w:szCs w:val="24"/>
        </w:rPr>
        <w:t>н</w:t>
      </w:r>
      <w:r>
        <w:rPr>
          <w:sz w:val="24"/>
          <w:szCs w:val="24"/>
        </w:rPr>
        <w:t xml:space="preserve">ой </w:t>
      </w:r>
      <w:r w:rsidR="00601C7A">
        <w:rPr>
          <w:sz w:val="24"/>
          <w:szCs w:val="24"/>
        </w:rPr>
        <w:t>экономикой</w:t>
      </w:r>
      <w:r>
        <w:rPr>
          <w:sz w:val="24"/>
          <w:szCs w:val="24"/>
        </w:rPr>
        <w:t xml:space="preserve">. Преодоление сложившихся негативных тенденций требует активизации процессов диверсификации сельской экономики, учитывающих как природно-климатическую специфику региона, так и современные подходы к инклюзивному и устойчивому развитию сельских территорий. Предложенная </w:t>
      </w:r>
      <w:r w:rsidR="00601C7A">
        <w:rPr>
          <w:sz w:val="24"/>
          <w:szCs w:val="24"/>
        </w:rPr>
        <w:t>классификация</w:t>
      </w:r>
      <w:r>
        <w:rPr>
          <w:sz w:val="24"/>
          <w:szCs w:val="24"/>
        </w:rPr>
        <w:t xml:space="preserve"> может служить методической основой для разработки адресных мер региональной политики, направленных на стабилизацию демографической ситуации и повышение качества жизни сельского населения.</w:t>
      </w:r>
    </w:p>
    <w:p w14:paraId="690165CB" w14:textId="77777777" w:rsidR="00FC6B99" w:rsidRPr="00FC6B99" w:rsidRDefault="00FC6B99" w:rsidP="00FC6B9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75AB1DC5" w14:textId="77777777" w:rsidR="00FC6B99" w:rsidRPr="00FC6B99" w:rsidRDefault="00FC6B99" w:rsidP="00FC6B99">
      <w:pPr>
        <w:tabs>
          <w:tab w:val="left" w:pos="0"/>
        </w:tabs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C6B99">
        <w:rPr>
          <w:rFonts w:ascii="Times New Roman" w:hAnsi="Times New Roman" w:cs="Times New Roman"/>
          <w:i/>
          <w:sz w:val="24"/>
          <w:szCs w:val="24"/>
        </w:rPr>
        <w:lastRenderedPageBreak/>
        <w:t>Статья подготовлена в рамках государственного задания Минобрнауки РФ для ФГБУН Институт экономики УрО РАН на 2024-2026 гг. «</w:t>
      </w:r>
      <w:hyperlink r:id="rId9" w:history="1">
        <w:r w:rsidRPr="00FC6B99">
          <w:rPr>
            <w:rFonts w:ascii="Times New Roman" w:eastAsiaTheme="majorEastAsia" w:hAnsi="Times New Roman" w:cs="Times New Roman"/>
            <w:i/>
            <w:sz w:val="24"/>
            <w:szCs w:val="24"/>
          </w:rPr>
          <w:t>Методология функционирования и взаимодействия отраслевых и региональных экономических и логистических систем в условиях цифровой трансформации бизнеса</w:t>
        </w:r>
      </w:hyperlink>
      <w:r w:rsidRPr="00FC6B99">
        <w:rPr>
          <w:rFonts w:ascii="Times New Roman" w:hAnsi="Times New Roman" w:cs="Times New Roman"/>
          <w:i/>
          <w:sz w:val="24"/>
          <w:szCs w:val="24"/>
        </w:rPr>
        <w:t xml:space="preserve">» </w:t>
      </w:r>
    </w:p>
    <w:p w14:paraId="40A20687" w14:textId="77777777" w:rsidR="00021CDA" w:rsidRDefault="00021CDA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2E13B8B" w14:textId="77777777" w:rsidR="00021CDA" w:rsidRDefault="00217495" w:rsidP="00D12D2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35B5F673" w14:textId="77777777" w:rsidR="003C52A0" w:rsidRDefault="003C52A0" w:rsidP="003C52A0">
      <w:pPr>
        <w:pStyle w:val="afe"/>
        <w:numPr>
          <w:ilvl w:val="0"/>
          <w:numId w:val="5"/>
        </w:numPr>
        <w:ind w:left="0" w:right="-1" w:firstLine="707"/>
        <w:rPr>
          <w:sz w:val="24"/>
          <w:szCs w:val="24"/>
        </w:rPr>
      </w:pPr>
      <w:bookmarkStart w:id="3" w:name="_Ref225531301"/>
      <w:bookmarkStart w:id="4" w:name="_Ref225531392"/>
      <w:bookmarkStart w:id="5" w:name="_Ref223517791"/>
      <w:bookmarkStart w:id="6" w:name="_Ref225530991"/>
      <w:r w:rsidRPr="00F81217">
        <w:rPr>
          <w:sz w:val="24"/>
          <w:szCs w:val="24"/>
        </w:rPr>
        <w:t>Желудева, Ю. В. Оценка динамики развития сельских территорий региона / Ю. В. Желудева, Д. И. Жиляков // Вестник Курской государственной сельскохозяйственной академии. – 2022. – № 5. – С. 179-184. – EDN CYXTFO.</w:t>
      </w:r>
      <w:bookmarkEnd w:id="3"/>
    </w:p>
    <w:p w14:paraId="20BC6109" w14:textId="77777777" w:rsidR="00F81217" w:rsidRPr="003C52A0" w:rsidRDefault="00F81217" w:rsidP="00BE2150">
      <w:pPr>
        <w:pStyle w:val="afe"/>
        <w:numPr>
          <w:ilvl w:val="0"/>
          <w:numId w:val="5"/>
        </w:numPr>
        <w:ind w:left="0" w:right="-1" w:firstLine="707"/>
        <w:rPr>
          <w:sz w:val="24"/>
          <w:szCs w:val="24"/>
        </w:rPr>
      </w:pPr>
      <w:r w:rsidRPr="00F81217">
        <w:rPr>
          <w:sz w:val="24"/>
          <w:szCs w:val="24"/>
        </w:rPr>
        <w:t>Крупко, А. Э. Факторы, тенденции и перспективы развития сельского населения Воронежской области и устойчивое состояние сельской местности региона / А. Э. Крупко, Р. Е. Рогозина, Л. Н. Шенцева // Бизнес. Образование. Право. – 2024. – № 4(69). – С. 100-107. – DOI 10.25683/VOLBI.2024.69.1135. – EDN HNTGUI.</w:t>
      </w:r>
      <w:bookmarkEnd w:id="4"/>
    </w:p>
    <w:p w14:paraId="75E36624" w14:textId="77777777" w:rsidR="003C52A0" w:rsidRDefault="003C52A0" w:rsidP="00BE2150">
      <w:pPr>
        <w:pStyle w:val="afe"/>
        <w:numPr>
          <w:ilvl w:val="0"/>
          <w:numId w:val="5"/>
        </w:numPr>
        <w:ind w:left="0" w:right="-1" w:firstLine="707"/>
        <w:rPr>
          <w:sz w:val="24"/>
          <w:szCs w:val="24"/>
        </w:rPr>
      </w:pPr>
      <w:bookmarkStart w:id="7" w:name="_Ref225531674"/>
      <w:r w:rsidRPr="003C52A0">
        <w:rPr>
          <w:sz w:val="24"/>
          <w:szCs w:val="24"/>
        </w:rPr>
        <w:t>Кошулько, А. П. Геодинамика сельского расселения и характеристика аграрного сектора Оренбургской области / А. П. Кошулько // Международный демографический форум : Материалы заседания, Воронеж, 22–24 октября 2020 года. – Воронеж: Цифровая полиграфия, 2020. – С. 909-914. – EDN SACCSF.</w:t>
      </w:r>
      <w:bookmarkEnd w:id="7"/>
    </w:p>
    <w:p w14:paraId="2FD2650C" w14:textId="77777777" w:rsidR="00BE2150" w:rsidRDefault="00BE2150" w:rsidP="00BE2150">
      <w:pPr>
        <w:pStyle w:val="afe"/>
        <w:numPr>
          <w:ilvl w:val="0"/>
          <w:numId w:val="5"/>
        </w:numPr>
        <w:ind w:left="0" w:right="-1" w:firstLine="707"/>
        <w:rPr>
          <w:sz w:val="24"/>
          <w:szCs w:val="24"/>
        </w:rPr>
      </w:pPr>
      <w:bookmarkStart w:id="8" w:name="_Ref225531846"/>
      <w:r w:rsidRPr="00396EC9">
        <w:rPr>
          <w:sz w:val="24"/>
          <w:szCs w:val="24"/>
        </w:rPr>
        <w:t>Папцов, А. Г. Диверсификация сельской экономики: значение, выгоды и риски / А. Г. Папцов, Н. А. Шеламова // Экономика сельскохозяйственных и перерабатывающих предприятий. – 2019. – № 8. – С. 2-6. – DOI 10.31442/0235-2494-2019-0-8-2-6. – EDN RWJZQZ.</w:t>
      </w:r>
      <w:bookmarkEnd w:id="5"/>
      <w:bookmarkEnd w:id="6"/>
      <w:bookmarkEnd w:id="8"/>
    </w:p>
    <w:p w14:paraId="357B3B7A" w14:textId="77777777" w:rsidR="00BE2150" w:rsidRDefault="00BE2150" w:rsidP="00BE2150">
      <w:pPr>
        <w:pStyle w:val="afe"/>
        <w:numPr>
          <w:ilvl w:val="0"/>
          <w:numId w:val="5"/>
        </w:numPr>
        <w:ind w:left="0" w:right="-1" w:firstLine="707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bookmarkStart w:id="9" w:name="_Ref225531006"/>
      <w:r w:rsidRPr="00396EC9">
        <w:rPr>
          <w:sz w:val="24"/>
          <w:szCs w:val="24"/>
        </w:rPr>
        <w:t>Папцов, А. Г. Программы развития сельских территорий и их финансирование в Европейском союзе / А. Г. Папцов, Н. А. Медведева // АПК: экономика, управление. – 2019. – № 6. – С. 79-90. – DOI 10.33305/196-79. – EDN GCJVUP.</w:t>
      </w:r>
      <w:bookmarkEnd w:id="9"/>
    </w:p>
    <w:p w14:paraId="53A5810D" w14:textId="77777777" w:rsidR="00F81217" w:rsidRPr="003C52A0" w:rsidRDefault="00F81217" w:rsidP="00F81217">
      <w:pPr>
        <w:pStyle w:val="afe"/>
        <w:numPr>
          <w:ilvl w:val="0"/>
          <w:numId w:val="5"/>
        </w:numPr>
        <w:ind w:left="0" w:right="-1" w:firstLine="707"/>
        <w:rPr>
          <w:sz w:val="24"/>
          <w:szCs w:val="24"/>
        </w:rPr>
      </w:pPr>
      <w:bookmarkStart w:id="10" w:name="_Ref223422948"/>
      <w:r w:rsidRPr="003C52A0">
        <w:rPr>
          <w:sz w:val="24"/>
          <w:szCs w:val="24"/>
        </w:rPr>
        <w:t>Подгорская, С. В. Методологические положения по обоснованию направлений развития сельских территорий сельскохозяйственных районов на основании диверсификации сельской экономики в условиях цивилизационных трансформаций / С. В. Подгорская, Т. А. Мирошниченко, Г. А. Бахматова. – Рассвет: ООО "АзовПринт", 2021. – 112 с. – ISBN 978-5-6045947-7-3. – DOI 10.34924/FRARC.2021.31.95.001. – EDN UGSBMZ.</w:t>
      </w:r>
      <w:bookmarkEnd w:id="10"/>
    </w:p>
    <w:p w14:paraId="0F549F60" w14:textId="77777777" w:rsidR="00021CDA" w:rsidRDefault="00021CDA" w:rsidP="00D12D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C72DC93" w14:textId="77777777" w:rsidR="00021CDA" w:rsidRDefault="0021749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1D84BDCF" w14:textId="77777777" w:rsidR="00021CDA" w:rsidRPr="00CD44C5" w:rsidRDefault="00FC6B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Гусева Елена Петровна (Россия, Оренбург)</w:t>
      </w:r>
      <w:r>
        <w:rPr>
          <w:rFonts w:ascii="Times New Roman" w:hAnsi="Times New Roman" w:cs="Times New Roman"/>
          <w:sz w:val="24"/>
          <w:szCs w:val="24"/>
        </w:rPr>
        <w:t xml:space="preserve"> – научный сотрудник, Оренбургский филиал Института экономики УрО РАН (460000, Россия, г. Оренбург, ул. Пионерская</w:t>
      </w:r>
      <w:r w:rsidRPr="00CD44C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д</w:t>
      </w:r>
      <w:r w:rsidRPr="00CD44C5">
        <w:rPr>
          <w:rFonts w:ascii="Times New Roman" w:hAnsi="Times New Roman" w:cs="Times New Roman"/>
          <w:sz w:val="24"/>
          <w:szCs w:val="24"/>
        </w:rPr>
        <w:t xml:space="preserve">. 11;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CD44C5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CD44C5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785704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epguseva</w:t>
        </w:r>
        <w:r w:rsidRPr="00CD44C5">
          <w:rPr>
            <w:rStyle w:val="af0"/>
            <w:rFonts w:ascii="Times New Roman" w:hAnsi="Times New Roman" w:cs="Times New Roman"/>
            <w:sz w:val="24"/>
            <w:szCs w:val="24"/>
          </w:rPr>
          <w:t>@</w:t>
        </w:r>
        <w:r w:rsidRPr="00785704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CD44C5">
          <w:rPr>
            <w:rStyle w:val="af0"/>
            <w:rFonts w:ascii="Times New Roman" w:hAnsi="Times New Roman" w:cs="Times New Roman"/>
            <w:sz w:val="24"/>
            <w:szCs w:val="24"/>
          </w:rPr>
          <w:t>.</w:t>
        </w:r>
        <w:r w:rsidRPr="00785704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CD44C5">
        <w:rPr>
          <w:rFonts w:ascii="Times New Roman" w:hAnsi="Times New Roman" w:cs="Times New Roman"/>
          <w:sz w:val="24"/>
          <w:szCs w:val="24"/>
        </w:rPr>
        <w:t>)</w:t>
      </w:r>
    </w:p>
    <w:p w14:paraId="08726FD7" w14:textId="77777777" w:rsidR="00021CDA" w:rsidRPr="00CD44C5" w:rsidRDefault="00FC6B9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Guseva</w:t>
      </w:r>
      <w:r w:rsidRPr="00CD44C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E</w:t>
      </w:r>
      <w:r w:rsidRPr="00CD44C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en-US"/>
        </w:rPr>
        <w:t>P</w:t>
      </w:r>
      <w:r w:rsidRPr="00CD44C5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14:paraId="29394314" w14:textId="6CF1D628" w:rsidR="00021CDA" w:rsidRPr="00136AE7" w:rsidRDefault="00136AE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36AE7">
        <w:rPr>
          <w:rFonts w:ascii="Times New Roman" w:hAnsi="Times New Roman" w:cs="Times New Roman"/>
          <w:b/>
          <w:bCs/>
          <w:sz w:val="24"/>
          <w:szCs w:val="24"/>
          <w:lang w:val="en-US"/>
        </w:rPr>
        <w:t>DEMOGRAPHIC DYNAMICS AND DIVERSIFICATION OF RURAL ECONOMY</w:t>
      </w:r>
    </w:p>
    <w:p w14:paraId="14CF240B" w14:textId="77777777" w:rsidR="00021CDA" w:rsidRPr="003C52A0" w:rsidRDefault="00021CD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9A6824D" w14:textId="77777777" w:rsidR="003C52A0" w:rsidRPr="003C52A0" w:rsidRDefault="003C52A0" w:rsidP="003C52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52A0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Abstract:</w:t>
      </w:r>
      <w:r w:rsidRPr="003C52A0">
        <w:rPr>
          <w:rFonts w:ascii="Times New Roman" w:hAnsi="Times New Roman" w:cs="Times New Roman"/>
          <w:sz w:val="24"/>
          <w:szCs w:val="24"/>
          <w:lang w:val="en-US"/>
        </w:rPr>
        <w:t xml:space="preserve"> The article analyzes the demographic dynamics of rural territories in the Orenburg region for the period 2019–2024. A steady population decline is identified. The necessity of diversifying the rural economy as a factor in stabilizing the demographic situation is substantiated. A classification of diversification forms is presented with regard to the natural and climatic specifics of the region.</w:t>
      </w:r>
    </w:p>
    <w:p w14:paraId="33E1A8AD" w14:textId="77777777" w:rsidR="003C52A0" w:rsidRPr="003C52A0" w:rsidRDefault="003C52A0" w:rsidP="003C52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52A0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3C52A0">
        <w:rPr>
          <w:rFonts w:ascii="Times New Roman" w:hAnsi="Times New Roman" w:cs="Times New Roman"/>
          <w:sz w:val="24"/>
          <w:szCs w:val="24"/>
          <w:lang w:val="en-US"/>
        </w:rPr>
        <w:t xml:space="preserve"> rural territories, demographic dynamics, diversification of the rural economy, classification of diversification forms</w:t>
      </w:r>
    </w:p>
    <w:p w14:paraId="7310D37B" w14:textId="77777777" w:rsidR="003C52A0" w:rsidRDefault="003C52A0" w:rsidP="003C52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78DFF55" w14:textId="77777777" w:rsidR="00021CDA" w:rsidRDefault="0021749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14:paraId="4D893E37" w14:textId="77777777" w:rsidR="00021CDA" w:rsidRDefault="00FC6B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Guseva Elena Petrovna (Russia, Orenburg)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- Research Associate </w:t>
      </w:r>
      <w:r w:rsidRPr="00FC6B99">
        <w:rPr>
          <w:rFonts w:ascii="Times New Roman" w:hAnsi="Times New Roman" w:cs="Times New Roman"/>
          <w:sz w:val="24"/>
          <w:szCs w:val="24"/>
          <w:lang w:val="en-US"/>
        </w:rPr>
        <w:t>at the Federal State Budgetary Institution "Institute of Economics of the Ural Branch of the Russian Academy of Sciences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(Russia, 460000, Orenburg, </w:t>
      </w:r>
      <w:r w:rsidR="00D12D2D" w:rsidRPr="00D12D2D">
        <w:rPr>
          <w:rFonts w:ascii="Times New Roman" w:hAnsi="Times New Roman" w:cs="Times New Roman"/>
          <w:sz w:val="24"/>
          <w:szCs w:val="24"/>
          <w:lang w:val="en-US"/>
        </w:rPr>
        <w:t>Pionerskaya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Str., </w:t>
      </w:r>
      <w:r w:rsidR="00D12D2D">
        <w:rPr>
          <w:rFonts w:ascii="Times New Roman" w:hAnsi="Times New Roman" w:cs="Times New Roman"/>
          <w:sz w:val="24"/>
          <w:szCs w:val="24"/>
          <w:lang w:val="en-US"/>
        </w:rPr>
        <w:t>11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e-mail: </w:t>
      </w:r>
      <w:hyperlink r:id="rId11" w:history="1">
        <w:r w:rsidR="00D12D2D" w:rsidRPr="00785704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epguseva</w:t>
        </w:r>
        <w:r w:rsidR="00D12D2D" w:rsidRPr="00D12D2D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="00D12D2D" w:rsidRPr="00785704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D12D2D" w:rsidRPr="00D12D2D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D12D2D" w:rsidRPr="00785704">
          <w:rPr>
            <w:rStyle w:val="af0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252491C2" w14:textId="77777777" w:rsidR="00021CDA" w:rsidRPr="00FE6F46" w:rsidRDefault="00021CDA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14:paraId="06F887C9" w14:textId="77777777" w:rsidR="00757A8D" w:rsidRPr="00FE6F46" w:rsidRDefault="00757A8D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14:paraId="077DE85D" w14:textId="77777777" w:rsidR="00757A8D" w:rsidRPr="00FE6F46" w:rsidRDefault="00757A8D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14:paraId="0447F00F" w14:textId="77777777" w:rsidR="00021CDA" w:rsidRPr="003C52A0" w:rsidRDefault="0021749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52A0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</w:t>
      </w:r>
    </w:p>
    <w:p w14:paraId="56D132BC" w14:textId="77777777" w:rsidR="003C52A0" w:rsidRPr="003C52A0" w:rsidRDefault="003C52A0" w:rsidP="003C52A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Zheludeva, Yu. V., &amp; Zhilyakov, D. I. (2022). Assessment of the Development Dynamics of Rural Territories in the Region. </w:t>
      </w:r>
      <w:r w:rsidRPr="003C52A0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</w:rPr>
        <w:t>Bulletin of the Kursk State Agricultural Academy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 (5), 179–184. EDN CYXTFO.</w:t>
      </w:r>
    </w:p>
    <w:p w14:paraId="3294347C" w14:textId="77777777" w:rsidR="003C52A0" w:rsidRPr="003C52A0" w:rsidRDefault="003C52A0" w:rsidP="003C52A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Krupko, A. E., Rogozina, R. E., &amp; Shentseva, L. N. (2024). Factors, Trends and Prospects for the Development of the Rural Population of the Voronezh Region and the Sustainable State of Rural Areas. </w:t>
      </w:r>
      <w:r w:rsidRPr="003C52A0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</w:rPr>
        <w:t>Business. Education. Law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 (4(69)), 100–107. </w:t>
      </w:r>
      <w:hyperlink r:id="rId12" w:tgtFrame="_blank" w:history="1">
        <w:r w:rsidRPr="003C52A0">
          <w:rPr>
            <w:rStyle w:val="af0"/>
            <w:rFonts w:ascii="Times New Roman" w:hAnsi="Times New Roman" w:cs="Times New Roman"/>
            <w:bCs/>
            <w:iCs/>
            <w:sz w:val="24"/>
            <w:szCs w:val="24"/>
            <w:shd w:val="clear" w:color="auto" w:fill="FFFFFF"/>
          </w:rPr>
          <w:t>https://doi.org/10.25683/VOLBI.2024.69.1135</w:t>
        </w:r>
      </w:hyperlink>
    </w:p>
    <w:p w14:paraId="7AAE38E2" w14:textId="77777777" w:rsidR="003C52A0" w:rsidRPr="003C52A0" w:rsidRDefault="003C52A0" w:rsidP="003C52A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Koshulko, A. P. (2020). Geodynamics of Rural Settlement and Characteristics of the Agricultural Sector of the Orenburg Region. In </w:t>
      </w:r>
      <w:r w:rsidRPr="003C52A0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  <w:lang w:val="en-US"/>
        </w:rPr>
        <w:t>International Demographic Forum: Proceedings of the Meeting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 (pp. 909–914). Voronezh: Digital Printing. 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EDN SACCSF.</w:t>
      </w:r>
    </w:p>
    <w:p w14:paraId="08C92D04" w14:textId="77777777" w:rsidR="003C52A0" w:rsidRPr="003C52A0" w:rsidRDefault="003C52A0" w:rsidP="003C52A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Paptsov, A. G., &amp; Shelamova, N. A. (2019). Diversification of the Rural Economy: Significance, Benefits and Risks. </w:t>
      </w:r>
      <w:r w:rsidRPr="003C52A0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</w:rPr>
        <w:t>Economy of Agricultural and Processing Enterprises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 (8), 2–6. </w:t>
      </w:r>
      <w:hyperlink r:id="rId13" w:tgtFrame="_blank" w:history="1">
        <w:r w:rsidRPr="003C52A0">
          <w:rPr>
            <w:rStyle w:val="af0"/>
            <w:rFonts w:ascii="Times New Roman" w:hAnsi="Times New Roman" w:cs="Times New Roman"/>
            <w:bCs/>
            <w:iCs/>
            <w:sz w:val="24"/>
            <w:szCs w:val="24"/>
            <w:shd w:val="clear" w:color="auto" w:fill="FFFFFF"/>
          </w:rPr>
          <w:t>https://doi.org/10.31442/0235-2494-2019-0-8-2-6</w:t>
        </w:r>
      </w:hyperlink>
    </w:p>
    <w:p w14:paraId="28D0B01F" w14:textId="77777777" w:rsidR="003C52A0" w:rsidRPr="003C52A0" w:rsidRDefault="003C52A0" w:rsidP="003C52A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Paptsov, A. G., &amp; Medvedeva, N. A. (2019). Rural Development Programs and Their Financing in the European Union. </w:t>
      </w:r>
      <w:r w:rsidRPr="003C52A0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</w:rPr>
        <w:t>APK: Economics, Management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 (6), 79–90. </w:t>
      </w:r>
      <w:hyperlink r:id="rId14" w:tgtFrame="_blank" w:history="1">
        <w:r w:rsidRPr="003C52A0">
          <w:rPr>
            <w:rStyle w:val="af0"/>
            <w:rFonts w:ascii="Times New Roman" w:hAnsi="Times New Roman" w:cs="Times New Roman"/>
            <w:bCs/>
            <w:iCs/>
            <w:sz w:val="24"/>
            <w:szCs w:val="24"/>
            <w:shd w:val="clear" w:color="auto" w:fill="FFFFFF"/>
          </w:rPr>
          <w:t>https://doi.org/10.33305/196-79</w:t>
        </w:r>
      </w:hyperlink>
    </w:p>
    <w:p w14:paraId="69015B8B" w14:textId="77777777" w:rsidR="003C52A0" w:rsidRPr="003C52A0" w:rsidRDefault="003C52A0" w:rsidP="003C52A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</w:pP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>Podgorskaya, S. V., Miroshnichenko, T. A., &amp; Bakhmutova, G. A. (2021). </w:t>
      </w:r>
      <w:r w:rsidRPr="003C52A0">
        <w:rPr>
          <w:rFonts w:ascii="Times New Roman" w:hAnsi="Times New Roman" w:cs="Times New Roman"/>
          <w:bCs/>
          <w:i/>
          <w:iCs/>
          <w:sz w:val="24"/>
          <w:szCs w:val="24"/>
          <w:shd w:val="clear" w:color="auto" w:fill="FFFFFF"/>
          <w:lang w:val="en-US"/>
        </w:rPr>
        <w:t>Methodological Provisions for Justifying the Directions of Rural Development in Agricultural Areas Based on the Diversification of the Rural Economy in the Context of Civilizational Transformations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  <w:lang w:val="en-US"/>
        </w:rPr>
        <w:t xml:space="preserve">. </w:t>
      </w:r>
      <w:r w:rsidRPr="003C52A0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Rassvet: AzovPrint. </w:t>
      </w:r>
      <w:hyperlink r:id="rId15" w:tgtFrame="_blank" w:history="1">
        <w:r w:rsidRPr="003C52A0">
          <w:rPr>
            <w:rStyle w:val="af0"/>
            <w:rFonts w:ascii="Times New Roman" w:hAnsi="Times New Roman" w:cs="Times New Roman"/>
            <w:bCs/>
            <w:iCs/>
            <w:sz w:val="24"/>
            <w:szCs w:val="24"/>
            <w:shd w:val="clear" w:color="auto" w:fill="FFFFFF"/>
          </w:rPr>
          <w:t>https://doi.org/10.34924/FRARC.2021.31.95.001</w:t>
        </w:r>
      </w:hyperlink>
    </w:p>
    <w:p w14:paraId="7421CBDE" w14:textId="77777777" w:rsidR="00021CDA" w:rsidRDefault="00021CDA" w:rsidP="003C52A0">
      <w:pPr>
        <w:spacing w:after="0" w:line="240" w:lineRule="auto"/>
        <w:ind w:firstLine="709"/>
        <w:jc w:val="both"/>
      </w:pPr>
    </w:p>
    <w:sectPr w:rsidR="00021CD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7A276" w14:textId="77777777" w:rsidR="00007243" w:rsidRDefault="00007243">
      <w:pPr>
        <w:spacing w:after="0" w:line="240" w:lineRule="auto"/>
      </w:pPr>
      <w:r>
        <w:separator/>
      </w:r>
    </w:p>
  </w:endnote>
  <w:endnote w:type="continuationSeparator" w:id="0">
    <w:p w14:paraId="6C91E07D" w14:textId="77777777" w:rsidR="00007243" w:rsidRDefault="00007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294CF" w14:textId="77777777" w:rsidR="00007243" w:rsidRDefault="00007243">
      <w:pPr>
        <w:spacing w:after="0" w:line="240" w:lineRule="auto"/>
      </w:pPr>
      <w:r>
        <w:separator/>
      </w:r>
    </w:p>
  </w:footnote>
  <w:footnote w:type="continuationSeparator" w:id="0">
    <w:p w14:paraId="567997D3" w14:textId="77777777" w:rsidR="00007243" w:rsidRDefault="000072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CB74FA"/>
    <w:multiLevelType w:val="hybridMultilevel"/>
    <w:tmpl w:val="FE76BFA0"/>
    <w:lvl w:ilvl="0" w:tplc="0C348F12">
      <w:start w:val="1"/>
      <w:numFmt w:val="decimal"/>
      <w:lvlText w:val="%1."/>
      <w:lvlJc w:val="left"/>
      <w:pPr>
        <w:ind w:left="1418" w:hanging="360"/>
      </w:pPr>
    </w:lvl>
    <w:lvl w:ilvl="1" w:tplc="246EEA26">
      <w:start w:val="1"/>
      <w:numFmt w:val="lowerLetter"/>
      <w:lvlText w:val="%2."/>
      <w:lvlJc w:val="left"/>
      <w:pPr>
        <w:ind w:left="2138" w:hanging="360"/>
      </w:pPr>
    </w:lvl>
    <w:lvl w:ilvl="2" w:tplc="32FE9488">
      <w:start w:val="1"/>
      <w:numFmt w:val="lowerRoman"/>
      <w:lvlText w:val="%3."/>
      <w:lvlJc w:val="right"/>
      <w:pPr>
        <w:ind w:left="2858" w:hanging="180"/>
      </w:pPr>
    </w:lvl>
    <w:lvl w:ilvl="3" w:tplc="B0EE3322">
      <w:start w:val="1"/>
      <w:numFmt w:val="decimal"/>
      <w:lvlText w:val="%4."/>
      <w:lvlJc w:val="left"/>
      <w:pPr>
        <w:ind w:left="3578" w:hanging="360"/>
      </w:pPr>
    </w:lvl>
    <w:lvl w:ilvl="4" w:tplc="FADC575C">
      <w:start w:val="1"/>
      <w:numFmt w:val="lowerLetter"/>
      <w:lvlText w:val="%5."/>
      <w:lvlJc w:val="left"/>
      <w:pPr>
        <w:ind w:left="4298" w:hanging="360"/>
      </w:pPr>
    </w:lvl>
    <w:lvl w:ilvl="5" w:tplc="BDA01FF2">
      <w:start w:val="1"/>
      <w:numFmt w:val="lowerRoman"/>
      <w:lvlText w:val="%6."/>
      <w:lvlJc w:val="right"/>
      <w:pPr>
        <w:ind w:left="5018" w:hanging="180"/>
      </w:pPr>
    </w:lvl>
    <w:lvl w:ilvl="6" w:tplc="ECF61852">
      <w:start w:val="1"/>
      <w:numFmt w:val="decimal"/>
      <w:lvlText w:val="%7."/>
      <w:lvlJc w:val="left"/>
      <w:pPr>
        <w:ind w:left="5738" w:hanging="360"/>
      </w:pPr>
    </w:lvl>
    <w:lvl w:ilvl="7" w:tplc="748CB252">
      <w:start w:val="1"/>
      <w:numFmt w:val="lowerLetter"/>
      <w:lvlText w:val="%8."/>
      <w:lvlJc w:val="left"/>
      <w:pPr>
        <w:ind w:left="6458" w:hanging="360"/>
      </w:pPr>
    </w:lvl>
    <w:lvl w:ilvl="8" w:tplc="6DC81994">
      <w:start w:val="1"/>
      <w:numFmt w:val="lowerRoman"/>
      <w:lvlText w:val="%9."/>
      <w:lvlJc w:val="right"/>
      <w:pPr>
        <w:ind w:left="7178" w:hanging="180"/>
      </w:pPr>
    </w:lvl>
  </w:abstractNum>
  <w:abstractNum w:abstractNumId="1" w15:restartNumberingAfterBreak="0">
    <w:nsid w:val="557A6657"/>
    <w:multiLevelType w:val="multilevel"/>
    <w:tmpl w:val="D180BE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E50636"/>
    <w:multiLevelType w:val="hybridMultilevel"/>
    <w:tmpl w:val="C87A9DD6"/>
    <w:lvl w:ilvl="0" w:tplc="B9B2679A">
      <w:start w:val="1"/>
      <w:numFmt w:val="decimal"/>
      <w:lvlText w:val="%1."/>
      <w:lvlJc w:val="left"/>
      <w:pPr>
        <w:ind w:left="709" w:hanging="360"/>
      </w:pPr>
    </w:lvl>
    <w:lvl w:ilvl="1" w:tplc="00841872">
      <w:start w:val="1"/>
      <w:numFmt w:val="lowerLetter"/>
      <w:lvlText w:val="%2."/>
      <w:lvlJc w:val="left"/>
      <w:pPr>
        <w:ind w:left="1429" w:hanging="360"/>
      </w:pPr>
    </w:lvl>
    <w:lvl w:ilvl="2" w:tplc="228A6E64">
      <w:start w:val="1"/>
      <w:numFmt w:val="lowerRoman"/>
      <w:lvlText w:val="%3."/>
      <w:lvlJc w:val="right"/>
      <w:pPr>
        <w:ind w:left="2149" w:hanging="180"/>
      </w:pPr>
    </w:lvl>
    <w:lvl w:ilvl="3" w:tplc="6E1C869C">
      <w:start w:val="1"/>
      <w:numFmt w:val="decimal"/>
      <w:lvlText w:val="%4."/>
      <w:lvlJc w:val="left"/>
      <w:pPr>
        <w:ind w:left="2869" w:hanging="360"/>
      </w:pPr>
    </w:lvl>
    <w:lvl w:ilvl="4" w:tplc="B71E8486">
      <w:start w:val="1"/>
      <w:numFmt w:val="lowerLetter"/>
      <w:lvlText w:val="%5."/>
      <w:lvlJc w:val="left"/>
      <w:pPr>
        <w:ind w:left="3589" w:hanging="360"/>
      </w:pPr>
    </w:lvl>
    <w:lvl w:ilvl="5" w:tplc="6882D9AA">
      <w:start w:val="1"/>
      <w:numFmt w:val="lowerRoman"/>
      <w:lvlText w:val="%6."/>
      <w:lvlJc w:val="right"/>
      <w:pPr>
        <w:ind w:left="4309" w:hanging="180"/>
      </w:pPr>
    </w:lvl>
    <w:lvl w:ilvl="6" w:tplc="DD70A772">
      <w:start w:val="1"/>
      <w:numFmt w:val="decimal"/>
      <w:lvlText w:val="%7."/>
      <w:lvlJc w:val="left"/>
      <w:pPr>
        <w:ind w:left="5029" w:hanging="360"/>
      </w:pPr>
    </w:lvl>
    <w:lvl w:ilvl="7" w:tplc="4CEC82E4">
      <w:start w:val="1"/>
      <w:numFmt w:val="lowerLetter"/>
      <w:lvlText w:val="%8."/>
      <w:lvlJc w:val="left"/>
      <w:pPr>
        <w:ind w:left="5749" w:hanging="360"/>
      </w:pPr>
    </w:lvl>
    <w:lvl w:ilvl="8" w:tplc="F9C45AB8">
      <w:start w:val="1"/>
      <w:numFmt w:val="lowerRoman"/>
      <w:lvlText w:val="%9."/>
      <w:lvlJc w:val="right"/>
      <w:pPr>
        <w:ind w:left="6469" w:hanging="180"/>
      </w:pPr>
    </w:lvl>
  </w:abstractNum>
  <w:abstractNum w:abstractNumId="3" w15:restartNumberingAfterBreak="0">
    <w:nsid w:val="7333442B"/>
    <w:multiLevelType w:val="hybridMultilevel"/>
    <w:tmpl w:val="C128B424"/>
    <w:lvl w:ilvl="0" w:tplc="6FBA9914">
      <w:start w:val="1"/>
      <w:numFmt w:val="decimal"/>
      <w:lvlText w:val="%1."/>
      <w:lvlJc w:val="left"/>
      <w:pPr>
        <w:ind w:left="1417" w:hanging="360"/>
      </w:pPr>
    </w:lvl>
    <w:lvl w:ilvl="1" w:tplc="43FC9C36">
      <w:start w:val="1"/>
      <w:numFmt w:val="lowerLetter"/>
      <w:lvlText w:val="%2."/>
      <w:lvlJc w:val="left"/>
      <w:pPr>
        <w:ind w:left="2137" w:hanging="360"/>
      </w:pPr>
    </w:lvl>
    <w:lvl w:ilvl="2" w:tplc="3A7619DA">
      <w:start w:val="1"/>
      <w:numFmt w:val="lowerRoman"/>
      <w:lvlText w:val="%3."/>
      <w:lvlJc w:val="right"/>
      <w:pPr>
        <w:ind w:left="2857" w:hanging="180"/>
      </w:pPr>
    </w:lvl>
    <w:lvl w:ilvl="3" w:tplc="3036ECF6">
      <w:start w:val="1"/>
      <w:numFmt w:val="decimal"/>
      <w:lvlText w:val="%4."/>
      <w:lvlJc w:val="left"/>
      <w:pPr>
        <w:ind w:left="3577" w:hanging="360"/>
      </w:pPr>
    </w:lvl>
    <w:lvl w:ilvl="4" w:tplc="5578695C">
      <w:start w:val="1"/>
      <w:numFmt w:val="lowerLetter"/>
      <w:lvlText w:val="%5."/>
      <w:lvlJc w:val="left"/>
      <w:pPr>
        <w:ind w:left="4297" w:hanging="360"/>
      </w:pPr>
    </w:lvl>
    <w:lvl w:ilvl="5" w:tplc="7C1E2E6A">
      <w:start w:val="1"/>
      <w:numFmt w:val="lowerRoman"/>
      <w:lvlText w:val="%6."/>
      <w:lvlJc w:val="right"/>
      <w:pPr>
        <w:ind w:left="5017" w:hanging="180"/>
      </w:pPr>
    </w:lvl>
    <w:lvl w:ilvl="6" w:tplc="282225D2">
      <w:start w:val="1"/>
      <w:numFmt w:val="decimal"/>
      <w:lvlText w:val="%7."/>
      <w:lvlJc w:val="left"/>
      <w:pPr>
        <w:ind w:left="5737" w:hanging="360"/>
      </w:pPr>
    </w:lvl>
    <w:lvl w:ilvl="7" w:tplc="344471AE">
      <w:start w:val="1"/>
      <w:numFmt w:val="lowerLetter"/>
      <w:lvlText w:val="%8."/>
      <w:lvlJc w:val="left"/>
      <w:pPr>
        <w:ind w:left="6457" w:hanging="360"/>
      </w:pPr>
    </w:lvl>
    <w:lvl w:ilvl="8" w:tplc="B67EA100">
      <w:start w:val="1"/>
      <w:numFmt w:val="lowerRoman"/>
      <w:lvlText w:val="%9."/>
      <w:lvlJc w:val="right"/>
      <w:pPr>
        <w:ind w:left="7177" w:hanging="180"/>
      </w:pPr>
    </w:lvl>
  </w:abstractNum>
  <w:abstractNum w:abstractNumId="4" w15:restartNumberingAfterBreak="0">
    <w:nsid w:val="74D4280A"/>
    <w:multiLevelType w:val="hybridMultilevel"/>
    <w:tmpl w:val="9B14C6AA"/>
    <w:lvl w:ilvl="0" w:tplc="6840DB32">
      <w:start w:val="1"/>
      <w:numFmt w:val="decimal"/>
      <w:lvlText w:val="%1."/>
      <w:lvlJc w:val="left"/>
      <w:pPr>
        <w:ind w:left="10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7" w:hanging="360"/>
      </w:pPr>
    </w:lvl>
    <w:lvl w:ilvl="2" w:tplc="0419001B" w:tentative="1">
      <w:start w:val="1"/>
      <w:numFmt w:val="lowerRoman"/>
      <w:lvlText w:val="%3."/>
      <w:lvlJc w:val="right"/>
      <w:pPr>
        <w:ind w:left="2507" w:hanging="180"/>
      </w:pPr>
    </w:lvl>
    <w:lvl w:ilvl="3" w:tplc="0419000F" w:tentative="1">
      <w:start w:val="1"/>
      <w:numFmt w:val="decimal"/>
      <w:lvlText w:val="%4."/>
      <w:lvlJc w:val="left"/>
      <w:pPr>
        <w:ind w:left="3227" w:hanging="360"/>
      </w:pPr>
    </w:lvl>
    <w:lvl w:ilvl="4" w:tplc="04190019" w:tentative="1">
      <w:start w:val="1"/>
      <w:numFmt w:val="lowerLetter"/>
      <w:lvlText w:val="%5."/>
      <w:lvlJc w:val="left"/>
      <w:pPr>
        <w:ind w:left="3947" w:hanging="360"/>
      </w:pPr>
    </w:lvl>
    <w:lvl w:ilvl="5" w:tplc="0419001B" w:tentative="1">
      <w:start w:val="1"/>
      <w:numFmt w:val="lowerRoman"/>
      <w:lvlText w:val="%6."/>
      <w:lvlJc w:val="right"/>
      <w:pPr>
        <w:ind w:left="4667" w:hanging="180"/>
      </w:pPr>
    </w:lvl>
    <w:lvl w:ilvl="6" w:tplc="0419000F" w:tentative="1">
      <w:start w:val="1"/>
      <w:numFmt w:val="decimal"/>
      <w:lvlText w:val="%7."/>
      <w:lvlJc w:val="left"/>
      <w:pPr>
        <w:ind w:left="5387" w:hanging="360"/>
      </w:pPr>
    </w:lvl>
    <w:lvl w:ilvl="7" w:tplc="04190019" w:tentative="1">
      <w:start w:val="1"/>
      <w:numFmt w:val="lowerLetter"/>
      <w:lvlText w:val="%8."/>
      <w:lvlJc w:val="left"/>
      <w:pPr>
        <w:ind w:left="6107" w:hanging="360"/>
      </w:pPr>
    </w:lvl>
    <w:lvl w:ilvl="8" w:tplc="041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5" w15:restartNumberingAfterBreak="0">
    <w:nsid w:val="788F6959"/>
    <w:multiLevelType w:val="hybridMultilevel"/>
    <w:tmpl w:val="9634F858"/>
    <w:lvl w:ilvl="0" w:tplc="0C02EB1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41088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F1E8F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2E68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2883A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6EEEC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FC88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C564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CC94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6306590">
    <w:abstractNumId w:val="5"/>
  </w:num>
  <w:num w:numId="2" w16cid:durableId="1696150192">
    <w:abstractNumId w:val="0"/>
  </w:num>
  <w:num w:numId="3" w16cid:durableId="2110350783">
    <w:abstractNumId w:val="2"/>
  </w:num>
  <w:num w:numId="4" w16cid:durableId="1138916909">
    <w:abstractNumId w:val="3"/>
  </w:num>
  <w:num w:numId="5" w16cid:durableId="1044718598">
    <w:abstractNumId w:val="4"/>
  </w:num>
  <w:num w:numId="6" w16cid:durableId="4583017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CDA"/>
    <w:rsid w:val="00007243"/>
    <w:rsid w:val="00021CDA"/>
    <w:rsid w:val="000732B3"/>
    <w:rsid w:val="000738DD"/>
    <w:rsid w:val="000F33A7"/>
    <w:rsid w:val="00136AE7"/>
    <w:rsid w:val="00140487"/>
    <w:rsid w:val="001D51FA"/>
    <w:rsid w:val="001D5DCB"/>
    <w:rsid w:val="00217495"/>
    <w:rsid w:val="002F4587"/>
    <w:rsid w:val="003C52A0"/>
    <w:rsid w:val="003F1427"/>
    <w:rsid w:val="004472DF"/>
    <w:rsid w:val="00513DD4"/>
    <w:rsid w:val="00526489"/>
    <w:rsid w:val="0058249C"/>
    <w:rsid w:val="00601C7A"/>
    <w:rsid w:val="00757A8D"/>
    <w:rsid w:val="007620BD"/>
    <w:rsid w:val="007E45AD"/>
    <w:rsid w:val="00A012AE"/>
    <w:rsid w:val="00AA5013"/>
    <w:rsid w:val="00AB014C"/>
    <w:rsid w:val="00AB7B33"/>
    <w:rsid w:val="00B51D13"/>
    <w:rsid w:val="00B55810"/>
    <w:rsid w:val="00B66DB5"/>
    <w:rsid w:val="00B722FA"/>
    <w:rsid w:val="00BB5E21"/>
    <w:rsid w:val="00BE2150"/>
    <w:rsid w:val="00C311F7"/>
    <w:rsid w:val="00C411BB"/>
    <w:rsid w:val="00CD44C5"/>
    <w:rsid w:val="00D12D2D"/>
    <w:rsid w:val="00DA402F"/>
    <w:rsid w:val="00F216F7"/>
    <w:rsid w:val="00F81217"/>
    <w:rsid w:val="00FC6B99"/>
    <w:rsid w:val="00FD0E88"/>
    <w:rsid w:val="00FE6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4EEFB"/>
  <w15:docId w15:val="{F409BC7F-139E-4A4F-B1B8-9B899ED74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pPr>
      <w:spacing w:before="200" w:after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ampLined-Accent">
    <w:name w:val="Bordered &amp;amp;Lined - Accent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ampLined-Accent1">
    <w:name w:val="Bordered &amp;amp;Lined - Accent 1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ampLined-Accent2">
    <w:name w:val="Bordered &amp;amp;Lined - Accent 2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ampLined-Accent3">
    <w:name w:val="Bordered &amp;amp;Lined - Accent 3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ampLined-Accent4">
    <w:name w:val="Bordered &amp;amp;Lined - Accent 4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ampLined-Accent5">
    <w:name w:val="Bordered &amp;amp;Lined - Accent 5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ampLined-Accent6">
    <w:name w:val="Bordered &amp;amp;Lined - Accent 6"/>
    <w:basedOn w:val="a1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0">
    <w:name w:val="Hyperlink"/>
    <w:uiPriority w:val="99"/>
    <w:unhideWhenUsed/>
    <w:rPr>
      <w:color w:val="0563C1" w:themeColor="hyperlink"/>
      <w:u w:val="single"/>
    </w:rPr>
  </w:style>
  <w:style w:type="character" w:customStyle="1" w:styleId="FootnoteTextChar">
    <w:name w:val="Footnote Text Char"/>
    <w:uiPriority w:val="99"/>
    <w:rPr>
      <w:sz w:val="18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customStyle="1" w:styleId="af6">
    <w:name w:val="Таблица ГОСТ"/>
    <w:basedOn w:val="a"/>
    <w:link w:val="af7"/>
    <w:qFormat/>
    <w:pPr>
      <w:keepNext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7">
    <w:name w:val="Таблица ГОСТ Знак"/>
    <w:basedOn w:val="a0"/>
    <w:link w:val="af6"/>
    <w:rPr>
      <w:rFonts w:ascii="Times New Roman" w:eastAsia="Times New Roman" w:hAnsi="Times New Roman" w:cs="Times New Roman"/>
      <w:sz w:val="24"/>
      <w:szCs w:val="24"/>
    </w:rPr>
  </w:style>
  <w:style w:type="paragraph" w:customStyle="1" w:styleId="af8">
    <w:name w:val="Рисунки в статье"/>
    <w:basedOn w:val="a"/>
    <w:link w:val="af9"/>
    <w:qFormat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character" w:customStyle="1" w:styleId="af9">
    <w:name w:val="Рисунки в статье Знак"/>
    <w:basedOn w:val="a0"/>
    <w:link w:val="af8"/>
    <w:rPr>
      <w:rFonts w:ascii="Times New Roman" w:hAnsi="Times New Roman" w:cs="Times New Roman"/>
      <w:sz w:val="28"/>
      <w:szCs w:val="28"/>
    </w:rPr>
  </w:style>
  <w:style w:type="table" w:styleId="afa">
    <w:name w:val="Table Grid"/>
    <w:basedOn w:val="a1"/>
    <w:uiPriority w:val="59"/>
    <w:qFormat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b">
    <w:name w:val="footnote text"/>
    <w:basedOn w:val="a"/>
    <w:link w:val="afc"/>
    <w:uiPriority w:val="99"/>
    <w:unhideWhenUsed/>
    <w:qFormat/>
    <w:pPr>
      <w:spacing w:after="0" w:line="240" w:lineRule="auto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fc">
    <w:name w:val="Текст сноски Знак"/>
    <w:basedOn w:val="a0"/>
    <w:link w:val="afb"/>
    <w:uiPriority w:val="99"/>
    <w:rPr>
      <w:rFonts w:ascii="Times New Roman" w:hAnsi="Times New Roman" w:cs="Times New Roman"/>
      <w:sz w:val="20"/>
      <w:szCs w:val="20"/>
    </w:rPr>
  </w:style>
  <w:style w:type="character" w:styleId="afd">
    <w:name w:val="footnote reference"/>
    <w:basedOn w:val="a0"/>
    <w:uiPriority w:val="99"/>
    <w:unhideWhenUsed/>
    <w:qFormat/>
    <w:rPr>
      <w:vertAlign w:val="superscript"/>
    </w:rPr>
  </w:style>
  <w:style w:type="paragraph" w:styleId="afe">
    <w:name w:val="Body Text"/>
    <w:aliases w:val="Основной текст1,Òàáë òåêñò"/>
    <w:basedOn w:val="a"/>
    <w:link w:val="aff"/>
    <w:qFormat/>
    <w:rsid w:val="00FC6B99"/>
    <w:pPr>
      <w:widowControl w:val="0"/>
      <w:autoSpaceDE w:val="0"/>
      <w:autoSpaceDN w:val="0"/>
      <w:spacing w:after="0" w:line="240" w:lineRule="auto"/>
      <w:ind w:left="143" w:firstLine="707"/>
      <w:jc w:val="both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ff">
    <w:name w:val="Основной текст Знак"/>
    <w:aliases w:val="Основной текст1 Знак,Òàáë òåêñò Знак"/>
    <w:basedOn w:val="a0"/>
    <w:link w:val="afe"/>
    <w:rsid w:val="00FC6B99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ff0">
    <w:name w:val="Unresolved Mention"/>
    <w:basedOn w:val="a0"/>
    <w:uiPriority w:val="99"/>
    <w:semiHidden/>
    <w:unhideWhenUsed/>
    <w:rsid w:val="00FC6B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doi.org/10.31442/0235-2494-2019-0-8-2-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25683/VOLBI.2024.69.1135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pguseva@mail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i.org/10.34924/FRARC.2021.31.95.001" TargetMode="External"/><Relationship Id="rId10" Type="http://schemas.openxmlformats.org/officeDocument/2006/relationships/hyperlink" Target="mailto:epguseva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ciact.uiec.ru/research/136" TargetMode="External"/><Relationship Id="rId14" Type="http://schemas.openxmlformats.org/officeDocument/2006/relationships/hyperlink" Target="https://doi.org/10.33305/196-79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4.817623415213771E-2"/>
          <c:y val="4.7254464659091951E-2"/>
          <c:w val="0.90380504885979085"/>
          <c:h val="0.8155837272549597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Лист1!$B$7</c:f>
              <c:strCache>
                <c:ptCount val="1"/>
                <c:pt idx="0">
                  <c:v>Количество родившихся, человек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/>
            </a:sp3d>
          </c:spPr>
          <c:invertIfNegative val="0"/>
          <c:dLbls>
            <c:dLbl>
              <c:idx val="0"/>
              <c:layout>
                <c:manualLayout>
                  <c:x val="-2.0938023450586363E-3"/>
                  <c:y val="0.1292812683227385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564-495F-A593-B0D3277DE6C1}"/>
                </c:ext>
              </c:extLst>
            </c:dLbl>
            <c:dLbl>
              <c:idx val="1"/>
              <c:layout>
                <c:manualLayout>
                  <c:x val="2.0938023450586263E-3"/>
                  <c:y val="0.1314761874790892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564-495F-A593-B0D3277DE6C1}"/>
                </c:ext>
              </c:extLst>
            </c:dLbl>
            <c:dLbl>
              <c:idx val="2"/>
              <c:layout>
                <c:manualLayout>
                  <c:x val="-2.0938023450586263E-3"/>
                  <c:y val="0.13228114575707486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564-495F-A593-B0D3277DE6C1}"/>
                </c:ext>
              </c:extLst>
            </c:dLbl>
            <c:dLbl>
              <c:idx val="3"/>
              <c:layout>
                <c:manualLayout>
                  <c:x val="-7.6771865777004977E-17"/>
                  <c:y val="0.1344760649134255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564-495F-A593-B0D3277DE6C1}"/>
                </c:ext>
              </c:extLst>
            </c:dLbl>
            <c:dLbl>
              <c:idx val="4"/>
              <c:layout>
                <c:manualLayout>
                  <c:x val="-1.5354373155400995E-16"/>
                  <c:y val="0.1352806919328604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7564-495F-A593-B0D3277DE6C1}"/>
                </c:ext>
              </c:extLst>
            </c:dLbl>
            <c:dLbl>
              <c:idx val="5"/>
              <c:layout>
                <c:manualLayout>
                  <c:x val="0"/>
                  <c:y val="0.1356831710718532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564-495F-A593-B0D3277DE6C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Лист1!$C$7:$H$7</c:f>
              <c:numCache>
                <c:formatCode>General</c:formatCode>
                <c:ptCount val="6"/>
                <c:pt idx="0">
                  <c:v>8139</c:v>
                </c:pt>
                <c:pt idx="1">
                  <c:v>7561</c:v>
                </c:pt>
                <c:pt idx="2">
                  <c:v>7342</c:v>
                </c:pt>
                <c:pt idx="3">
                  <c:v>6481</c:v>
                </c:pt>
                <c:pt idx="4">
                  <c:v>6100</c:v>
                </c:pt>
                <c:pt idx="5">
                  <c:v>5900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564-495F-A593-B0D3277DE6C1}"/>
            </c:ext>
          </c:extLst>
        </c:ser>
        <c:ser>
          <c:idx val="1"/>
          <c:order val="1"/>
          <c:tx>
            <c:strRef>
              <c:f>Лист1!$B$8</c:f>
              <c:strCache>
                <c:ptCount val="1"/>
                <c:pt idx="0">
                  <c:v>Количество умерших, человек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solidFill>
                <a:schemeClr val="accent4">
                  <a:lumMod val="40000"/>
                  <a:lumOff val="60000"/>
                </a:schemeClr>
              </a:solidFill>
            </a:ln>
            <a:effectLst/>
            <a:scene3d>
              <a:camera prst="orthographicFront"/>
              <a:lightRig rig="threePt" dir="t"/>
            </a:scene3d>
            <a:sp3d>
              <a:bevelT/>
            </a:sp3d>
          </c:spPr>
          <c:invertIfNegative val="0"/>
          <c:dLbls>
            <c:dLbl>
              <c:idx val="0"/>
              <c:layout>
                <c:manualLayout>
                  <c:x val="-2.0938023450586263E-3"/>
                  <c:y val="0.1611443657889418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564-495F-A593-B0D3277DE6C1}"/>
                </c:ext>
              </c:extLst>
            </c:dLbl>
            <c:dLbl>
              <c:idx val="1"/>
              <c:layout>
                <c:manualLayout>
                  <c:x val="-3.8385932888502488E-17"/>
                  <c:y val="0.1557302760377502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7564-495F-A593-B0D3277DE6C1}"/>
                </c:ext>
              </c:extLst>
            </c:dLbl>
            <c:dLbl>
              <c:idx val="2"/>
              <c:layout>
                <c:manualLayout>
                  <c:x val="-7.6771865777004977E-17"/>
                  <c:y val="0.1627536198278118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7564-495F-A593-B0D3277DE6C1}"/>
                </c:ext>
              </c:extLst>
            </c:dLbl>
            <c:dLbl>
              <c:idx val="3"/>
              <c:layout>
                <c:manualLayout>
                  <c:x val="7.6771865777004977E-17"/>
                  <c:y val="0.1797649227932703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7564-495F-A593-B0D3277DE6C1}"/>
                </c:ext>
              </c:extLst>
            </c:dLbl>
            <c:dLbl>
              <c:idx val="4"/>
              <c:layout>
                <c:manualLayout>
                  <c:x val="-1.5354373155400995E-16"/>
                  <c:y val="0.1515232924449861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7564-495F-A593-B0D3277DE6C1}"/>
                </c:ext>
              </c:extLst>
            </c:dLbl>
            <c:dLbl>
              <c:idx val="5"/>
              <c:layout>
                <c:manualLayout>
                  <c:x val="-1.5354373155400995E-16"/>
                  <c:y val="0.1541206907403297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7564-495F-A593-B0D3277DE6C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Лист1!$C$8:$H$8</c:f>
              <c:numCache>
                <c:formatCode>General</c:formatCode>
                <c:ptCount val="6"/>
                <c:pt idx="0">
                  <c:v>10633</c:v>
                </c:pt>
                <c:pt idx="1">
                  <c:v>12952</c:v>
                </c:pt>
                <c:pt idx="2">
                  <c:v>14741</c:v>
                </c:pt>
                <c:pt idx="3">
                  <c:v>10711</c:v>
                </c:pt>
                <c:pt idx="4">
                  <c:v>12800</c:v>
                </c:pt>
                <c:pt idx="5">
                  <c:v>13500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7564-495F-A593-B0D3277DE6C1}"/>
            </c:ext>
          </c:extLst>
        </c:ser>
        <c:ser>
          <c:idx val="2"/>
          <c:order val="2"/>
          <c:tx>
            <c:strRef>
              <c:f>Лист1!$B$9</c:f>
              <c:strCache>
                <c:ptCount val="1"/>
                <c:pt idx="0">
                  <c:v>Естественный прирост, убыль (-), человек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/>
            </a:sp3d>
          </c:spPr>
          <c:invertIfNegative val="0"/>
          <c:dLbls>
            <c:dLbl>
              <c:idx val="0"/>
              <c:layout>
                <c:manualLayout>
                  <c:x val="-3.742690334222247E-3"/>
                  <c:y val="-2.591040551467949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7564-495F-A593-B0D3277DE6C1}"/>
                </c:ext>
              </c:extLst>
            </c:dLbl>
            <c:dLbl>
              <c:idx val="1"/>
              <c:layout>
                <c:manualLayout>
                  <c:x val="-6.8615196812132453E-17"/>
                  <c:y val="5.745304757990531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7564-495F-A593-B0D3277DE6C1}"/>
                </c:ext>
              </c:extLst>
            </c:dLbl>
            <c:dLbl>
              <c:idx val="2"/>
              <c:layout>
                <c:manualLayout>
                  <c:x val="-5.6140355013333705E-3"/>
                  <c:y val="8.016832341234118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7564-495F-A593-B0D3277DE6C1}"/>
                </c:ext>
              </c:extLst>
            </c:dLbl>
            <c:dLbl>
              <c:idx val="3"/>
              <c:layout>
                <c:manualLayout>
                  <c:x val="-1.8713451671111235E-3"/>
                  <c:y val="9.314364130021662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7564-495F-A593-B0D3277DE6C1}"/>
                </c:ext>
              </c:extLst>
            </c:dLbl>
            <c:dLbl>
              <c:idx val="4"/>
              <c:layout>
                <c:manualLayout>
                  <c:x val="-3.742690334222247E-3"/>
                  <c:y val="-6.11140013377610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7564-495F-A593-B0D3277DE6C1}"/>
                </c:ext>
              </c:extLst>
            </c:dLbl>
            <c:dLbl>
              <c:idx val="5"/>
              <c:layout>
                <c:manualLayout>
                  <c:x val="3.742690334222247E-3"/>
                  <c:y val="-2.796214882952074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7564-495F-A593-B0D3277DE6C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Лист1!$C$9:$H$9</c:f>
              <c:numCache>
                <c:formatCode>General</c:formatCode>
                <c:ptCount val="6"/>
                <c:pt idx="0">
                  <c:v>-2494</c:v>
                </c:pt>
                <c:pt idx="1">
                  <c:v>-5391</c:v>
                </c:pt>
                <c:pt idx="2">
                  <c:v>-7399</c:v>
                </c:pt>
                <c:pt idx="3">
                  <c:v>-4230</c:v>
                </c:pt>
                <c:pt idx="4">
                  <c:v>-6700</c:v>
                </c:pt>
                <c:pt idx="5">
                  <c:v>-7600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4-7564-495F-A593-B0D3277DE6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61193008"/>
        <c:axId val="1661193488"/>
      </c:barChart>
      <c:lineChart>
        <c:grouping val="standard"/>
        <c:varyColors val="0"/>
        <c:ser>
          <c:idx val="3"/>
          <c:order val="3"/>
          <c:tx>
            <c:strRef>
              <c:f>Лист1!$B$5</c:f>
              <c:strCache>
                <c:ptCount val="1"/>
                <c:pt idx="0">
                  <c:v>Численность сельского населения, человек</c:v>
                </c:pt>
              </c:strCache>
            </c:strRef>
          </c:tx>
          <c:spPr>
            <a:ln w="28575" cap="sq">
              <a:solidFill>
                <a:schemeClr val="accent4"/>
              </a:solidFill>
              <a:miter lim="800000"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6.0419716693704745E-2"/>
                  <c:y val="4.87858699616915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7564-495F-A593-B0D3277DE6C1}"/>
                </c:ext>
              </c:extLst>
            </c:dLbl>
            <c:dLbl>
              <c:idx val="1"/>
              <c:layout>
                <c:manualLayout>
                  <c:x val="-7.4853806684444968E-2"/>
                  <c:y val="3.495797949230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6-7564-495F-A593-B0D3277DE6C1}"/>
                </c:ext>
              </c:extLst>
            </c:dLbl>
            <c:dLbl>
              <c:idx val="2"/>
              <c:layout>
                <c:manualLayout>
                  <c:x val="-6.9239771183111573E-2"/>
                  <c:y val="4.302520552899299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7564-495F-A593-B0D3277DE6C1}"/>
                </c:ext>
              </c:extLst>
            </c:dLbl>
            <c:dLbl>
              <c:idx val="3"/>
              <c:layout>
                <c:manualLayout>
                  <c:x val="-5.6140355013333774E-2"/>
                  <c:y val="3.764705483786887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8-7564-495F-A593-B0D3277DE6C1}"/>
                </c:ext>
              </c:extLst>
            </c:dLbl>
            <c:dLbl>
              <c:idx val="4"/>
              <c:layout>
                <c:manualLayout>
                  <c:x val="-6.7368426016000446E-2"/>
                  <c:y val="3.76470548378688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9-7564-495F-A593-B0D3277DE6C1}"/>
                </c:ext>
              </c:extLst>
            </c:dLbl>
            <c:dLbl>
              <c:idx val="5"/>
              <c:layout>
                <c:manualLayout>
                  <c:x val="-4.8079307297643072E-2"/>
                  <c:y val="4.606117020395587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A-7564-495F-A593-B0D3277DE6C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Лист1!$C$5:$H$5</c:f>
              <c:numCache>
                <c:formatCode>General</c:formatCode>
                <c:ptCount val="6"/>
                <c:pt idx="0">
                  <c:v>770266</c:v>
                </c:pt>
                <c:pt idx="1">
                  <c:v>760806</c:v>
                </c:pt>
                <c:pt idx="2">
                  <c:v>749164</c:v>
                </c:pt>
                <c:pt idx="3">
                  <c:v>739152</c:v>
                </c:pt>
                <c:pt idx="4">
                  <c:v>731938</c:v>
                </c:pt>
                <c:pt idx="5">
                  <c:v>725198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B-7564-495F-A593-B0D3277DE6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61148368"/>
        <c:axId val="1661160368"/>
      </c:lineChart>
      <c:catAx>
        <c:axId val="1661193008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1661193488"/>
        <c:crosses val="autoZero"/>
        <c:auto val="1"/>
        <c:lblAlgn val="ctr"/>
        <c:lblOffset val="100"/>
        <c:noMultiLvlLbl val="0"/>
      </c:catAx>
      <c:valAx>
        <c:axId val="1661193488"/>
        <c:scaling>
          <c:orientation val="minMax"/>
          <c:max val="23000"/>
          <c:min val="-780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61193008"/>
        <c:crosses val="autoZero"/>
        <c:crossBetween val="between"/>
      </c:valAx>
      <c:valAx>
        <c:axId val="1661160368"/>
        <c:scaling>
          <c:orientation val="minMax"/>
          <c:max val="780000"/>
          <c:min val="300000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661148368"/>
        <c:crosses val="max"/>
        <c:crossBetween val="between"/>
      </c:valAx>
      <c:catAx>
        <c:axId val="1661148368"/>
        <c:scaling>
          <c:orientation val="minMax"/>
        </c:scaling>
        <c:delete val="1"/>
        <c:axPos val="b"/>
        <c:majorTickMark val="out"/>
        <c:minorTickMark val="none"/>
        <c:tickLblPos val="nextTo"/>
        <c:crossAx val="1661160368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3.0440588770624777E-2"/>
          <c:y val="0.9132768427085024"/>
          <c:w val="0.87261471398989698"/>
          <c:h val="8.672331510902504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ibliography:Sources xmlns:bibliography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D9232-19B3-4B58-9F3E-9BED641E9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1889</Words>
  <Characters>10771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Лейла Натиговна Нацун</dc:creator>
  <cp:keywords/>
  <dc:description/>
  <cp:lastModifiedBy>Соколова Анастасия Алексеевна</cp:lastModifiedBy>
  <cp:revision>4</cp:revision>
  <dcterms:created xsi:type="dcterms:W3CDTF">2026-03-30T05:27:00Z</dcterms:created>
  <dcterms:modified xsi:type="dcterms:W3CDTF">2026-03-31T13:37:00Z</dcterms:modified>
</cp:coreProperties>
</file>