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B28F0" w14:textId="77777777" w:rsidR="006633A1" w:rsidRPr="006633A1" w:rsidRDefault="006633A1" w:rsidP="006633A1">
      <w:pPr>
        <w:widowControl/>
        <w:ind w:firstLine="709"/>
        <w:contextualSpacing/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</w:pPr>
      <w:bookmarkStart w:id="0" w:name="_GoBack"/>
      <w:bookmarkEnd w:id="0"/>
      <w:r w:rsidRPr="006633A1"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  <w:t>УДК 316.4.062</w:t>
      </w:r>
    </w:p>
    <w:p w14:paraId="581E6550" w14:textId="77777777" w:rsidR="006633A1" w:rsidRPr="006633A1" w:rsidRDefault="006633A1" w:rsidP="006633A1">
      <w:pPr>
        <w:widowControl/>
        <w:ind w:firstLine="709"/>
        <w:contextualSpacing/>
        <w:jc w:val="right"/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  <w:t>Яковлева Н.И.</w:t>
      </w:r>
    </w:p>
    <w:p w14:paraId="21219E02" w14:textId="77777777" w:rsidR="006633A1" w:rsidRPr="006633A1" w:rsidRDefault="006633A1" w:rsidP="006633A1">
      <w:pPr>
        <w:ind w:firstLine="709"/>
        <w:contextualSpacing/>
        <w:jc w:val="right"/>
        <w:rPr>
          <w:rFonts w:ascii="Times New Roman" w:hAnsi="Times New Roman" w:cs="Times New Roman"/>
        </w:rPr>
      </w:pPr>
    </w:p>
    <w:p w14:paraId="21B77471" w14:textId="77777777" w:rsidR="006633A1" w:rsidRPr="006633A1" w:rsidRDefault="006633A1" w:rsidP="006633A1">
      <w:pPr>
        <w:widowControl/>
        <w:ind w:firstLine="709"/>
        <w:contextualSpacing/>
        <w:jc w:val="center"/>
        <w:rPr>
          <w:rFonts w:ascii="Times New Roman" w:eastAsiaTheme="minorHAnsi" w:hAnsi="Times New Roman" w:cs="Times New Roman"/>
          <w:b/>
          <w:caps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b/>
          <w:caps/>
          <w:color w:val="auto"/>
          <w:lang w:eastAsia="en-US" w:bidi="ar-SA"/>
        </w:rPr>
        <w:t>Типы трудового поведения молодежи.</w:t>
      </w:r>
    </w:p>
    <w:p w14:paraId="15FAD1FE" w14:textId="77777777" w:rsidR="006633A1" w:rsidRPr="006633A1" w:rsidRDefault="006633A1" w:rsidP="006633A1">
      <w:pPr>
        <w:ind w:firstLine="709"/>
        <w:contextualSpacing/>
        <w:jc w:val="both"/>
        <w:rPr>
          <w:rFonts w:ascii="Times New Roman" w:hAnsi="Times New Roman" w:cs="Times New Roman"/>
        </w:rPr>
      </w:pPr>
    </w:p>
    <w:p w14:paraId="5256C6ED" w14:textId="063C349F" w:rsidR="006633A1" w:rsidRPr="006633A1" w:rsidRDefault="006633A1" w:rsidP="006633A1">
      <w:pPr>
        <w:widowControl/>
        <w:ind w:firstLine="709"/>
        <w:contextualSpacing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  <w:t>Аннотация.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Статья посвящена проблемам сферы </w:t>
      </w:r>
      <w:r>
        <w:rPr>
          <w:rFonts w:ascii="Times New Roman" w:eastAsiaTheme="minorHAnsi" w:hAnsi="Times New Roman" w:cs="Times New Roman"/>
          <w:color w:val="auto"/>
          <w:lang w:eastAsia="en-US" w:bidi="ar-SA"/>
        </w:rPr>
        <w:t>труда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в условиях трендов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поливоркинга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и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саббатикала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в молодежной среде. Показано, что развитие рынка труда связано с необходимостью учета трендов не</w:t>
      </w:r>
      <w:r>
        <w:rPr>
          <w:rFonts w:ascii="Times New Roman" w:eastAsiaTheme="minorHAnsi" w:hAnsi="Times New Roman" w:cs="Times New Roman"/>
          <w:color w:val="auto"/>
          <w:lang w:eastAsia="en-US" w:bidi="ar-SA"/>
        </w:rPr>
        <w:t>форматной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занятости. Отмечена необходимость пересмотра организации практик удержания сотрудников, расчета трудового стажа</w:t>
      </w:r>
      <w:r>
        <w:rPr>
          <w:rFonts w:ascii="Times New Roman" w:eastAsiaTheme="minorHAnsi" w:hAnsi="Times New Roman" w:cs="Times New Roman"/>
          <w:color w:val="auto"/>
          <w:lang w:eastAsia="en-US" w:bidi="ar-SA"/>
        </w:rPr>
        <w:t>,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системы социальных гарантий в сфере занятости.</w:t>
      </w:r>
    </w:p>
    <w:p w14:paraId="661A6124" w14:textId="77777777" w:rsidR="006633A1" w:rsidRPr="006633A1" w:rsidRDefault="006633A1" w:rsidP="006633A1">
      <w:pPr>
        <w:widowControl/>
        <w:ind w:firstLine="709"/>
        <w:contextualSpacing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b/>
          <w:bCs/>
          <w:color w:val="auto"/>
          <w:lang w:eastAsia="en-US" w:bidi="ar-SA"/>
        </w:rPr>
        <w:t>Ключевые слова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: сфера труда,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поливоркинг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,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саббатикал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, сохранение ресурсов, молодёжь, трудовое поведение.</w:t>
      </w:r>
    </w:p>
    <w:p w14:paraId="1D0D8343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</w:p>
    <w:p w14:paraId="2A716B5F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eastAsia="Calibri" w:hAnsi="Times New Roman" w:cs="Times New Roman"/>
        </w:rPr>
      </w:pPr>
      <w:r w:rsidRPr="006633A1">
        <w:rPr>
          <w:rFonts w:ascii="Times New Roman" w:hAnsi="Times New Roman" w:cs="Times New Roman"/>
        </w:rPr>
        <w:t>Стремительная трансформация общественных систем, осуществляемая на основе проникновения цифровых технологий во все сферы жизни человека, способствует развитию не только стран с сильным экономическим потенциалом, но и открывает возможности тем регионам, которые характеризуются ограниченностью ресурсов в той или иной сфере. Однако, нарастающая интенсивность глобальных процессов диктует необходимость максимального вовлечения всех активов в воспроизводственный цикл, синергии цифровых инноваций с экономическими инструментами развития и социальным потенциалом людей. В</w:t>
      </w:r>
      <w:r w:rsidRPr="006633A1">
        <w:rPr>
          <w:rFonts w:ascii="Times New Roman" w:eastAsia="Calibri" w:hAnsi="Times New Roman" w:cs="Times New Roman"/>
        </w:rPr>
        <w:t>озрастающая потребность в более интенсивном использовании всех резервов развития обусловлена в том числе динамикой социо-демографических процессов, сменой ценностных ориентаций в обществе, общим нарастанием интенсификации жизни.</w:t>
      </w:r>
    </w:p>
    <w:p w14:paraId="5C30E0AB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Одной из сфер, трансформацию которой в свете процессов глобализации и цифровизации можно охарактеризовать как радикальную, является рынок труда, который из совокупности отдельных национальных систем эволюционировал в единую связанною и </w:t>
      </w:r>
      <w:proofErr w:type="spellStart"/>
      <w:r w:rsidRPr="006633A1">
        <w:rPr>
          <w:rFonts w:ascii="Times New Roman" w:hAnsi="Times New Roman" w:cs="Times New Roman"/>
        </w:rPr>
        <w:t>созависимую</w:t>
      </w:r>
      <w:proofErr w:type="spellEnd"/>
      <w:r w:rsidRPr="006633A1">
        <w:rPr>
          <w:rFonts w:ascii="Times New Roman" w:hAnsi="Times New Roman" w:cs="Times New Roman"/>
        </w:rPr>
        <w:t xml:space="preserve"> систему, что становится вызовом для национальных правительств по сохранению баланса на собственных рынках занятости. Так, в условиях цифровизации, экономической нестабильности, социальных трансформаций и смены ценностных ориентиров рынок труда остается важнейшим объектом регулирования государственной политики.</w:t>
      </w:r>
    </w:p>
    <w:p w14:paraId="5A27F30F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В тоже время сегодня структурные изменения в сфере труда связаны с процессами масштабного перехода занятости из традиционных промышленных и сельскохозяйственных областей в сферу услуг и информационных технологий; переносом низкоквалифицированных неэкологичных производств в регионы с дешевой рабочей силой; внедрением ИИ и ИКТ-технологий, которые позволяют расширять число занятых за счет работников из отдаленных регионов, пожилого возраста и лиц с ограничениями здоровья. Существует также поле проблем, связанное с процессами </w:t>
      </w:r>
      <w:proofErr w:type="spellStart"/>
      <w:r w:rsidRPr="006633A1">
        <w:rPr>
          <w:rFonts w:ascii="Times New Roman" w:hAnsi="Times New Roman" w:cs="Times New Roman"/>
        </w:rPr>
        <w:t>технологизации</w:t>
      </w:r>
      <w:proofErr w:type="spellEnd"/>
      <w:r w:rsidRPr="006633A1">
        <w:rPr>
          <w:rFonts w:ascii="Times New Roman" w:hAnsi="Times New Roman" w:cs="Times New Roman"/>
        </w:rPr>
        <w:t xml:space="preserve"> и цифровизации, развитием всех способов коммуникаций. Современность, связанная с развитием электронной коммуникации и технологиями искусственного интеллекта, сформировала среду цифровой культуры, которая кардинально отличается от естественной по своей природе (создана самим человеком) и формату (виртуальность, </w:t>
      </w:r>
      <w:proofErr w:type="spellStart"/>
      <w:r w:rsidRPr="006633A1">
        <w:rPr>
          <w:rFonts w:ascii="Times New Roman" w:hAnsi="Times New Roman" w:cs="Times New Roman"/>
        </w:rPr>
        <w:t>вседоступность</w:t>
      </w:r>
      <w:proofErr w:type="spellEnd"/>
      <w:r w:rsidRPr="006633A1">
        <w:rPr>
          <w:rFonts w:ascii="Times New Roman" w:hAnsi="Times New Roman" w:cs="Times New Roman"/>
        </w:rPr>
        <w:t>), но оказывает на развитие человека существенное воздействие, постепенно меняя общество в целом. Стремительно меняется сфера повседневной жизни человека: труд, образование, быт, коммуникация, что со временем приведет к возникновению новой формации людей, мышление и культура которых будет существенно отличаться от сегодняшних. Так, изменятся подход к получению образования, в системе которого искусственный интеллект сменяет педагогов алгоритмами. В современном мире сфера труда и занятости также стала полем активного внедрения цифровых новаций, при этом, в виду значимости, масштабы проникновения цифровых технологий в нее поразительны.</w:t>
      </w:r>
    </w:p>
    <w:p w14:paraId="49A478B7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eastAsia="Calibri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Таким образом, для проведения мероприятий по успешной актуализации ресурсов сферы труда необходимо формирование новых подходов к оптимизации занятости, что требует соответствующего понимания тенденций, характерных для трудовой сферы и учета когерентности процессов, происходящих во всех областях общественной жизни. Разработка </w:t>
      </w:r>
      <w:r w:rsidRPr="006633A1">
        <w:rPr>
          <w:rFonts w:ascii="Times New Roman" w:hAnsi="Times New Roman" w:cs="Times New Roman"/>
        </w:rPr>
        <w:lastRenderedPageBreak/>
        <w:t xml:space="preserve">действенных мер должна быть направлена не только на стабилизацию экономической составляющей рынка занятости и </w:t>
      </w:r>
      <w:proofErr w:type="spellStart"/>
      <w:r w:rsidRPr="006633A1">
        <w:rPr>
          <w:rFonts w:ascii="Times New Roman" w:hAnsi="Times New Roman" w:cs="Times New Roman"/>
        </w:rPr>
        <w:t>допроизводство</w:t>
      </w:r>
      <w:proofErr w:type="spellEnd"/>
      <w:r w:rsidRPr="006633A1">
        <w:rPr>
          <w:rFonts w:ascii="Times New Roman" w:hAnsi="Times New Roman" w:cs="Times New Roman"/>
        </w:rPr>
        <w:t xml:space="preserve"> национального дохода, но также и на выработку </w:t>
      </w:r>
      <w:r w:rsidRPr="006633A1">
        <w:rPr>
          <w:rFonts w:ascii="Times New Roman" w:eastAsia="Calibri" w:hAnsi="Times New Roman" w:cs="Times New Roman"/>
        </w:rPr>
        <w:t>превентивных мер по недопущению острого дефицита занятых в экономике, снижения квалификационных характеристик трудового потенциала.</w:t>
      </w:r>
    </w:p>
    <w:p w14:paraId="45B7DE65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eastAsia="Calibri" w:hAnsi="Times New Roman" w:cs="Times New Roman"/>
        </w:rPr>
      </w:pPr>
      <w:r w:rsidRPr="006633A1">
        <w:rPr>
          <w:rFonts w:ascii="Times New Roman" w:eastAsia="Calibri" w:hAnsi="Times New Roman" w:cs="Times New Roman"/>
        </w:rPr>
        <w:t>Отметим, сфера общественного воспроизводства в настоящее время расширяется за счет таких факторов как социальный капитал и духовно-психологические образования (настроения, социальное самочувствие, состояние здоровья и т.д.). Эти ресурсы, формирующиеся в социальной среде, напрямую определяют качество жизни и трудовую активность людей, но при этом тесно связаны со сферой экономики и технологий. Так, возникает эффект синергии: различные сферы жизни постоянно обмениваются ресурсами и адаптируются друг к другу, что, позволяет обществу эффективно функционировать и прогрессировать.</w:t>
      </w:r>
    </w:p>
    <w:p w14:paraId="39DBA155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eastAsia="Calibri" w:hAnsi="Times New Roman" w:cs="Times New Roman"/>
        </w:rPr>
        <w:t xml:space="preserve">Эффективное моделирование процессов занятости в условиях современного рынка труда должно включать в себя задачу не только преодоления вызовов, связанных с экономической </w:t>
      </w:r>
      <w:r w:rsidRPr="006633A1">
        <w:rPr>
          <w:rFonts w:ascii="Times New Roman" w:hAnsi="Times New Roman" w:cs="Times New Roman"/>
        </w:rPr>
        <w:t xml:space="preserve">нестабильностью, но и учитывать тренды в отношении трудовой деятельности всех поколений трудоспособного возраста, например, такие как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 и </w:t>
      </w:r>
      <w:proofErr w:type="spellStart"/>
      <w:r w:rsidRPr="006633A1">
        <w:rPr>
          <w:rFonts w:ascii="Times New Roman" w:hAnsi="Times New Roman" w:cs="Times New Roman"/>
        </w:rPr>
        <w:t>поливоркинг</w:t>
      </w:r>
      <w:proofErr w:type="spellEnd"/>
      <w:r w:rsidRPr="006633A1">
        <w:rPr>
          <w:rFonts w:ascii="Times New Roman" w:hAnsi="Times New Roman" w:cs="Times New Roman"/>
        </w:rPr>
        <w:t>.</w:t>
      </w:r>
    </w:p>
    <w:p w14:paraId="39C90F26" w14:textId="18D60FE5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, набирающий популярность среди молодого поколения тип трудового поведения, подразумевающий возможность организации длительной паузы от работы (от 3 месяцев до года). От трудового отпуска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 отличается продолжительностью, целями (мотивами), и тем, что, как правило, данный период нерабочего времени не оплачивается, при этом существует возможность возвращения на прежнее рабочее место. Основными мотивами реализации практики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 являются отдых, с целью переосмысления жизненных задач, будущих планов, анализа личностного потенциала и восстановления ресурсов; обучение, в целях приобретения новых знаний по существующей профессии или же освоения иной специальности </w:t>
      </w:r>
      <w:r w:rsidR="00C3305C" w:rsidRPr="00C3305C">
        <w:rPr>
          <w:rFonts w:ascii="Times New Roman" w:eastAsia="Calibri" w:hAnsi="Times New Roman" w:cs="Times New Roman"/>
        </w:rPr>
        <w:t>[</w:t>
      </w:r>
      <w:r w:rsidR="00C3305C" w:rsidRPr="00C3305C">
        <w:rPr>
          <w:rFonts w:ascii="Times New Roman" w:eastAsia="Calibri" w:hAnsi="Times New Roman" w:cs="Times New Roman"/>
        </w:rPr>
        <w:t>4</w:t>
      </w:r>
      <w:r w:rsidR="00C3305C" w:rsidRPr="00C3305C">
        <w:rPr>
          <w:rFonts w:ascii="Times New Roman" w:eastAsia="Calibri" w:hAnsi="Times New Roman" w:cs="Times New Roman"/>
        </w:rPr>
        <w:t>]</w:t>
      </w:r>
      <w:r w:rsidR="00C3305C" w:rsidRPr="00C3305C">
        <w:rPr>
          <w:rFonts w:ascii="Times New Roman" w:eastAsia="Calibri" w:hAnsi="Times New Roman" w:cs="Times New Roman"/>
        </w:rPr>
        <w:t>.</w:t>
      </w:r>
      <w:r w:rsidR="00C3305C">
        <w:t xml:space="preserve"> </w:t>
      </w:r>
      <w:r w:rsidRPr="006633A1">
        <w:rPr>
          <w:rFonts w:ascii="Times New Roman" w:hAnsi="Times New Roman" w:cs="Times New Roman"/>
        </w:rPr>
        <w:t xml:space="preserve">Важным представляется и то, что если ранее длительные перерывы в работе были доступны в основном профессорскому и научному составу ВУЗов или руководителям высшего звена (состоятельные, элитарные сотрудники), то сегодня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 практически не связан с социальным статусом или этапом карьеры, он доступен для широкого круга населения.</w:t>
      </w:r>
    </w:p>
    <w:p w14:paraId="7156F367" w14:textId="05132DFF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В свою очередь </w:t>
      </w:r>
      <w:proofErr w:type="spellStart"/>
      <w:r w:rsidRPr="006633A1">
        <w:rPr>
          <w:rFonts w:ascii="Times New Roman" w:hAnsi="Times New Roman" w:cs="Times New Roman"/>
        </w:rPr>
        <w:t>поливоркинг</w:t>
      </w:r>
      <w:proofErr w:type="spellEnd"/>
      <w:r w:rsidRPr="006633A1">
        <w:rPr>
          <w:rFonts w:ascii="Times New Roman" w:hAnsi="Times New Roman" w:cs="Times New Roman"/>
        </w:rPr>
        <w:t xml:space="preserve">, также наблюдающийся преимущественно в среде молодого поколения работников тип занятости, определяется как одновременное совмещение сразу нескольких работ, проектов или подработок, зачастую данные виды деятельности относятся к разным профессиональным сферам. Основными мотивами практики </w:t>
      </w:r>
      <w:proofErr w:type="spellStart"/>
      <w:r w:rsidRPr="006633A1">
        <w:rPr>
          <w:rFonts w:ascii="Times New Roman" w:hAnsi="Times New Roman" w:cs="Times New Roman"/>
        </w:rPr>
        <w:t>поливоркинга</w:t>
      </w:r>
      <w:proofErr w:type="spellEnd"/>
      <w:r w:rsidRPr="006633A1">
        <w:rPr>
          <w:rFonts w:ascii="Times New Roman" w:hAnsi="Times New Roman" w:cs="Times New Roman"/>
        </w:rPr>
        <w:t xml:space="preserve"> считаются экономические </w:t>
      </w:r>
      <w:r w:rsidRPr="006633A1">
        <w:rPr>
          <w:rFonts w:ascii="Times New Roman" w:hAnsi="Times New Roman" w:cs="Times New Roman"/>
        </w:rPr>
        <w:noBreakHyphen/>
        <w:t xml:space="preserve"> повышение дохода и возможность </w:t>
      </w:r>
      <w:proofErr w:type="spellStart"/>
      <w:r w:rsidRPr="006633A1">
        <w:rPr>
          <w:rFonts w:ascii="Times New Roman" w:hAnsi="Times New Roman" w:cs="Times New Roman"/>
        </w:rPr>
        <w:t>монетизизации</w:t>
      </w:r>
      <w:proofErr w:type="spellEnd"/>
      <w:r w:rsidRPr="006633A1">
        <w:rPr>
          <w:rFonts w:ascii="Times New Roman" w:hAnsi="Times New Roman" w:cs="Times New Roman"/>
        </w:rPr>
        <w:t xml:space="preserve"> своего досугового хобби. Отметим, совмещение нескольких видов деятельности существовало еще в доиндустриальную эпоху, так крестьяне также были и ремесленниками, животноводами, а горожане владели мастеровыми профессиями, продавали свои товары, занимались обучением новых работников. Процессы индустриализации привели к формализации профессий и распространению жизненной модели «одна работа на всю жизнь». Занятость сразу в нескольких сферах труда стала характеристикой малообеспеченных слоев населения: мигранты, студенты, социально неблагополучные лица. Сегодня </w:t>
      </w:r>
      <w:proofErr w:type="spellStart"/>
      <w:r w:rsidRPr="006633A1">
        <w:rPr>
          <w:rFonts w:ascii="Times New Roman" w:hAnsi="Times New Roman" w:cs="Times New Roman"/>
        </w:rPr>
        <w:t>поливоркинг</w:t>
      </w:r>
      <w:proofErr w:type="spellEnd"/>
      <w:r w:rsidRPr="006633A1">
        <w:rPr>
          <w:rFonts w:ascii="Times New Roman" w:hAnsi="Times New Roman" w:cs="Times New Roman"/>
        </w:rPr>
        <w:t xml:space="preserve"> распространен не столько как возможность получения дополнительного дохода, а </w:t>
      </w:r>
      <w:r w:rsidRPr="006633A1">
        <w:rPr>
          <w:rFonts w:ascii="Times New Roman" w:hAnsi="Times New Roman" w:cs="Times New Roman"/>
        </w:rPr>
        <w:t>скорее,</w:t>
      </w:r>
      <w:r w:rsidRPr="006633A1">
        <w:rPr>
          <w:rFonts w:ascii="Times New Roman" w:hAnsi="Times New Roman" w:cs="Times New Roman"/>
        </w:rPr>
        <w:t xml:space="preserve"> как форма реализации человеческого потенциала в разных сферах деятельности</w:t>
      </w:r>
      <w:r w:rsidR="00C3305C">
        <w:rPr>
          <w:rFonts w:ascii="Times New Roman" w:hAnsi="Times New Roman" w:cs="Times New Roman"/>
        </w:rPr>
        <w:t xml:space="preserve"> </w:t>
      </w:r>
      <w:r w:rsidR="00C3305C" w:rsidRPr="00C3305C">
        <w:rPr>
          <w:rFonts w:ascii="Times New Roman" w:hAnsi="Times New Roman" w:cs="Times New Roman"/>
        </w:rPr>
        <w:t>[</w:t>
      </w:r>
      <w:r w:rsidR="00C3305C" w:rsidRPr="00C3305C">
        <w:rPr>
          <w:rFonts w:ascii="Times New Roman" w:hAnsi="Times New Roman" w:cs="Times New Roman"/>
        </w:rPr>
        <w:t>5</w:t>
      </w:r>
      <w:r w:rsidR="00C3305C" w:rsidRPr="00C3305C">
        <w:rPr>
          <w:rFonts w:ascii="Times New Roman" w:hAnsi="Times New Roman" w:cs="Times New Roman"/>
        </w:rPr>
        <w:t>]</w:t>
      </w:r>
      <w:r w:rsidRPr="006633A1">
        <w:rPr>
          <w:rFonts w:ascii="Times New Roman" w:hAnsi="Times New Roman" w:cs="Times New Roman"/>
        </w:rPr>
        <w:t>.</w:t>
      </w:r>
    </w:p>
    <w:p w14:paraId="2FC4A503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Практики </w:t>
      </w:r>
      <w:proofErr w:type="spellStart"/>
      <w:r w:rsidRPr="006633A1">
        <w:rPr>
          <w:rFonts w:ascii="Times New Roman" w:hAnsi="Times New Roman" w:cs="Times New Roman"/>
        </w:rPr>
        <w:t>саббатикала</w:t>
      </w:r>
      <w:proofErr w:type="spellEnd"/>
      <w:r w:rsidRPr="006633A1">
        <w:rPr>
          <w:rFonts w:ascii="Times New Roman" w:hAnsi="Times New Roman" w:cs="Times New Roman"/>
        </w:rPr>
        <w:t xml:space="preserve"> и </w:t>
      </w:r>
      <w:proofErr w:type="spellStart"/>
      <w:r w:rsidRPr="006633A1">
        <w:rPr>
          <w:rFonts w:ascii="Times New Roman" w:hAnsi="Times New Roman" w:cs="Times New Roman"/>
        </w:rPr>
        <w:t>поливоркинга</w:t>
      </w:r>
      <w:proofErr w:type="spellEnd"/>
      <w:r w:rsidRPr="006633A1">
        <w:rPr>
          <w:rFonts w:ascii="Times New Roman" w:hAnsi="Times New Roman" w:cs="Times New Roman"/>
        </w:rPr>
        <w:t xml:space="preserve"> различаются по форме реализации – длительные периоды нерабочей деятельности и напротив, интенсивный труд на нескольких работах одновременно. Однако, можно отметить общую мотивационную основу данных типов трудового поведения </w:t>
      </w:r>
      <w:r w:rsidRPr="006633A1">
        <w:rPr>
          <w:rFonts w:ascii="Times New Roman" w:hAnsi="Times New Roman" w:cs="Times New Roman"/>
        </w:rPr>
        <w:noBreakHyphen/>
        <w:t xml:space="preserve"> (пере)оценка личностных ресурсов с целью их более эффективного использования: реструктуризация навыков, сбережение физического и психического здоровья, реализация потенциала в той сфере и с той динамикой, которая отвечает потребностям и соответствует накопленному капиталу (образование, опыт, социально-демографические характеристики, здоровье и т.д.). Таким образом, приверженность стратегиям эффективной ресурсосберегающей самоактуализации является одной из основных </w:t>
      </w:r>
      <w:r w:rsidRPr="006633A1">
        <w:rPr>
          <w:rFonts w:ascii="Times New Roman" w:hAnsi="Times New Roman" w:cs="Times New Roman"/>
        </w:rPr>
        <w:lastRenderedPageBreak/>
        <w:t>характеристик молодого поколения трудоспособного населения.</w:t>
      </w:r>
    </w:p>
    <w:p w14:paraId="25FB41D4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Развитие рынка занятости в современных условиях, таким образом, возможно с учетом, в том числе распространения данных трендов трудового поведения в практиках жизнедеятельности молодежи. При этом важно также принимать во внимание весь спектр возможных неоднозначных моделей взаимодействия рынка труда и занятой молодежи, связанных с нестабильностью занятости, обусловленной стратегиями </w:t>
      </w:r>
      <w:proofErr w:type="spellStart"/>
      <w:r w:rsidRPr="006633A1">
        <w:rPr>
          <w:rFonts w:ascii="Times New Roman" w:hAnsi="Times New Roman" w:cs="Times New Roman"/>
        </w:rPr>
        <w:t>поливоркинга</w:t>
      </w:r>
      <w:proofErr w:type="spellEnd"/>
      <w:r w:rsidRPr="006633A1">
        <w:rPr>
          <w:rFonts w:ascii="Times New Roman" w:hAnsi="Times New Roman" w:cs="Times New Roman"/>
        </w:rPr>
        <w:t xml:space="preserve"> и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>. В число основных вызовов сферы занятости в данном контексте входит:</w:t>
      </w:r>
    </w:p>
    <w:p w14:paraId="33191E69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необходимость пересмотра системы начисления трудового стажа;</w:t>
      </w:r>
    </w:p>
    <w:p w14:paraId="65B0650E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необходимость трансформации системы предоставления социальных гарантий: выплаты в связи с заболеванием, рождением ребенка, трудовым отпуском, иные виды страхования работников;</w:t>
      </w:r>
    </w:p>
    <w:p w14:paraId="3B21ABCB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пересмотр системы оценки профессиональных навыков, системы повышения квалификации персонала; системы, обеспечивающей карьерный рост;</w:t>
      </w:r>
    </w:p>
    <w:p w14:paraId="15C85F31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разработка эффективных стратегий привлечения временного персонала на замещающие позиции;</w:t>
      </w:r>
    </w:p>
    <w:p w14:paraId="42F8A97A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</w:t>
      </w:r>
      <w:proofErr w:type="spellStart"/>
      <w:r w:rsidRPr="006633A1">
        <w:rPr>
          <w:rFonts w:ascii="Times New Roman" w:hAnsi="Times New Roman" w:cs="Times New Roman"/>
        </w:rPr>
        <w:t>переструктурирование</w:t>
      </w:r>
      <w:proofErr w:type="spellEnd"/>
      <w:r w:rsidRPr="006633A1">
        <w:rPr>
          <w:rFonts w:ascii="Times New Roman" w:hAnsi="Times New Roman" w:cs="Times New Roman"/>
        </w:rPr>
        <w:t xml:space="preserve"> системы контроля рабочего времени, результативности сотрудников;</w:t>
      </w:r>
    </w:p>
    <w:p w14:paraId="588A7C85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noBreakHyphen/>
        <w:t xml:space="preserve"> разработка программ адаптации/</w:t>
      </w:r>
      <w:proofErr w:type="spellStart"/>
      <w:r w:rsidRPr="006633A1">
        <w:rPr>
          <w:rFonts w:ascii="Times New Roman" w:hAnsi="Times New Roman" w:cs="Times New Roman"/>
        </w:rPr>
        <w:t>реадаптации</w:t>
      </w:r>
      <w:proofErr w:type="spellEnd"/>
      <w:r w:rsidRPr="006633A1">
        <w:rPr>
          <w:rFonts w:ascii="Times New Roman" w:hAnsi="Times New Roman" w:cs="Times New Roman"/>
        </w:rPr>
        <w:t xml:space="preserve"> в трудовом коллективе для тех, кто занят в </w:t>
      </w:r>
      <w:proofErr w:type="spellStart"/>
      <w:r w:rsidRPr="006633A1">
        <w:rPr>
          <w:rFonts w:ascii="Times New Roman" w:hAnsi="Times New Roman" w:cs="Times New Roman"/>
        </w:rPr>
        <w:t>поливоркинге</w:t>
      </w:r>
      <w:proofErr w:type="spellEnd"/>
      <w:r w:rsidRPr="006633A1">
        <w:rPr>
          <w:rFonts w:ascii="Times New Roman" w:hAnsi="Times New Roman" w:cs="Times New Roman"/>
        </w:rPr>
        <w:t xml:space="preserve"> или же вернулся к своим обязанностям после длительного перерыва.</w:t>
      </w:r>
    </w:p>
    <w:p w14:paraId="53D7D3EE" w14:textId="4AAA3673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 xml:space="preserve">Нелинейность, </w:t>
      </w:r>
      <w:proofErr w:type="spellStart"/>
      <w:r w:rsidRPr="006633A1">
        <w:rPr>
          <w:rFonts w:ascii="Times New Roman" w:hAnsi="Times New Roman" w:cs="Times New Roman"/>
        </w:rPr>
        <w:t>неформатность</w:t>
      </w:r>
      <w:proofErr w:type="spellEnd"/>
      <w:r w:rsidRPr="006633A1">
        <w:rPr>
          <w:rFonts w:ascii="Times New Roman" w:hAnsi="Times New Roman" w:cs="Times New Roman"/>
        </w:rPr>
        <w:t xml:space="preserve"> занятости как явление на рынке труда изучается в рамках социологии и экономической теории довольно давно, и часто связывается с дисфункциями рынка труда, а также с изменением институциональной структуры экономики. В тоже время отметим, что как </w:t>
      </w:r>
      <w:proofErr w:type="spellStart"/>
      <w:r w:rsidRPr="006633A1">
        <w:rPr>
          <w:rFonts w:ascii="Times New Roman" w:hAnsi="Times New Roman" w:cs="Times New Roman"/>
        </w:rPr>
        <w:t>саббатикал</w:t>
      </w:r>
      <w:proofErr w:type="spellEnd"/>
      <w:r w:rsidRPr="006633A1">
        <w:rPr>
          <w:rFonts w:ascii="Times New Roman" w:hAnsi="Times New Roman" w:cs="Times New Roman"/>
        </w:rPr>
        <w:t xml:space="preserve">, так и </w:t>
      </w:r>
      <w:proofErr w:type="spellStart"/>
      <w:r w:rsidRPr="006633A1">
        <w:rPr>
          <w:rFonts w:ascii="Times New Roman" w:hAnsi="Times New Roman" w:cs="Times New Roman"/>
        </w:rPr>
        <w:t>поливоркинг</w:t>
      </w:r>
      <w:proofErr w:type="spellEnd"/>
      <w:r w:rsidRPr="006633A1">
        <w:rPr>
          <w:rFonts w:ascii="Times New Roman" w:hAnsi="Times New Roman" w:cs="Times New Roman"/>
        </w:rPr>
        <w:t xml:space="preserve"> имеют в своей основе не столько экономические мотивы, сколько связаны с социальными характеристиками молодого поколения. Так, современный ритм жизни предполагает высокую степень уровня адаптации человека к быстро изменяющимся социо-экономическим условиям, становится крайне важным иметь дополнительный источник дохода, быстро освоить новую профессию. В тоже время современное молодое поколение не склонно задумываться о пенсии, для них она, во-первых, слишком далекое событие, а во-вторых, среди них отмечается недостаточно высокий уровень доверия пенсионной системе в целом, как механизму обеспечения долгосрочного блага в будущем. Причинами распространения нестандартных форм трудового поведения являются также экономическая нестабильность, связанная с пандемией, инфляцией, </w:t>
      </w:r>
      <w:proofErr w:type="spellStart"/>
      <w:r w:rsidRPr="006633A1">
        <w:rPr>
          <w:rFonts w:ascii="Times New Roman" w:hAnsi="Times New Roman" w:cs="Times New Roman"/>
        </w:rPr>
        <w:t>переструктурированием</w:t>
      </w:r>
      <w:proofErr w:type="spellEnd"/>
      <w:r w:rsidRPr="006633A1">
        <w:rPr>
          <w:rFonts w:ascii="Times New Roman" w:hAnsi="Times New Roman" w:cs="Times New Roman"/>
        </w:rPr>
        <w:t xml:space="preserve"> рынка труда, и технологические изменения, обусловленные развитием цифровой экономики, появлением ИИ-агентов, возможности удаленного формата работы</w:t>
      </w:r>
      <w:r w:rsidR="00C3305C">
        <w:rPr>
          <w:rFonts w:ascii="Times New Roman" w:hAnsi="Times New Roman" w:cs="Times New Roman"/>
        </w:rPr>
        <w:t xml:space="preserve"> </w:t>
      </w:r>
      <w:r w:rsidR="00C3305C" w:rsidRPr="00C3305C">
        <w:rPr>
          <w:rFonts w:ascii="Times New Roman" w:hAnsi="Times New Roman" w:cs="Times New Roman"/>
        </w:rPr>
        <w:t>[</w:t>
      </w:r>
      <w:r w:rsidR="00C3305C" w:rsidRPr="00C3305C">
        <w:rPr>
          <w:rFonts w:ascii="Times New Roman" w:hAnsi="Times New Roman" w:cs="Times New Roman"/>
        </w:rPr>
        <w:t>1</w:t>
      </w:r>
      <w:r w:rsidR="00C3305C" w:rsidRPr="00C3305C">
        <w:rPr>
          <w:rFonts w:ascii="Times New Roman" w:hAnsi="Times New Roman" w:cs="Times New Roman"/>
        </w:rPr>
        <w:t>]</w:t>
      </w:r>
      <w:r w:rsidRPr="006633A1">
        <w:rPr>
          <w:rFonts w:ascii="Times New Roman" w:hAnsi="Times New Roman" w:cs="Times New Roman"/>
        </w:rPr>
        <w:t>.</w:t>
      </w:r>
    </w:p>
    <w:p w14:paraId="19EA3498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  <w:r w:rsidRPr="006633A1">
        <w:rPr>
          <w:rFonts w:ascii="Times New Roman" w:hAnsi="Times New Roman" w:cs="Times New Roman"/>
        </w:rPr>
        <w:t>Таким образом, изменения трудовых практик уже присутствуют в сфере занятости, они безвозвратно вошли в нашу реальность, изменили её, стали неотъемлемой составляющей повседневной жизни человека. Тем не менее инновации, реализуемые в сфере труда следует проводить с осторожностью и оценивать не столько как социо-технологический эксперимент, а скорее, как этап к трансформации всей структуры занятости, социального воспроизводства и обеспечения. Это в свою очередь требует разработки новых правовых и нравственных стандартов, чтобы интеграция новаций в сферу труда была безопасной, эффективной и приемлемой для человека.</w:t>
      </w:r>
    </w:p>
    <w:p w14:paraId="48F06A9C" w14:textId="77777777" w:rsidR="006633A1" w:rsidRPr="006633A1" w:rsidRDefault="006633A1" w:rsidP="006633A1">
      <w:pPr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 w:cs="Times New Roman"/>
        </w:rPr>
      </w:pPr>
    </w:p>
    <w:p w14:paraId="4A36AFC6" w14:textId="77777777" w:rsidR="006633A1" w:rsidRPr="006633A1" w:rsidRDefault="006633A1" w:rsidP="006633A1">
      <w:pPr>
        <w:widowControl/>
        <w:ind w:firstLine="709"/>
        <w:contextualSpacing/>
        <w:jc w:val="center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Библиографический список</w:t>
      </w:r>
    </w:p>
    <w:p w14:paraId="2F021540" w14:textId="77777777" w:rsidR="006633A1" w:rsidRPr="006633A1" w:rsidRDefault="006633A1" w:rsidP="006633A1">
      <w:pPr>
        <w:widowControl/>
        <w:ind w:firstLine="709"/>
        <w:contextualSpacing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</w:p>
    <w:p w14:paraId="7DF5F550" w14:textId="4EBB5C7A" w:rsidR="006633A1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Анисимов, Р. И. (2017). Труд в эпоху неопределенности. Социологические исследования, (11), 44-52. DOI: 10.7868/S013216251711006X</w:t>
      </w:r>
    </w:p>
    <w:p w14:paraId="04D78E50" w14:textId="3686729F" w:rsidR="006633A1" w:rsidRPr="006633A1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Исследование: россияне перестали скрывать подработки от</w:t>
      </w:r>
      <w:r w:rsid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основного работодателя [Электронный ресурс] // СКБ Контур, 27 мая 2025 – </w:t>
      </w:r>
      <w:hyperlink r:id="rId5" w:history="1">
        <w:r w:rsidRPr="006633A1">
          <w:rPr>
            <w:rFonts w:ascii="Times New Roman" w:eastAsiaTheme="minorHAnsi" w:hAnsi="Times New Roman" w:cs="Times New Roman"/>
            <w:color w:val="auto"/>
            <w:lang w:eastAsia="en-US" w:bidi="ar-SA"/>
          </w:rPr>
          <w:t>https://kontur.ru/press/news/56593-rossiyane_perestali_skryvat_podrabotki</w:t>
        </w:r>
      </w:hyperlink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(дата доступа: 18.03.2026).</w:t>
      </w:r>
    </w:p>
    <w:p w14:paraId="5FD0FFB0" w14:textId="77777777" w:rsidR="006633A1" w:rsidRPr="006633A1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lastRenderedPageBreak/>
        <w:t>Пинк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, Д. (2005). Нация свободных агентов. Как новые независимые работники меняют жизнь Америки. М.: Секрет фирмы.</w:t>
      </w:r>
    </w:p>
    <w:p w14:paraId="6FEDE611" w14:textId="0BA0F474" w:rsidR="006633A1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Тихонова, Н. Е. (2019).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Прекариат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и перспективы изменения социальной структуры российского общества // Социологические исследования, 2(2), 167-173. DOI: 10.31857/s013216250004023-8</w:t>
      </w:r>
    </w:p>
    <w:p w14:paraId="64B94782" w14:textId="77777777" w:rsidR="006633A1" w:rsidRPr="006633A1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Polyworking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,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June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2025 [Электронный ресурс] //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monster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work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watch24 – </w:t>
      </w:r>
      <w:hyperlink r:id="rId6" w:history="1">
        <w:r w:rsidRPr="006633A1">
          <w:rPr>
            <w:rFonts w:ascii="Times New Roman" w:eastAsiaTheme="minorHAnsi" w:hAnsi="Times New Roman" w:cs="Times New Roman"/>
            <w:color w:val="auto"/>
            <w:lang w:eastAsia="en-US" w:bidi="ar-SA"/>
          </w:rPr>
          <w:t>https://monsterworkwatch24.my.canva.site/monster-poll-polyworking</w:t>
        </w:r>
      </w:hyperlink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(дата доступа: 18.03.2026).</w:t>
      </w:r>
    </w:p>
    <w:p w14:paraId="592A1AB6" w14:textId="77777777" w:rsidR="006633A1" w:rsidRPr="00C3305C" w:rsidRDefault="006633A1" w:rsidP="006633A1">
      <w:pPr>
        <w:pStyle w:val="a3"/>
        <w:widowControl/>
        <w:numPr>
          <w:ilvl w:val="0"/>
          <w:numId w:val="1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Williams, N.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Polyworking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’—A New Term for a Very Bad (and Old) Thing / N. Williams // Institute for Family Studies, November 18, 2024// [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Электронный</w:t>
      </w: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ресурс</w:t>
      </w: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]: </w:t>
      </w:r>
      <w:hyperlink r:id="rId7" w:history="1">
        <w:r w:rsidRPr="006633A1">
          <w:rPr>
            <w:rFonts w:ascii="Times New Roman" w:eastAsiaTheme="minorHAnsi" w:hAnsi="Times New Roman" w:cs="Times New Roman"/>
            <w:color w:val="auto"/>
            <w:lang w:val="en-US" w:eastAsia="en-US" w:bidi="ar-SA"/>
          </w:rPr>
          <w:t>https://ifstudies.org/blog/polyworkinga-new-term-for-a-very-bad-and-old-thing</w:t>
        </w:r>
      </w:hyperlink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(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дата</w:t>
      </w: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</w:t>
      </w:r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доступа</w:t>
      </w: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: 18.03.2026).</w:t>
      </w:r>
    </w:p>
    <w:p w14:paraId="6C2EC3B2" w14:textId="77777777" w:rsidR="006633A1" w:rsidRPr="00C3305C" w:rsidRDefault="006633A1" w:rsidP="006633A1">
      <w:pPr>
        <w:pStyle w:val="1"/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5916860A" w14:textId="77BC69D8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Информация об авторе</w:t>
      </w:r>
    </w:p>
    <w:p w14:paraId="50210992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Яковлева Наталья Ивановна</w:t>
      </w:r>
    </w:p>
    <w:p w14:paraId="1E78FB03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Беларусь, г. Минск</w:t>
      </w:r>
    </w:p>
    <w:p w14:paraId="224254D2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научный сотрудник</w:t>
      </w:r>
    </w:p>
    <w:p w14:paraId="65BCAEA4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Институт социологии НАН Беларуси</w:t>
      </w:r>
    </w:p>
    <w:p w14:paraId="1284A5D1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>220072 г. Минск, ул. Сурганова 1, корпус 2</w:t>
      </w:r>
    </w:p>
    <w:p w14:paraId="05DA0D69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r w:rsidRPr="006633A1">
        <w:rPr>
          <w:rFonts w:ascii="Times New Roman" w:eastAsia="Times New Roman" w:hAnsi="Times New Roman" w:cs="Times New Roman"/>
          <w:color w:val="auto"/>
          <w:lang w:val="en-US"/>
        </w:rPr>
        <w:t>an.nata.an@gmail.com</w:t>
      </w:r>
    </w:p>
    <w:p w14:paraId="712B0B2D" w14:textId="77777777" w:rsidR="006633A1" w:rsidRPr="006633A1" w:rsidRDefault="006633A1" w:rsidP="00B645B6">
      <w:pPr>
        <w:contextualSpacing/>
        <w:rPr>
          <w:rFonts w:ascii="Times New Roman" w:hAnsi="Times New Roman" w:cs="Times New Roman"/>
          <w:lang w:val="en-US"/>
        </w:rPr>
      </w:pPr>
    </w:p>
    <w:p w14:paraId="1B58B1DD" w14:textId="77777777" w:rsidR="006633A1" w:rsidRPr="00C3305C" w:rsidRDefault="006633A1" w:rsidP="006633A1">
      <w:pPr>
        <w:widowControl/>
        <w:ind w:firstLine="709"/>
        <w:contextualSpacing/>
        <w:jc w:val="right"/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</w:pPr>
      <w:proofErr w:type="spellStart"/>
      <w:r w:rsidRPr="00C3305C"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  <w:t>Yakauleva</w:t>
      </w:r>
      <w:proofErr w:type="spellEnd"/>
      <w:r w:rsidRPr="00C3305C"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  <w:t xml:space="preserve"> </w:t>
      </w:r>
      <w:proofErr w:type="spellStart"/>
      <w:r w:rsidRPr="00C3305C"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  <w:t>Natallia</w:t>
      </w:r>
      <w:proofErr w:type="spellEnd"/>
    </w:p>
    <w:p w14:paraId="34AC3025" w14:textId="77777777" w:rsidR="006633A1" w:rsidRPr="006633A1" w:rsidRDefault="006633A1" w:rsidP="006633A1">
      <w:pPr>
        <w:shd w:val="clear" w:color="auto" w:fill="FFFFFF"/>
        <w:ind w:firstLine="709"/>
        <w:contextualSpacing/>
        <w:jc w:val="right"/>
        <w:textAlignment w:val="baseline"/>
        <w:rPr>
          <w:rFonts w:ascii="Times New Roman" w:eastAsia="Times New Roman" w:hAnsi="Times New Roman" w:cs="Times New Roman"/>
          <w:bCs/>
          <w:color w:val="2A2E3D"/>
          <w:lang w:val="en-US"/>
        </w:rPr>
      </w:pPr>
    </w:p>
    <w:p w14:paraId="4CBFD282" w14:textId="77777777" w:rsidR="006633A1" w:rsidRPr="006633A1" w:rsidRDefault="006633A1" w:rsidP="006633A1">
      <w:pPr>
        <w:ind w:firstLine="709"/>
        <w:contextualSpacing/>
        <w:jc w:val="center"/>
        <w:rPr>
          <w:rFonts w:ascii="Times New Roman" w:hAnsi="Times New Roman" w:cs="Times New Roman"/>
          <w:b/>
          <w:caps/>
          <w:lang w:val="en-US"/>
        </w:rPr>
      </w:pPr>
      <w:r w:rsidRPr="006633A1">
        <w:rPr>
          <w:rFonts w:ascii="Times New Roman" w:eastAsiaTheme="minorHAnsi" w:hAnsi="Times New Roman" w:cs="Times New Roman"/>
          <w:b/>
          <w:caps/>
          <w:color w:val="auto"/>
          <w:lang w:val="en-US" w:eastAsia="en-US" w:bidi="ar-SA"/>
        </w:rPr>
        <w:t>TYPES OF YOUTH WORK BEHAVIOR</w:t>
      </w:r>
      <w:r w:rsidRPr="006633A1">
        <w:rPr>
          <w:rFonts w:ascii="Times New Roman" w:hAnsi="Times New Roman" w:cs="Times New Roman"/>
          <w:b/>
          <w:caps/>
          <w:lang w:val="en-US"/>
        </w:rPr>
        <w:t>.</w:t>
      </w:r>
    </w:p>
    <w:p w14:paraId="75FBA19C" w14:textId="77777777" w:rsidR="006633A1" w:rsidRPr="006633A1" w:rsidRDefault="006633A1" w:rsidP="006633A1">
      <w:pPr>
        <w:ind w:firstLine="709"/>
        <w:contextualSpacing/>
        <w:jc w:val="both"/>
        <w:rPr>
          <w:rFonts w:ascii="Times New Roman" w:hAnsi="Times New Roman" w:cs="Times New Roman"/>
          <w:b/>
          <w:caps/>
          <w:lang w:val="en-US"/>
        </w:rPr>
      </w:pPr>
    </w:p>
    <w:p w14:paraId="5173DC73" w14:textId="2B598007" w:rsidR="006633A1" w:rsidRPr="00C3305C" w:rsidRDefault="006633A1" w:rsidP="006633A1">
      <w:pPr>
        <w:widowControl/>
        <w:ind w:firstLine="709"/>
        <w:contextualSpacing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C3305C"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  <w:t>Abstract.</w:t>
      </w:r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This article examines employment issues in the context of trends in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>polyworking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and sabbatical work among young people. It is shown that labor market development requires taking into account trends in instability employment and resource-saving behavior. The article also highlights the need to review hiring and retention practices, seniority calculations, and the system of providing social guarantees in employment.</w:t>
      </w:r>
    </w:p>
    <w:p w14:paraId="64DD0E81" w14:textId="77777777" w:rsidR="006633A1" w:rsidRPr="00C3305C" w:rsidRDefault="006633A1" w:rsidP="006633A1">
      <w:pPr>
        <w:widowControl/>
        <w:ind w:firstLine="709"/>
        <w:contextualSpacing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C3305C">
        <w:rPr>
          <w:rFonts w:ascii="Times New Roman" w:eastAsiaTheme="minorHAnsi" w:hAnsi="Times New Roman" w:cs="Times New Roman"/>
          <w:b/>
          <w:bCs/>
          <w:color w:val="auto"/>
          <w:lang w:val="en-US" w:eastAsia="en-US" w:bidi="ar-SA"/>
        </w:rPr>
        <w:t>Keywords:</w:t>
      </w:r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work,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>polyworking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>, sabbatical work, resource conservation, young people, work behavior.</w:t>
      </w:r>
    </w:p>
    <w:p w14:paraId="0F8245D4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2A2E3D"/>
          <w:lang w:val="en-US"/>
        </w:rPr>
      </w:pPr>
    </w:p>
    <w:p w14:paraId="13BD9D20" w14:textId="23915021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</w:rPr>
      </w:pPr>
      <w:r w:rsidRPr="006633A1">
        <w:rPr>
          <w:rFonts w:ascii="Times New Roman" w:eastAsia="Times New Roman" w:hAnsi="Times New Roman" w:cs="Times New Roman"/>
          <w:color w:val="auto"/>
        </w:rPr>
        <w:t xml:space="preserve">Информация об авторе </w:t>
      </w:r>
    </w:p>
    <w:p w14:paraId="6C41968F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proofErr w:type="spellStart"/>
      <w:r w:rsidRPr="006633A1">
        <w:rPr>
          <w:rFonts w:ascii="Times New Roman" w:eastAsia="Times New Roman" w:hAnsi="Times New Roman" w:cs="Times New Roman"/>
          <w:color w:val="auto"/>
          <w:lang w:val="en-US"/>
        </w:rPr>
        <w:t>Yakauleva</w:t>
      </w:r>
      <w:proofErr w:type="spellEnd"/>
      <w:r w:rsidRPr="006633A1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proofErr w:type="spellStart"/>
      <w:r w:rsidRPr="006633A1">
        <w:rPr>
          <w:rFonts w:ascii="Times New Roman" w:eastAsia="Times New Roman" w:hAnsi="Times New Roman" w:cs="Times New Roman"/>
          <w:color w:val="auto"/>
          <w:lang w:val="en-US"/>
        </w:rPr>
        <w:t>Natallia</w:t>
      </w:r>
      <w:proofErr w:type="spellEnd"/>
    </w:p>
    <w:p w14:paraId="2B39E629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r w:rsidRPr="006633A1">
        <w:rPr>
          <w:rFonts w:ascii="Times New Roman" w:eastAsia="Times New Roman" w:hAnsi="Times New Roman" w:cs="Times New Roman"/>
          <w:color w:val="auto"/>
          <w:lang w:val="en-US"/>
        </w:rPr>
        <w:t>Researcher</w:t>
      </w:r>
    </w:p>
    <w:p w14:paraId="673F7042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r w:rsidRPr="006633A1">
        <w:rPr>
          <w:rFonts w:ascii="Times New Roman" w:eastAsia="Times New Roman" w:hAnsi="Times New Roman" w:cs="Times New Roman"/>
          <w:color w:val="auto"/>
          <w:lang w:val="en-US"/>
        </w:rPr>
        <w:t>Institute of Sociology</w:t>
      </w:r>
    </w:p>
    <w:p w14:paraId="07C28B1E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r w:rsidRPr="006633A1">
        <w:rPr>
          <w:rFonts w:ascii="Times New Roman" w:eastAsia="Times New Roman" w:hAnsi="Times New Roman" w:cs="Times New Roman"/>
          <w:color w:val="auto"/>
          <w:lang w:val="en-US"/>
        </w:rPr>
        <w:t>The Academy of Sciences of Belarus, Minsk, Belarus</w:t>
      </w:r>
    </w:p>
    <w:p w14:paraId="4D5FAA08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auto"/>
          <w:lang w:val="en-US"/>
        </w:rPr>
      </w:pPr>
      <w:hyperlink r:id="rId8" w:history="1">
        <w:r w:rsidRPr="006633A1">
          <w:rPr>
            <w:rStyle w:val="a9"/>
            <w:rFonts w:ascii="Times New Roman" w:eastAsia="Times New Roman" w:hAnsi="Times New Roman" w:cs="Times New Roman"/>
            <w:color w:val="auto"/>
            <w:lang w:val="en-US"/>
          </w:rPr>
          <w:t>an.nata.an@gmail.com</w:t>
        </w:r>
      </w:hyperlink>
    </w:p>
    <w:p w14:paraId="6A0ACE38" w14:textId="77777777" w:rsidR="006633A1" w:rsidRPr="006633A1" w:rsidRDefault="006633A1" w:rsidP="006633A1">
      <w:pPr>
        <w:shd w:val="clear" w:color="auto" w:fill="FFFFFF"/>
        <w:ind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color w:val="2A2E3D"/>
          <w:lang w:val="en-US"/>
        </w:rPr>
      </w:pPr>
    </w:p>
    <w:p w14:paraId="3B9627F7" w14:textId="77777777" w:rsidR="006633A1" w:rsidRPr="006633A1" w:rsidRDefault="006633A1" w:rsidP="006633A1">
      <w:pPr>
        <w:shd w:val="clear" w:color="auto" w:fill="FFFFFF"/>
        <w:ind w:firstLine="709"/>
        <w:contextualSpacing/>
        <w:jc w:val="center"/>
        <w:textAlignment w:val="baseline"/>
        <w:rPr>
          <w:rFonts w:ascii="Times New Roman" w:eastAsia="Times New Roman" w:hAnsi="Times New Roman" w:cs="Times New Roman"/>
          <w:b/>
          <w:color w:val="2A2E3D"/>
          <w:lang w:val="en-US"/>
        </w:rPr>
      </w:pPr>
      <w:r w:rsidRPr="006633A1">
        <w:rPr>
          <w:rFonts w:ascii="Times New Roman" w:eastAsia="Times New Roman" w:hAnsi="Times New Roman" w:cs="Times New Roman"/>
          <w:b/>
          <w:color w:val="2A2E3D"/>
          <w:lang w:val="en-US"/>
        </w:rPr>
        <w:t>Bibliographic list</w:t>
      </w:r>
    </w:p>
    <w:p w14:paraId="0A87FE9C" w14:textId="77777777" w:rsidR="006633A1" w:rsidRPr="006633A1" w:rsidRDefault="006633A1" w:rsidP="006633A1">
      <w:pPr>
        <w:shd w:val="clear" w:color="auto" w:fill="FFFFFF"/>
        <w:ind w:firstLine="709"/>
        <w:contextualSpacing/>
        <w:jc w:val="center"/>
        <w:textAlignment w:val="baseline"/>
        <w:rPr>
          <w:rFonts w:ascii="Times New Roman" w:eastAsia="Times New Roman" w:hAnsi="Times New Roman" w:cs="Times New Roman"/>
          <w:b/>
          <w:color w:val="2A2E3D"/>
          <w:lang w:val="en-US"/>
        </w:rPr>
      </w:pPr>
    </w:p>
    <w:p w14:paraId="1E3F4BEA" w14:textId="191D42A0" w:rsidR="006633A1" w:rsidRDefault="006633A1" w:rsidP="006633A1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Anisimov, R. I. (2017). Labor in the uncertainty epoch. Sociological Research, (11), 44-52. DOI: 10.7868/S013216251711006X (In Russian).</w:t>
      </w:r>
    </w:p>
    <w:p w14:paraId="0CD46235" w14:textId="77777777" w:rsidR="00C3305C" w:rsidRDefault="00C3305C" w:rsidP="00C3305C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Research: Russians have stopped hiding their part-time jobs from their main employer [Electronic resource] // SKB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Kontur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, May 27, 2025 – https://kontur.ru/press/news/56593-rossiyane_perestali_skryvat_podrabotki (accessed: March 18, 2026).</w:t>
      </w:r>
    </w:p>
    <w:p w14:paraId="7D500E0C" w14:textId="77777777" w:rsidR="006633A1" w:rsidRPr="00C3305C" w:rsidRDefault="006633A1" w:rsidP="00C3305C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Pink, D. (2005). Nation of Free Agents. How New Independent Workers Are Changing America’s Life. </w:t>
      </w:r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Moscow: The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>secret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>of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>the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>firm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(In Russian).</w:t>
      </w:r>
    </w:p>
    <w:p w14:paraId="0337CB7D" w14:textId="77777777" w:rsidR="006633A1" w:rsidRPr="006633A1" w:rsidRDefault="006633A1" w:rsidP="006633A1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eastAsia="en-US" w:bidi="ar-SA"/>
        </w:rPr>
      </w:pP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lastRenderedPageBreak/>
        <w:t xml:space="preserve">Tikhonova, N. (2019). Precariat and Prospects for Changes in Russian Society Social Structure.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Sotsiologicheskie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issledovaniya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[</w:t>
      </w:r>
      <w:proofErr w:type="spellStart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>Sociological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eastAsia="en-US" w:bidi="ar-SA"/>
        </w:rPr>
        <w:t xml:space="preserve"> Studies], (2), 167-173. DOI: 10.31857/s013216250004023- 8 (In Russian)</w:t>
      </w:r>
    </w:p>
    <w:p w14:paraId="6BA06E85" w14:textId="77777777" w:rsidR="00C3305C" w:rsidRPr="006633A1" w:rsidRDefault="00C3305C" w:rsidP="00C3305C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proofErr w:type="spellStart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Polyworking</w:t>
      </w:r>
      <w:proofErr w:type="spellEnd"/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, June 2025 [Electronic resource] // monster work watch24 – </w:t>
      </w:r>
      <w:hyperlink r:id="rId9" w:history="1">
        <w:r w:rsidRPr="006633A1">
          <w:rPr>
            <w:rFonts w:ascii="Times New Roman" w:eastAsiaTheme="minorHAnsi" w:hAnsi="Times New Roman" w:cs="Times New Roman"/>
            <w:color w:val="auto"/>
            <w:lang w:val="en-US" w:eastAsia="en-US" w:bidi="ar-SA"/>
          </w:rPr>
          <w:t>https://monsterworkwatch24.my.canva.site/monster-poll-polyworking</w:t>
        </w:r>
      </w:hyperlink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(</w:t>
      </w:r>
      <w:r w:rsidRPr="006633A1">
        <w:rPr>
          <w:rFonts w:ascii="Times New Roman" w:eastAsia="Century Schoolbook" w:hAnsi="Times New Roman" w:cs="Times New Roman"/>
          <w:color w:val="auto"/>
          <w:kern w:val="2"/>
          <w:lang w:val="en" w:eastAsia="en-US" w:bidi="ar-SA"/>
          <w14:ligatures w14:val="standardContextual"/>
        </w:rPr>
        <w:t>accessed</w:t>
      </w:r>
      <w:r w:rsidRPr="006633A1">
        <w:rPr>
          <w:rFonts w:ascii="Times New Roman" w:eastAsiaTheme="minorHAnsi" w:hAnsi="Times New Roman" w:cs="Times New Roman"/>
          <w:color w:val="auto"/>
          <w:lang w:val="en-US" w:eastAsia="en-US" w:bidi="ar-SA"/>
        </w:rPr>
        <w:t>: 18.03.2026).</w:t>
      </w:r>
    </w:p>
    <w:p w14:paraId="473DBF4B" w14:textId="532A9B58" w:rsidR="00C3305C" w:rsidRPr="00C3305C" w:rsidRDefault="006633A1" w:rsidP="00C3305C">
      <w:pPr>
        <w:pStyle w:val="a3"/>
        <w:widowControl/>
        <w:numPr>
          <w:ilvl w:val="0"/>
          <w:numId w:val="2"/>
        </w:numPr>
        <w:ind w:firstLine="709"/>
        <w:jc w:val="both"/>
        <w:rPr>
          <w:rFonts w:ascii="Times New Roman" w:eastAsiaTheme="minorHAnsi" w:hAnsi="Times New Roman" w:cs="Times New Roman"/>
          <w:color w:val="auto"/>
          <w:lang w:val="en-US" w:eastAsia="en-US" w:bidi="ar-SA"/>
        </w:rPr>
      </w:pPr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Williams, N. </w:t>
      </w:r>
      <w:proofErr w:type="spellStart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>Polyworking</w:t>
      </w:r>
      <w:proofErr w:type="spellEnd"/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’—A New Term for a Very Bad (and Old) Thing / N. Williams // Institute for Family Studies, November 18, 2024// [Electronic resource]: </w:t>
      </w:r>
      <w:hyperlink r:id="rId10" w:history="1">
        <w:r w:rsidRPr="00C3305C">
          <w:rPr>
            <w:rFonts w:ascii="Times New Roman" w:eastAsiaTheme="minorHAnsi" w:hAnsi="Times New Roman" w:cs="Times New Roman"/>
            <w:color w:val="auto"/>
            <w:lang w:val="en-US" w:eastAsia="en-US" w:bidi="ar-SA"/>
          </w:rPr>
          <w:t>https://ifstudies.org/blog/polyworkinga-new-term-for-a-very-bad-and-old-thing</w:t>
        </w:r>
      </w:hyperlink>
      <w:r w:rsidRPr="00C3305C">
        <w:rPr>
          <w:rFonts w:ascii="Times New Roman" w:eastAsiaTheme="minorHAnsi" w:hAnsi="Times New Roman" w:cs="Times New Roman"/>
          <w:color w:val="auto"/>
          <w:lang w:val="en-US" w:eastAsia="en-US" w:bidi="ar-SA"/>
        </w:rPr>
        <w:t xml:space="preserve"> (accessed: 18.03.2026).</w:t>
      </w:r>
    </w:p>
    <w:sectPr w:rsidR="00C3305C" w:rsidRPr="00C3305C" w:rsidSect="006633A1">
      <w:headerReference w:type="even" r:id="rId11"/>
      <w:headerReference w:type="default" r:id="rId12"/>
      <w:pgSz w:w="11900" w:h="16840"/>
      <w:pgMar w:top="1134" w:right="1134" w:bottom="1134" w:left="1134" w:header="0" w:footer="3" w:gutter="0"/>
      <w:pgNumType w:start="113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1C433" w14:textId="77777777" w:rsidR="00776369" w:rsidRDefault="00B645B6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1AEFED31" wp14:editId="016B2661">
              <wp:simplePos x="0" y="0"/>
              <wp:positionH relativeFrom="page">
                <wp:posOffset>814705</wp:posOffset>
              </wp:positionH>
              <wp:positionV relativeFrom="page">
                <wp:posOffset>848360</wp:posOffset>
              </wp:positionV>
              <wp:extent cx="5577840" cy="18288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77840" cy="18288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5AA67B2" w14:textId="77777777" w:rsidR="00776369" w:rsidRPr="00B038A7" w:rsidRDefault="00B645B6">
                          <w:pPr>
                            <w:rPr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fldChar w:fldCharType="begin"/>
                          </w:r>
                          <w:r w:rsidRPr="00B038A7">
                            <w:rPr>
                              <w:lang w:val="en-US"/>
                            </w:rP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Pr="00B038A7">
                            <w:rPr>
                              <w:rFonts w:ascii="Arial" w:eastAsia="Arial" w:hAnsi="Arial" w:cs="Arial"/>
                              <w:sz w:val="26"/>
                              <w:szCs w:val="26"/>
                              <w:lang w:val="en-US"/>
                            </w:rPr>
                            <w:t>#</w:t>
                          </w:r>
                          <w:r>
                            <w:rPr>
                              <w:rFonts w:ascii="Arial" w:eastAsia="Arial" w:hAnsi="Arial" w:cs="Arial"/>
                              <w:sz w:val="26"/>
                              <w:szCs w:val="26"/>
                            </w:rPr>
                            <w:fldChar w:fldCharType="end"/>
                          </w:r>
                          <w:r w:rsidRPr="00B038A7">
                            <w:rPr>
                              <w:rFonts w:ascii="Arial" w:eastAsia="Arial" w:hAnsi="Arial" w:cs="Arial"/>
                              <w:sz w:val="26"/>
                              <w:szCs w:val="26"/>
                              <w:lang w:val="en-US"/>
                            </w:rPr>
                            <w:t xml:space="preserve"> 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В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>.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В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 xml:space="preserve">. 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Вольчик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 xml:space="preserve">, 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Е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>.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В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 xml:space="preserve">. </w:t>
                          </w:r>
                          <w:r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</w:rPr>
                            <w:t>Маслюкова</w:t>
                          </w:r>
                          <w:r w:rsidRPr="00B038A7">
                            <w:rPr>
                              <w:rFonts w:ascii="Franklin Gothic Book" w:eastAsia="Franklin Gothic Book" w:hAnsi="Franklin Gothic Book" w:cs="Franklin Gothic Book"/>
                              <w:sz w:val="26"/>
                              <w:szCs w:val="26"/>
                              <w:lang w:val="en-US"/>
                            </w:rPr>
                            <w:t xml:space="preserve"> / Journal of Institutional Studies, 12(4), 112-125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EFED31" id="_x0000_t202" coordsize="21600,21600" o:spt="202" path="m,l,21600r21600,l21600,xe">
              <v:stroke joinstyle="miter"/>
              <v:path gradientshapeok="t" o:connecttype="rect"/>
            </v:shapetype>
            <v:shape id="Shape 5" o:spid="_x0000_s1026" type="#_x0000_t202" style="position:absolute;margin-left:64.15pt;margin-top:66.8pt;width:439.2pt;height:14.4pt;z-index:-251656192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" filled="f" stroked="f">
              <v:textbox style="mso-fit-shape-to-text:t" inset="0,0,0,0">
                <w:txbxContent>
                  <w:p w14:paraId="65AA67B2" w14:textId="77777777" w:rsidR="00776369" w:rsidRPr="00B038A7" w:rsidRDefault="00B645B6">
                    <w:pPr>
                      <w:rPr>
                        <w:sz w:val="26"/>
                        <w:szCs w:val="26"/>
                        <w:lang w:val="en-US"/>
                      </w:rPr>
                    </w:pPr>
                    <w:r>
                      <w:fldChar w:fldCharType="begin"/>
                    </w:r>
                    <w:r w:rsidRPr="00B038A7">
                      <w:rPr>
                        <w:lang w:val="en-US"/>
                      </w:rPr>
                      <w:instrText xml:space="preserve"> PAGE \* MERGEFORMAT </w:instrText>
                    </w:r>
                    <w:r>
                      <w:fldChar w:fldCharType="separate"/>
                    </w:r>
                    <w:r w:rsidRPr="00B038A7">
                      <w:rPr>
                        <w:rFonts w:ascii="Arial" w:eastAsia="Arial" w:hAnsi="Arial" w:cs="Arial"/>
                        <w:sz w:val="26"/>
                        <w:szCs w:val="26"/>
                        <w:lang w:val="en-US"/>
                      </w:rPr>
                      <w:t>#</w:t>
                    </w:r>
                    <w:r>
                      <w:rPr>
                        <w:rFonts w:ascii="Arial" w:eastAsia="Arial" w:hAnsi="Arial" w:cs="Arial"/>
                        <w:sz w:val="26"/>
                        <w:szCs w:val="26"/>
                      </w:rPr>
                      <w:fldChar w:fldCharType="end"/>
                    </w:r>
                    <w:r w:rsidRPr="00B038A7">
                      <w:rPr>
                        <w:rFonts w:ascii="Arial" w:eastAsia="Arial" w:hAnsi="Arial" w:cs="Arial"/>
                        <w:sz w:val="26"/>
                        <w:szCs w:val="26"/>
                        <w:lang w:val="en-US"/>
                      </w:rPr>
                      <w:t xml:space="preserve"> 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В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>.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В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 xml:space="preserve">. 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Вольчик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 xml:space="preserve">, 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Е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>.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В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 xml:space="preserve">. </w:t>
                    </w:r>
                    <w:r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</w:rPr>
                      <w:t>Маслюкова</w:t>
                    </w:r>
                    <w:r w:rsidRPr="00B038A7">
                      <w:rPr>
                        <w:rFonts w:ascii="Franklin Gothic Book" w:eastAsia="Franklin Gothic Book" w:hAnsi="Franklin Gothic Book" w:cs="Franklin Gothic Book"/>
                        <w:sz w:val="26"/>
                        <w:szCs w:val="26"/>
                        <w:lang w:val="en-US"/>
                      </w:rPr>
                      <w:t xml:space="preserve"> / Journal of Institutional Studies, 12(4), 112-125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6AC05D9" wp14:editId="10690890">
              <wp:simplePos x="0" y="0"/>
              <wp:positionH relativeFrom="page">
                <wp:posOffset>796290</wp:posOffset>
              </wp:positionH>
              <wp:positionV relativeFrom="page">
                <wp:posOffset>1151890</wp:posOffset>
              </wp:positionV>
              <wp:extent cx="6760210" cy="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6021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06AA76C9" id="_x0000_t32" coordsize="21600,21600" o:spt="32" o:oned="t" path="m,l21600,21600e" filled="f">
              <v:path arrowok="t" fillok="f" o:connecttype="none"/>
              <o:lock v:ext="edit" shapetype="t"/>
            </v:shapetype>
            <v:shape id="Shape 7" o:spid="_x0000_s1026" type="#_x0000_t32" style="position:absolute;margin-left:62.7pt;margin-top:90.7pt;width:532.3pt;height:0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" strokeweight="1pt"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46555" w14:textId="77777777" w:rsidR="00776369" w:rsidRDefault="00B645B6">
    <w:pPr>
      <w:spacing w:line="1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373A06"/>
    <w:multiLevelType w:val="hybridMultilevel"/>
    <w:tmpl w:val="0AF0F5BE"/>
    <w:lvl w:ilvl="0" w:tplc="16B2337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C74C8"/>
    <w:multiLevelType w:val="hybridMultilevel"/>
    <w:tmpl w:val="D6DC6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3A1"/>
    <w:rsid w:val="006633A1"/>
    <w:rsid w:val="006C0B77"/>
    <w:rsid w:val="008242FF"/>
    <w:rsid w:val="00870751"/>
    <w:rsid w:val="00922C48"/>
    <w:rsid w:val="00B645B6"/>
    <w:rsid w:val="00B915B7"/>
    <w:rsid w:val="00C3305C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D58A3"/>
  <w15:chartTrackingRefBased/>
  <w15:docId w15:val="{739B8076-DDAC-4112-932A-F3E05B447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33A1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33A1"/>
    <w:pPr>
      <w:ind w:left="720"/>
      <w:contextualSpacing/>
    </w:pPr>
  </w:style>
  <w:style w:type="character" w:customStyle="1" w:styleId="a4">
    <w:name w:val="Основной текст_"/>
    <w:basedOn w:val="a0"/>
    <w:link w:val="1"/>
    <w:rsid w:val="006633A1"/>
    <w:rPr>
      <w:rFonts w:ascii="Century Schoolbook" w:eastAsia="Century Schoolbook" w:hAnsi="Century Schoolbook" w:cs="Century Schoolbook"/>
      <w:sz w:val="20"/>
      <w:szCs w:val="20"/>
    </w:rPr>
  </w:style>
  <w:style w:type="character" w:customStyle="1" w:styleId="3">
    <w:name w:val="Заголовок №3_"/>
    <w:basedOn w:val="a0"/>
    <w:link w:val="30"/>
    <w:rsid w:val="006633A1"/>
    <w:rPr>
      <w:rFonts w:ascii="Century Schoolbook" w:eastAsia="Century Schoolbook" w:hAnsi="Century Schoolbook" w:cs="Century Schoolbook"/>
      <w:b/>
      <w:bCs/>
      <w:sz w:val="20"/>
      <w:szCs w:val="20"/>
    </w:rPr>
  </w:style>
  <w:style w:type="character" w:customStyle="1" w:styleId="a5">
    <w:name w:val="Подпись к таблице_"/>
    <w:basedOn w:val="a0"/>
    <w:link w:val="a6"/>
    <w:rsid w:val="006633A1"/>
    <w:rPr>
      <w:rFonts w:ascii="Century Schoolbook" w:eastAsia="Century Schoolbook" w:hAnsi="Century Schoolbook" w:cs="Century Schoolbook"/>
      <w:b/>
      <w:bCs/>
      <w:sz w:val="18"/>
      <w:szCs w:val="18"/>
    </w:rPr>
  </w:style>
  <w:style w:type="character" w:customStyle="1" w:styleId="a7">
    <w:name w:val="Другое_"/>
    <w:basedOn w:val="a0"/>
    <w:link w:val="a8"/>
    <w:rsid w:val="006633A1"/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1">
    <w:name w:val="Основной текст1"/>
    <w:basedOn w:val="a"/>
    <w:link w:val="a4"/>
    <w:rsid w:val="006633A1"/>
    <w:pPr>
      <w:spacing w:line="259" w:lineRule="auto"/>
      <w:ind w:firstLine="360"/>
    </w:pPr>
    <w:rPr>
      <w:rFonts w:ascii="Century Schoolbook" w:eastAsia="Century Schoolbook" w:hAnsi="Century Schoolbook" w:cs="Century Schoolbook"/>
      <w:color w:val="auto"/>
      <w:sz w:val="20"/>
      <w:szCs w:val="20"/>
      <w:lang w:eastAsia="en-US" w:bidi="ar-SA"/>
    </w:rPr>
  </w:style>
  <w:style w:type="paragraph" w:customStyle="1" w:styleId="30">
    <w:name w:val="Заголовок №3"/>
    <w:basedOn w:val="a"/>
    <w:link w:val="3"/>
    <w:rsid w:val="006633A1"/>
    <w:pPr>
      <w:spacing w:line="259" w:lineRule="auto"/>
      <w:jc w:val="center"/>
      <w:outlineLvl w:val="2"/>
    </w:pPr>
    <w:rPr>
      <w:rFonts w:ascii="Century Schoolbook" w:eastAsia="Century Schoolbook" w:hAnsi="Century Schoolbook" w:cs="Century Schoolbook"/>
      <w:b/>
      <w:bCs/>
      <w:color w:val="auto"/>
      <w:sz w:val="20"/>
      <w:szCs w:val="20"/>
      <w:lang w:eastAsia="en-US" w:bidi="ar-SA"/>
    </w:rPr>
  </w:style>
  <w:style w:type="paragraph" w:customStyle="1" w:styleId="a6">
    <w:name w:val="Подпись к таблице"/>
    <w:basedOn w:val="a"/>
    <w:link w:val="a5"/>
    <w:rsid w:val="006633A1"/>
    <w:rPr>
      <w:rFonts w:ascii="Century Schoolbook" w:eastAsia="Century Schoolbook" w:hAnsi="Century Schoolbook" w:cs="Century Schoolbook"/>
      <w:b/>
      <w:bCs/>
      <w:color w:val="auto"/>
      <w:sz w:val="18"/>
      <w:szCs w:val="18"/>
      <w:lang w:eastAsia="en-US" w:bidi="ar-SA"/>
    </w:rPr>
  </w:style>
  <w:style w:type="paragraph" w:customStyle="1" w:styleId="a8">
    <w:name w:val="Другое"/>
    <w:basedOn w:val="a"/>
    <w:link w:val="a7"/>
    <w:rsid w:val="006633A1"/>
    <w:pPr>
      <w:spacing w:line="259" w:lineRule="auto"/>
      <w:ind w:firstLine="360"/>
    </w:pPr>
    <w:rPr>
      <w:rFonts w:ascii="Century Schoolbook" w:eastAsia="Century Schoolbook" w:hAnsi="Century Schoolbook" w:cs="Century Schoolbook"/>
      <w:color w:val="auto"/>
      <w:sz w:val="20"/>
      <w:szCs w:val="20"/>
      <w:lang w:eastAsia="en-US" w:bidi="ar-SA"/>
    </w:rPr>
  </w:style>
  <w:style w:type="character" w:styleId="a9">
    <w:name w:val="Hyperlink"/>
    <w:basedOn w:val="a0"/>
    <w:uiPriority w:val="99"/>
    <w:unhideWhenUsed/>
    <w:rsid w:val="006633A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.nata.an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fstudies.org/blog/polyworkinga-new-term-for-a-very-bad-and-old-thing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nsterworkwatch24.my.canva.site/monster-poll-polyworking" TargetMode="External"/><Relationship Id="rId11" Type="http://schemas.openxmlformats.org/officeDocument/2006/relationships/header" Target="header1.xml"/><Relationship Id="rId5" Type="http://schemas.openxmlformats.org/officeDocument/2006/relationships/hyperlink" Target="https://kontur.ru/press/news/56593-rossiyane_perestali_skryvat_podrabotki" TargetMode="External"/><Relationship Id="rId10" Type="http://schemas.openxmlformats.org/officeDocument/2006/relationships/hyperlink" Target="https://ifstudies.org/blog/polyworkinga-new-term-for-a-very-bad-and-old-thi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onsterworkwatch24.my.canva.site/monster-poll-polyworki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2185</Words>
  <Characters>12460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2026-03-27T15:33:00Z</dcterms:created>
  <dcterms:modified xsi:type="dcterms:W3CDTF">2026-03-27T15:51:00Z</dcterms:modified>
</cp:coreProperties>
</file>