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B22292" w:rsidRDefault="00000000">
      <w:pPr>
        <w:pStyle w:val="2"/>
      </w:pPr>
      <w:r w:rsidRPr="00365646">
        <w:t xml:space="preserve">УДК </w:t>
      </w:r>
      <w:r w:rsidR="00A14B8D" w:rsidRPr="00365646">
        <w:t>316.334.22</w:t>
      </w:r>
      <w:r w:rsidRPr="00365646">
        <w:t xml:space="preserve"> / ББК </w:t>
      </w:r>
      <w:r w:rsidR="00A14B8D" w:rsidRPr="00365646">
        <w:t>60.561.2</w:t>
      </w:r>
    </w:p>
    <w:p w:rsidR="00B22292" w:rsidRDefault="00682991">
      <w:pPr>
        <w:spacing w:after="0" w:line="240" w:lineRule="auto"/>
        <w:jc w:val="right"/>
        <w:rPr>
          <w:rFonts w:ascii="Times New Roman" w:hAnsi="Times New Roman" w:cs="Times New Roman"/>
          <w:b/>
          <w:sz w:val="24"/>
          <w:szCs w:val="24"/>
        </w:rPr>
      </w:pPr>
      <w:proofErr w:type="spellStart"/>
      <w:r>
        <w:rPr>
          <w:rFonts w:ascii="Times New Roman" w:hAnsi="Times New Roman" w:cs="Times New Roman"/>
          <w:b/>
          <w:sz w:val="24"/>
          <w:szCs w:val="24"/>
        </w:rPr>
        <w:t>Запащиков</w:t>
      </w:r>
      <w:proofErr w:type="spellEnd"/>
      <w:r>
        <w:rPr>
          <w:rFonts w:ascii="Times New Roman" w:hAnsi="Times New Roman" w:cs="Times New Roman"/>
          <w:b/>
          <w:sz w:val="24"/>
          <w:szCs w:val="24"/>
        </w:rPr>
        <w:t xml:space="preserve"> С.П.</w:t>
      </w:r>
    </w:p>
    <w:p w:rsidR="00682991" w:rsidRDefault="0047717C">
      <w:pPr>
        <w:spacing w:after="0" w:line="240" w:lineRule="auto"/>
        <w:jc w:val="center"/>
        <w:rPr>
          <w:rFonts w:ascii="Times New Roman" w:hAnsi="Times New Roman" w:cs="Times New Roman"/>
          <w:b/>
          <w:bCs/>
          <w:sz w:val="24"/>
          <w:szCs w:val="24"/>
        </w:rPr>
      </w:pPr>
      <w:bookmarkStart w:id="0" w:name="_Toc132353867"/>
      <w:bookmarkStart w:id="1" w:name="_Hlk129337751"/>
      <w:bookmarkEnd w:id="0"/>
      <w:bookmarkEnd w:id="1"/>
      <w:r w:rsidRPr="0047717C">
        <w:rPr>
          <w:rFonts w:ascii="Times New Roman" w:hAnsi="Times New Roman" w:cs="Times New Roman"/>
          <w:b/>
          <w:bCs/>
          <w:sz w:val="24"/>
          <w:szCs w:val="24"/>
        </w:rPr>
        <w:t>ПОВСЕДНЕВНОСТЬ И ОРГАНИЗАЦИЯ ТРУДА: СОЦИОЛОГИЧЕСКИЙ АНАЛИЗ СТРУКТУРЫ РАБОЧЕГО ДНЯ ВАХТОВЫХ РАБОТНИКОВ</w:t>
      </w:r>
    </w:p>
    <w:p w:rsidR="00B22292" w:rsidRDefault="00B22292">
      <w:pPr>
        <w:spacing w:after="0" w:line="240" w:lineRule="auto"/>
        <w:ind w:firstLine="709"/>
        <w:jc w:val="both"/>
        <w:rPr>
          <w:rFonts w:ascii="Times New Roman" w:hAnsi="Times New Roman" w:cs="Times New Roman"/>
          <w:b/>
          <w:bCs/>
          <w:iCs/>
          <w:sz w:val="24"/>
          <w:szCs w:val="24"/>
        </w:rPr>
      </w:pPr>
    </w:p>
    <w:p w:rsidR="00B22292" w:rsidRDefault="00000000" w:rsidP="003C548D">
      <w:pPr>
        <w:spacing w:after="0" w:line="240" w:lineRule="auto"/>
        <w:ind w:firstLine="709"/>
        <w:jc w:val="both"/>
        <w:rPr>
          <w:rFonts w:ascii="Times New Roman" w:hAnsi="Times New Roman" w:cs="Times New Roman"/>
          <w:bCs/>
          <w:sz w:val="24"/>
          <w:szCs w:val="24"/>
        </w:rPr>
      </w:pPr>
      <w:r>
        <w:rPr>
          <w:rFonts w:ascii="Times New Roman" w:hAnsi="Times New Roman" w:cs="Times New Roman"/>
          <w:b/>
          <w:bCs/>
          <w:sz w:val="24"/>
          <w:szCs w:val="24"/>
        </w:rPr>
        <w:t>Аннотация.</w:t>
      </w:r>
      <w:r>
        <w:rPr>
          <w:rFonts w:ascii="Times New Roman" w:hAnsi="Times New Roman" w:cs="Times New Roman"/>
          <w:bCs/>
          <w:sz w:val="24"/>
          <w:szCs w:val="24"/>
        </w:rPr>
        <w:t xml:space="preserve"> </w:t>
      </w:r>
      <w:r w:rsidR="0047717C" w:rsidRPr="0047717C">
        <w:rPr>
          <w:rFonts w:ascii="Times New Roman" w:hAnsi="Times New Roman" w:cs="Times New Roman"/>
          <w:bCs/>
          <w:sz w:val="24"/>
          <w:szCs w:val="24"/>
        </w:rPr>
        <w:t xml:space="preserve">В работе рассматриваются особенности повседневной организации рабочего времени вахтовых работников нефтегазовой отрасли на основе включённого наблюдения. Анализ фокусируется на соотношении формально регламентированных процедур и неформальных практик координации, обеспечивающих выполнение производственных задач в условиях пространственной изоляции и ограниченности ресурсов. </w:t>
      </w:r>
      <w:r>
        <w:rPr>
          <w:rFonts w:ascii="Times New Roman" w:hAnsi="Times New Roman" w:cs="Times New Roman"/>
          <w:b/>
          <w:bCs/>
          <w:sz w:val="24"/>
          <w:szCs w:val="24"/>
        </w:rPr>
        <w:t>Ключевые слова:</w:t>
      </w:r>
      <w:r>
        <w:rPr>
          <w:rFonts w:ascii="Times New Roman" w:hAnsi="Times New Roman" w:cs="Times New Roman"/>
          <w:bCs/>
          <w:sz w:val="24"/>
          <w:szCs w:val="24"/>
        </w:rPr>
        <w:t xml:space="preserve"> </w:t>
      </w:r>
      <w:r w:rsidR="003C548D" w:rsidRPr="003C548D">
        <w:rPr>
          <w:rFonts w:ascii="Times New Roman" w:hAnsi="Times New Roman" w:cs="Times New Roman"/>
          <w:bCs/>
          <w:sz w:val="24"/>
          <w:szCs w:val="24"/>
        </w:rPr>
        <w:t>вахтовый труд, трудовой ритм, повседневность, неформальные практики, социальная координация, Крайний Север, организационная культура</w:t>
      </w:r>
      <w:r w:rsidR="00111DE1">
        <w:rPr>
          <w:rFonts w:ascii="Times New Roman" w:hAnsi="Times New Roman" w:cs="Times New Roman"/>
          <w:bCs/>
          <w:sz w:val="24"/>
          <w:szCs w:val="24"/>
        </w:rPr>
        <w:t>.</w:t>
      </w:r>
    </w:p>
    <w:p w:rsidR="003C548D" w:rsidRDefault="003C548D" w:rsidP="003C548D">
      <w:pPr>
        <w:spacing w:after="0" w:line="240" w:lineRule="auto"/>
        <w:ind w:firstLine="709"/>
        <w:jc w:val="both"/>
        <w:rPr>
          <w:rFonts w:ascii="Times New Roman" w:hAnsi="Times New Roman" w:cs="Times New Roman"/>
          <w:bCs/>
          <w:iCs/>
          <w:sz w:val="24"/>
          <w:szCs w:val="24"/>
        </w:rPr>
      </w:pPr>
    </w:p>
    <w:p w:rsidR="0047717C" w:rsidRPr="0047717C" w:rsidRDefault="0047717C" w:rsidP="0047717C">
      <w:pPr>
        <w:spacing w:after="0" w:line="240" w:lineRule="auto"/>
        <w:ind w:firstLine="709"/>
        <w:jc w:val="both"/>
        <w:rPr>
          <w:rFonts w:ascii="Times New Roman" w:hAnsi="Times New Roman" w:cs="Times New Roman"/>
          <w:bCs/>
          <w:iCs/>
          <w:sz w:val="24"/>
          <w:szCs w:val="24"/>
        </w:rPr>
      </w:pPr>
      <w:r w:rsidRPr="0047717C">
        <w:rPr>
          <w:rFonts w:ascii="Times New Roman" w:hAnsi="Times New Roman" w:cs="Times New Roman"/>
          <w:bCs/>
          <w:iCs/>
          <w:sz w:val="24"/>
          <w:szCs w:val="24"/>
        </w:rPr>
        <w:t>Вахтовый метод занятости представляет собой специфическую форму организации труда, предполагающую длительное пребывание работников в удалённых производственных зонах и чередование периодов интенсивной занятости и отдыха вне места постоянного проживания. В научной литературе основное внимание уделяется влиянию сменного режима и изоляции на физическое и психологическое состояние работников, а также на баланс между работой и личной жизнью [3]. Однако внутренняя организация повседневной трудовой деятельности и механизмы координации действий внутри производственных коллективов в условиях вахты остаются менее исследованными. В отечественной социологии труда данная проблематика частично затрагивается в работах Анатолий Николаевич Силин, где акцентируется внимание на специфике трудовых практик и социальной организации вахтовых коллективов [</w:t>
      </w:r>
      <w:r>
        <w:rPr>
          <w:rFonts w:ascii="Times New Roman" w:hAnsi="Times New Roman" w:cs="Times New Roman"/>
          <w:bCs/>
          <w:iCs/>
          <w:sz w:val="24"/>
          <w:szCs w:val="24"/>
        </w:rPr>
        <w:t>1</w:t>
      </w:r>
      <w:r w:rsidRPr="0047717C">
        <w:rPr>
          <w:rFonts w:ascii="Times New Roman" w:hAnsi="Times New Roman" w:cs="Times New Roman"/>
          <w:bCs/>
          <w:iCs/>
          <w:sz w:val="24"/>
          <w:szCs w:val="24"/>
        </w:rPr>
        <w:t>].</w:t>
      </w:r>
    </w:p>
    <w:p w:rsidR="0047717C" w:rsidRDefault="0047717C" w:rsidP="0047717C">
      <w:pPr>
        <w:spacing w:after="0" w:line="240" w:lineRule="auto"/>
        <w:ind w:firstLine="709"/>
        <w:jc w:val="both"/>
        <w:rPr>
          <w:rFonts w:ascii="Times New Roman" w:hAnsi="Times New Roman" w:cs="Times New Roman"/>
          <w:bCs/>
          <w:iCs/>
          <w:sz w:val="24"/>
          <w:szCs w:val="24"/>
        </w:rPr>
      </w:pPr>
      <w:r w:rsidRPr="0047717C">
        <w:rPr>
          <w:rFonts w:ascii="Times New Roman" w:hAnsi="Times New Roman" w:cs="Times New Roman"/>
          <w:bCs/>
          <w:iCs/>
          <w:sz w:val="24"/>
          <w:szCs w:val="24"/>
        </w:rPr>
        <w:t>Настоящее исследование направлено на анализ структуры рабочего дня вахтовых работников и выявление механизмов согласования действий в процессе повседневной организации труда. Эмпирической основой послужило включённое наблюдение, проведённое на нефтегазовом объекте в условиях вахтового режима. Исследователь находился внутри производственного процесса, что позволило фиксировать повседневные действия, способы распределения задач и формы взаимодействия между работниками. Материал носит ограниченный характер, однако позволяет выявить устойчивые паттерны организации рабочего времени.</w:t>
      </w:r>
      <w:r>
        <w:rPr>
          <w:rFonts w:ascii="Times New Roman" w:hAnsi="Times New Roman" w:cs="Times New Roman"/>
          <w:bCs/>
          <w:iCs/>
          <w:sz w:val="24"/>
          <w:szCs w:val="24"/>
        </w:rPr>
        <w:t xml:space="preserve"> </w:t>
      </w:r>
      <w:r w:rsidRPr="0047717C">
        <w:rPr>
          <w:rFonts w:ascii="Times New Roman" w:hAnsi="Times New Roman" w:cs="Times New Roman"/>
          <w:bCs/>
          <w:iCs/>
          <w:sz w:val="24"/>
          <w:szCs w:val="24"/>
        </w:rPr>
        <w:t xml:space="preserve">Анализ показывает, что рабочий день формируется как последовательность повторяющихся действий, сочетающих формальные требования и неформальные способы их реализации. </w:t>
      </w:r>
    </w:p>
    <w:p w:rsidR="0047717C" w:rsidRPr="0047717C" w:rsidRDefault="0047717C" w:rsidP="0047717C">
      <w:pPr>
        <w:spacing w:after="0" w:line="240" w:lineRule="auto"/>
        <w:ind w:firstLine="709"/>
        <w:jc w:val="both"/>
        <w:rPr>
          <w:rFonts w:ascii="Times New Roman" w:hAnsi="Times New Roman" w:cs="Times New Roman"/>
          <w:bCs/>
          <w:iCs/>
          <w:sz w:val="24"/>
          <w:szCs w:val="24"/>
        </w:rPr>
      </w:pPr>
      <w:r w:rsidRPr="0047717C">
        <w:rPr>
          <w:rFonts w:ascii="Times New Roman" w:hAnsi="Times New Roman" w:cs="Times New Roman"/>
          <w:bCs/>
          <w:iCs/>
          <w:sz w:val="24"/>
          <w:szCs w:val="24"/>
        </w:rPr>
        <w:t>Начало смены сопровождается обязательными процедурами учёта присутствия, задающими рамки включения в рабочий процесс. На этом этапе проявляется жёсткая регламентация: соблюдение формальных требований является условием допуска к дальнейшей деятельности.</w:t>
      </w:r>
      <w:r>
        <w:rPr>
          <w:rFonts w:ascii="Times New Roman" w:hAnsi="Times New Roman" w:cs="Times New Roman"/>
          <w:bCs/>
          <w:iCs/>
          <w:sz w:val="24"/>
          <w:szCs w:val="24"/>
        </w:rPr>
        <w:t xml:space="preserve"> </w:t>
      </w:r>
      <w:r w:rsidRPr="0047717C">
        <w:rPr>
          <w:rFonts w:ascii="Times New Roman" w:hAnsi="Times New Roman" w:cs="Times New Roman"/>
          <w:bCs/>
          <w:iCs/>
          <w:sz w:val="24"/>
          <w:szCs w:val="24"/>
        </w:rPr>
        <w:t>В то же время уже в начале смены возникает необходимость в неформальном согласовании действий. Например, при распределении выездов на объекты и использовании ограниченных транспортных ресурсов работники уточняют порядок выполнения задач в устной форме, ориентируясь не только на предписания, но и на текущую ситуацию. Подобные практики демонстрируют, что формальная структура не задаёт полностью порядок действий, а требует постоянного воспроизводства через взаимодействие.</w:t>
      </w:r>
    </w:p>
    <w:p w:rsidR="0047717C" w:rsidRPr="0047717C" w:rsidRDefault="0047717C" w:rsidP="00BD1F67">
      <w:pPr>
        <w:spacing w:after="0" w:line="240" w:lineRule="auto"/>
        <w:jc w:val="both"/>
        <w:rPr>
          <w:rFonts w:ascii="Times New Roman" w:hAnsi="Times New Roman" w:cs="Times New Roman"/>
          <w:bCs/>
          <w:iCs/>
          <w:sz w:val="24"/>
          <w:szCs w:val="24"/>
        </w:rPr>
      </w:pPr>
      <w:r w:rsidRPr="0047717C">
        <w:rPr>
          <w:rFonts w:ascii="Times New Roman" w:hAnsi="Times New Roman" w:cs="Times New Roman"/>
          <w:bCs/>
          <w:iCs/>
          <w:sz w:val="24"/>
          <w:szCs w:val="24"/>
        </w:rPr>
        <w:t>В первой половине дня значительная часть времени связана с подготовкой и координацией выездов. Ограниченность ресурсов (транспорт, оборудование, временные окна) делает их распределение предметом горизонтальных договорённостей. В отдельных случаях наблюдаются расхождения в ожиданиях работников относительно приоритетности задач, что приводит к напряжённости и словесным конфликтам, разрешаемым непосредственно в процессе взаимодействия.</w:t>
      </w:r>
      <w:r>
        <w:rPr>
          <w:rFonts w:ascii="Times New Roman" w:hAnsi="Times New Roman" w:cs="Times New Roman"/>
          <w:bCs/>
          <w:iCs/>
          <w:sz w:val="24"/>
          <w:szCs w:val="24"/>
        </w:rPr>
        <w:t xml:space="preserve"> </w:t>
      </w:r>
      <w:r w:rsidRPr="0047717C">
        <w:rPr>
          <w:rFonts w:ascii="Times New Roman" w:hAnsi="Times New Roman" w:cs="Times New Roman"/>
          <w:bCs/>
          <w:iCs/>
          <w:sz w:val="24"/>
          <w:szCs w:val="24"/>
        </w:rPr>
        <w:t xml:space="preserve">Обеденный перерыв, формально закреплённый в структуре рабочего дня, выполняет не только функцию восстановления работоспособности, но и играет </w:t>
      </w:r>
      <w:r w:rsidRPr="0047717C">
        <w:rPr>
          <w:rFonts w:ascii="Times New Roman" w:hAnsi="Times New Roman" w:cs="Times New Roman"/>
          <w:bCs/>
          <w:iCs/>
          <w:sz w:val="24"/>
          <w:szCs w:val="24"/>
        </w:rPr>
        <w:lastRenderedPageBreak/>
        <w:t>роль элемента организационной координации. Различие графиков для отдельных подразделений позволяет перераспределять потоки работников и снижать нагрузку на инфраструктуру, что демонстрирует управляемый характер повседневных перемещений внутри производственной среды.</w:t>
      </w:r>
    </w:p>
    <w:p w:rsidR="00030AFC" w:rsidRPr="00030AFC" w:rsidRDefault="0047717C" w:rsidP="00111DE1">
      <w:pPr>
        <w:spacing w:after="0" w:line="240" w:lineRule="auto"/>
        <w:ind w:firstLine="709"/>
        <w:jc w:val="both"/>
        <w:rPr>
          <w:rFonts w:ascii="Times New Roman" w:hAnsi="Times New Roman" w:cs="Times New Roman"/>
          <w:bCs/>
          <w:iCs/>
          <w:sz w:val="24"/>
          <w:szCs w:val="24"/>
        </w:rPr>
      </w:pPr>
      <w:r w:rsidRPr="0047717C">
        <w:rPr>
          <w:rFonts w:ascii="Times New Roman" w:hAnsi="Times New Roman" w:cs="Times New Roman"/>
          <w:bCs/>
          <w:iCs/>
          <w:sz w:val="24"/>
          <w:szCs w:val="24"/>
        </w:rPr>
        <w:t>Во второй половине рабочего дня происходит переход от стадии планирования и координации к стадии непосредственного выполнения производственных задач на объектах. Именно на этом этапе наиболее отчётливо проявляется зависимость деятельности от ранее сформированных неформальных договорённостей. Если в первой половине дня эти договорённости выступают как средство распределения ресурсов и задач, то во второй — как условие их практической реализуемости.</w:t>
      </w:r>
      <w:r>
        <w:rPr>
          <w:rFonts w:ascii="Times New Roman" w:hAnsi="Times New Roman" w:cs="Times New Roman"/>
          <w:bCs/>
          <w:iCs/>
          <w:sz w:val="24"/>
          <w:szCs w:val="24"/>
        </w:rPr>
        <w:t xml:space="preserve"> </w:t>
      </w:r>
      <w:r w:rsidRPr="0047717C">
        <w:rPr>
          <w:rFonts w:ascii="Times New Roman" w:hAnsi="Times New Roman" w:cs="Times New Roman"/>
          <w:bCs/>
          <w:iCs/>
          <w:sz w:val="24"/>
          <w:szCs w:val="24"/>
        </w:rPr>
        <w:t xml:space="preserve">При этом выявляется ключевая особенность: неформальные соглашения обладают ограниченной устойчивостью и подвержены постоянному пересмотру. Причинами этого выступают как объективные факторы </w:t>
      </w:r>
      <w:r w:rsidR="00111DE1">
        <w:rPr>
          <w:rFonts w:ascii="Times New Roman" w:hAnsi="Times New Roman" w:cs="Times New Roman"/>
          <w:bCs/>
          <w:iCs/>
          <w:sz w:val="24"/>
          <w:szCs w:val="24"/>
        </w:rPr>
        <w:t xml:space="preserve">- </w:t>
      </w:r>
      <w:r w:rsidRPr="0047717C">
        <w:rPr>
          <w:rFonts w:ascii="Times New Roman" w:hAnsi="Times New Roman" w:cs="Times New Roman"/>
          <w:bCs/>
          <w:iCs/>
          <w:sz w:val="24"/>
          <w:szCs w:val="24"/>
        </w:rPr>
        <w:t xml:space="preserve">задержки транспорта, изменение производственных приоритетов, технические сбои, так и субъективные </w:t>
      </w:r>
      <w:r w:rsidR="00111DE1">
        <w:rPr>
          <w:rFonts w:ascii="Times New Roman" w:hAnsi="Times New Roman" w:cs="Times New Roman"/>
          <w:bCs/>
          <w:iCs/>
          <w:sz w:val="24"/>
          <w:szCs w:val="24"/>
        </w:rPr>
        <w:t xml:space="preserve">- </w:t>
      </w:r>
      <w:r w:rsidRPr="0047717C">
        <w:rPr>
          <w:rFonts w:ascii="Times New Roman" w:hAnsi="Times New Roman" w:cs="Times New Roman"/>
          <w:bCs/>
          <w:iCs/>
          <w:sz w:val="24"/>
          <w:szCs w:val="24"/>
        </w:rPr>
        <w:t>различие в интерпретации договорённостей участниками, конкуренция за ресурсы. В результате возникает ситуация, в которой первоначально согласованный порядок действий теряет свою актуальность и требует оперативной корректировки.</w:t>
      </w:r>
      <w:r>
        <w:rPr>
          <w:rFonts w:ascii="Times New Roman" w:hAnsi="Times New Roman" w:cs="Times New Roman"/>
          <w:bCs/>
          <w:iCs/>
          <w:sz w:val="24"/>
          <w:szCs w:val="24"/>
        </w:rPr>
        <w:t xml:space="preserve"> </w:t>
      </w:r>
      <w:r w:rsidRPr="0047717C">
        <w:rPr>
          <w:rFonts w:ascii="Times New Roman" w:hAnsi="Times New Roman" w:cs="Times New Roman"/>
          <w:bCs/>
          <w:iCs/>
          <w:sz w:val="24"/>
          <w:szCs w:val="24"/>
        </w:rPr>
        <w:t xml:space="preserve">Такой характер взаимодействия позволяет рассматривать координацию труда не как статическую систему, основанную на следовании инструкциям, а как динамический процесс, разворачивающийся в реальном времени. </w:t>
      </w:r>
      <w:r w:rsidR="00030AFC" w:rsidRPr="00030AFC">
        <w:rPr>
          <w:rFonts w:ascii="Times New Roman" w:hAnsi="Times New Roman" w:cs="Times New Roman"/>
          <w:bCs/>
          <w:iCs/>
          <w:sz w:val="24"/>
          <w:szCs w:val="24"/>
        </w:rPr>
        <w:t>Особое значение имеет тот факт, что зависимость от неформальных договорённостей усиливается именно на стадии выполнения задач. Это указывает на разрыв между формально заданной моделью организации труда и её практической реализацией. Формальные инструкции задают лишь общий каркас деятельности, тогда как конкретное содержание работы определяется в процессе взаимодействия. Таким образом, неформальные практики выступают не дополнением, а необходимым условием функционирования производственного процесса.</w:t>
      </w:r>
    </w:p>
    <w:p w:rsidR="00030AFC" w:rsidRDefault="00030AFC" w:rsidP="00030AFC">
      <w:pPr>
        <w:spacing w:after="0" w:line="240" w:lineRule="auto"/>
        <w:ind w:firstLine="709"/>
        <w:jc w:val="both"/>
        <w:rPr>
          <w:rFonts w:ascii="Times New Roman" w:hAnsi="Times New Roman" w:cs="Times New Roman"/>
          <w:bCs/>
          <w:iCs/>
          <w:sz w:val="24"/>
          <w:szCs w:val="24"/>
        </w:rPr>
      </w:pPr>
      <w:r w:rsidRPr="00030AFC">
        <w:rPr>
          <w:rFonts w:ascii="Times New Roman" w:hAnsi="Times New Roman" w:cs="Times New Roman"/>
          <w:bCs/>
          <w:iCs/>
          <w:sz w:val="24"/>
          <w:szCs w:val="24"/>
        </w:rPr>
        <w:t>Второй важный аспект связан с размытостью границ рабочего времени. Формально рабочий день ограничен установленной продолжительностью смены, однако в реальности его завершение определяется логикой выполнения задач. Это означает, что временные рамки труда подчиняются не нормативной регуляции, а производственной целесообразности.</w:t>
      </w:r>
      <w:r>
        <w:rPr>
          <w:rFonts w:ascii="Times New Roman" w:hAnsi="Times New Roman" w:cs="Times New Roman"/>
          <w:bCs/>
          <w:iCs/>
          <w:sz w:val="24"/>
          <w:szCs w:val="24"/>
        </w:rPr>
        <w:t xml:space="preserve"> </w:t>
      </w:r>
      <w:r w:rsidRPr="00030AFC">
        <w:rPr>
          <w:rFonts w:ascii="Times New Roman" w:hAnsi="Times New Roman" w:cs="Times New Roman"/>
          <w:bCs/>
          <w:iCs/>
          <w:sz w:val="24"/>
          <w:szCs w:val="24"/>
        </w:rPr>
        <w:t>В результате рабочее время приобретает контекстуальный характер: его длительность и интенсивность варьируются в зависимости от текущей ситуации. Такая гибкость, с одной стороны, обеспечивает адаптивность производственного процесса, позволяя реагировать на изменения условий, а с другой — создаёт дополнительную нагрузку на работников, поскольку снижает предсказуемость их занятости.</w:t>
      </w:r>
      <w:r>
        <w:rPr>
          <w:rFonts w:ascii="Times New Roman" w:hAnsi="Times New Roman" w:cs="Times New Roman"/>
          <w:bCs/>
          <w:iCs/>
          <w:sz w:val="24"/>
          <w:szCs w:val="24"/>
        </w:rPr>
        <w:t xml:space="preserve"> </w:t>
      </w:r>
      <w:r w:rsidRPr="00030AFC">
        <w:rPr>
          <w:rFonts w:ascii="Times New Roman" w:hAnsi="Times New Roman" w:cs="Times New Roman"/>
          <w:bCs/>
          <w:iCs/>
          <w:sz w:val="24"/>
          <w:szCs w:val="24"/>
        </w:rPr>
        <w:t>Подобная организация времени может быть интерпретирована как проявление расширения рабочего дня за пределы формальных границ, при котором труд перестаёт быть строго локализованным во временных рамках смены. В условиях вахтового режима это усиливается пространственной изоляцией работников и ограниченностью альтернативных форм деятельности, что фактически приводит к доминированию трудовой логики в структуре повседневности.</w:t>
      </w:r>
    </w:p>
    <w:p w:rsidR="0047717C" w:rsidRPr="00111DE1" w:rsidRDefault="0047717C" w:rsidP="00111DE1">
      <w:pPr>
        <w:spacing w:after="0" w:line="240" w:lineRule="auto"/>
        <w:ind w:firstLine="709"/>
        <w:jc w:val="both"/>
        <w:rPr>
          <w:rFonts w:ascii="Times New Roman" w:hAnsi="Times New Roman" w:cs="Times New Roman"/>
          <w:bCs/>
          <w:iCs/>
          <w:sz w:val="24"/>
          <w:szCs w:val="24"/>
        </w:rPr>
      </w:pPr>
      <w:r w:rsidRPr="0047717C">
        <w:rPr>
          <w:rFonts w:ascii="Times New Roman" w:hAnsi="Times New Roman" w:cs="Times New Roman"/>
          <w:bCs/>
          <w:iCs/>
          <w:sz w:val="24"/>
          <w:szCs w:val="24"/>
        </w:rPr>
        <w:t>Таким образом, повседневная организация рабочего дня вахтовых работников может быть описана как процесс, в котором формально заданные структуры и неформальные практики взаимодействия взаимно дополняют друг друга. Социальный порядок в данных условиях поддерживается не только через регламенты, но и через постоянное согласование действий между участниками производственного процесса.</w:t>
      </w:r>
      <w:r w:rsidR="00111DE1">
        <w:rPr>
          <w:rFonts w:ascii="Times New Roman" w:hAnsi="Times New Roman" w:cs="Times New Roman"/>
          <w:bCs/>
          <w:iCs/>
          <w:sz w:val="24"/>
          <w:szCs w:val="24"/>
        </w:rPr>
        <w:t xml:space="preserve"> </w:t>
      </w:r>
      <w:r w:rsidRPr="0047717C">
        <w:rPr>
          <w:rFonts w:ascii="Times New Roman" w:hAnsi="Times New Roman" w:cs="Times New Roman"/>
          <w:bCs/>
          <w:iCs/>
          <w:sz w:val="24"/>
          <w:szCs w:val="24"/>
        </w:rPr>
        <w:t xml:space="preserve">Полученные результаты позволяют уточнить представления о вахтовом труде, смещая аналитический фокус с </w:t>
      </w:r>
      <w:proofErr w:type="spellStart"/>
      <w:r w:rsidRPr="0047717C">
        <w:rPr>
          <w:rFonts w:ascii="Times New Roman" w:hAnsi="Times New Roman" w:cs="Times New Roman"/>
          <w:bCs/>
          <w:iCs/>
          <w:sz w:val="24"/>
          <w:szCs w:val="24"/>
        </w:rPr>
        <w:t>макрохарактеристик</w:t>
      </w:r>
      <w:proofErr w:type="spellEnd"/>
      <w:r w:rsidRPr="0047717C">
        <w:rPr>
          <w:rFonts w:ascii="Times New Roman" w:hAnsi="Times New Roman" w:cs="Times New Roman"/>
          <w:bCs/>
          <w:iCs/>
          <w:sz w:val="24"/>
          <w:szCs w:val="24"/>
        </w:rPr>
        <w:t xml:space="preserve"> условий занятости на социальные механизмы координации. Перспективным направлением дальнейших исследований является сравнительный анализ </w:t>
      </w:r>
      <w:r w:rsidR="00BD1F67">
        <w:rPr>
          <w:rFonts w:ascii="Times New Roman" w:hAnsi="Times New Roman" w:cs="Times New Roman"/>
          <w:bCs/>
          <w:iCs/>
          <w:sz w:val="24"/>
          <w:szCs w:val="24"/>
        </w:rPr>
        <w:t>международных</w:t>
      </w:r>
      <w:r w:rsidRPr="0047717C">
        <w:rPr>
          <w:rFonts w:ascii="Times New Roman" w:hAnsi="Times New Roman" w:cs="Times New Roman"/>
          <w:bCs/>
          <w:iCs/>
          <w:sz w:val="24"/>
          <w:szCs w:val="24"/>
        </w:rPr>
        <w:t xml:space="preserve"> организационных моделей вахтового труда, а также более детальное изучение устойчивости неформальных практик в условиях изменяющихся производственных требований.</w:t>
      </w:r>
    </w:p>
    <w:p w:rsidR="006F220C" w:rsidRDefault="006F220C" w:rsidP="006F220C">
      <w:pPr>
        <w:spacing w:after="0" w:line="240" w:lineRule="auto"/>
        <w:ind w:firstLine="709"/>
        <w:jc w:val="both"/>
        <w:rPr>
          <w:rFonts w:ascii="Times New Roman" w:hAnsi="Times New Roman" w:cs="Times New Roman"/>
          <w:bCs/>
          <w:iCs/>
          <w:sz w:val="24"/>
          <w:szCs w:val="24"/>
        </w:rPr>
      </w:pPr>
    </w:p>
    <w:p w:rsidR="00B22292" w:rsidRDefault="00000000" w:rsidP="00DC37C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rsidR="0047717C" w:rsidRPr="0047717C" w:rsidRDefault="0047717C" w:rsidP="001E1ACA">
      <w:pPr>
        <w:pStyle w:val="a3"/>
        <w:numPr>
          <w:ilvl w:val="0"/>
          <w:numId w:val="12"/>
        </w:numPr>
        <w:spacing w:after="0" w:line="240" w:lineRule="auto"/>
        <w:ind w:left="0" w:firstLine="720"/>
        <w:jc w:val="both"/>
        <w:rPr>
          <w:rFonts w:ascii="Times New Roman" w:eastAsia="Times New Roman" w:hAnsi="Times New Roman" w:cs="Times New Roman"/>
          <w:sz w:val="24"/>
          <w:szCs w:val="24"/>
          <w:lang w:val="en-US"/>
        </w:rPr>
      </w:pPr>
      <w:r w:rsidRPr="0047717C">
        <w:rPr>
          <w:rFonts w:ascii="Times New Roman" w:eastAsia="Times New Roman" w:hAnsi="Times New Roman" w:cs="Times New Roman"/>
          <w:sz w:val="24"/>
          <w:szCs w:val="24"/>
        </w:rPr>
        <w:lastRenderedPageBreak/>
        <w:t xml:space="preserve">Силин А.Н. Социальная организация вахтового труда в условиях Севера // Социологические исследования. </w:t>
      </w:r>
      <w:r w:rsidRPr="0047717C">
        <w:rPr>
          <w:rFonts w:ascii="Times New Roman" w:eastAsia="Times New Roman" w:hAnsi="Times New Roman" w:cs="Times New Roman"/>
          <w:sz w:val="24"/>
          <w:szCs w:val="24"/>
          <w:lang w:val="en-US"/>
        </w:rPr>
        <w:t>2010. № 5. С. 45–52.</w:t>
      </w:r>
    </w:p>
    <w:p w:rsidR="001E1ACA" w:rsidRPr="001E1ACA" w:rsidRDefault="001E1ACA" w:rsidP="001E1ACA">
      <w:pPr>
        <w:pStyle w:val="a3"/>
        <w:numPr>
          <w:ilvl w:val="0"/>
          <w:numId w:val="12"/>
        </w:numPr>
        <w:spacing w:after="0" w:line="240" w:lineRule="auto"/>
        <w:ind w:left="0" w:firstLine="720"/>
        <w:jc w:val="both"/>
        <w:rPr>
          <w:rFonts w:ascii="Times New Roman" w:eastAsia="Times New Roman" w:hAnsi="Times New Roman" w:cs="Times New Roman"/>
          <w:sz w:val="24"/>
          <w:szCs w:val="24"/>
          <w:lang w:val="en-US"/>
        </w:rPr>
      </w:pPr>
      <w:r w:rsidRPr="001E1ACA">
        <w:rPr>
          <w:rFonts w:ascii="Times New Roman" w:eastAsia="Times New Roman" w:hAnsi="Times New Roman" w:cs="Times New Roman"/>
          <w:sz w:val="24"/>
          <w:szCs w:val="24"/>
          <w:lang w:val="en-US"/>
        </w:rPr>
        <w:t xml:space="preserve">Asare B.Y.A., </w:t>
      </w:r>
      <w:proofErr w:type="spellStart"/>
      <w:r w:rsidRPr="001E1ACA">
        <w:rPr>
          <w:rFonts w:ascii="Times New Roman" w:eastAsia="Times New Roman" w:hAnsi="Times New Roman" w:cs="Times New Roman"/>
          <w:sz w:val="24"/>
          <w:szCs w:val="24"/>
          <w:lang w:val="en-US"/>
        </w:rPr>
        <w:t>Kwasnicka</w:t>
      </w:r>
      <w:proofErr w:type="spellEnd"/>
      <w:r w:rsidRPr="001E1ACA">
        <w:rPr>
          <w:rFonts w:ascii="Times New Roman" w:eastAsia="Times New Roman" w:hAnsi="Times New Roman" w:cs="Times New Roman"/>
          <w:sz w:val="24"/>
          <w:szCs w:val="24"/>
          <w:lang w:val="en-US"/>
        </w:rPr>
        <w:t xml:space="preserve"> D., Powell D. </w:t>
      </w:r>
      <w:r w:rsidRPr="001E1ACA">
        <w:rPr>
          <w:rFonts w:ascii="Times New Roman" w:eastAsia="Times New Roman" w:hAnsi="Times New Roman" w:cs="Times New Roman"/>
          <w:sz w:val="24"/>
          <w:szCs w:val="24"/>
        </w:rPr>
        <w:t>и</w:t>
      </w:r>
      <w:r w:rsidRPr="001E1ACA">
        <w:rPr>
          <w:rFonts w:ascii="Times New Roman" w:eastAsia="Times New Roman" w:hAnsi="Times New Roman" w:cs="Times New Roman"/>
          <w:sz w:val="24"/>
          <w:szCs w:val="24"/>
          <w:lang w:val="en-US"/>
        </w:rPr>
        <w:t xml:space="preserve"> </w:t>
      </w:r>
      <w:proofErr w:type="spellStart"/>
      <w:r w:rsidRPr="001E1ACA">
        <w:rPr>
          <w:rFonts w:ascii="Times New Roman" w:eastAsia="Times New Roman" w:hAnsi="Times New Roman" w:cs="Times New Roman"/>
          <w:sz w:val="24"/>
          <w:szCs w:val="24"/>
        </w:rPr>
        <w:t>др</w:t>
      </w:r>
      <w:proofErr w:type="spellEnd"/>
      <w:r w:rsidRPr="001E1ACA">
        <w:rPr>
          <w:rFonts w:ascii="Times New Roman" w:eastAsia="Times New Roman" w:hAnsi="Times New Roman" w:cs="Times New Roman"/>
          <w:sz w:val="24"/>
          <w:szCs w:val="24"/>
          <w:lang w:val="en-US"/>
        </w:rPr>
        <w:t xml:space="preserve">. Health and well-being of rotation workers in mining, offshore oil and gas, and construction industry: systematic review // BMJ Global Health. 2021. № 7. </w:t>
      </w:r>
      <w:r w:rsidRPr="001E1ACA">
        <w:rPr>
          <w:rFonts w:ascii="Times New Roman" w:eastAsia="Times New Roman" w:hAnsi="Times New Roman" w:cs="Times New Roman"/>
          <w:sz w:val="24"/>
          <w:szCs w:val="24"/>
        </w:rPr>
        <w:t>С</w:t>
      </w:r>
      <w:r w:rsidRPr="001E1ACA">
        <w:rPr>
          <w:rFonts w:ascii="Times New Roman" w:eastAsia="Times New Roman" w:hAnsi="Times New Roman" w:cs="Times New Roman"/>
          <w:sz w:val="24"/>
          <w:szCs w:val="24"/>
          <w:lang w:val="en-US"/>
        </w:rPr>
        <w:t xml:space="preserve">. e005112. </w:t>
      </w:r>
    </w:p>
    <w:p w:rsidR="001E1ACA" w:rsidRPr="001E1ACA" w:rsidRDefault="001E1ACA" w:rsidP="001E1ACA">
      <w:pPr>
        <w:pStyle w:val="a3"/>
        <w:numPr>
          <w:ilvl w:val="0"/>
          <w:numId w:val="12"/>
        </w:numPr>
        <w:spacing w:after="0" w:line="240" w:lineRule="auto"/>
        <w:ind w:left="0" w:firstLine="720"/>
        <w:jc w:val="both"/>
        <w:rPr>
          <w:rFonts w:ascii="Times New Roman" w:eastAsia="Times New Roman" w:hAnsi="Times New Roman" w:cs="Times New Roman"/>
          <w:sz w:val="24"/>
          <w:szCs w:val="24"/>
          <w:lang w:val="en-US"/>
        </w:rPr>
      </w:pPr>
      <w:r w:rsidRPr="001E1ACA">
        <w:rPr>
          <w:rFonts w:ascii="Times New Roman" w:eastAsia="Times New Roman" w:hAnsi="Times New Roman" w:cs="Times New Roman"/>
          <w:sz w:val="24"/>
          <w:szCs w:val="24"/>
          <w:lang w:val="en-US"/>
        </w:rPr>
        <w:t>Collinson D.L. “Shift-</w:t>
      </w:r>
      <w:proofErr w:type="spellStart"/>
      <w:r w:rsidRPr="001E1ACA">
        <w:rPr>
          <w:rFonts w:ascii="Times New Roman" w:eastAsia="Times New Roman" w:hAnsi="Times New Roman" w:cs="Times New Roman"/>
          <w:sz w:val="24"/>
          <w:szCs w:val="24"/>
          <w:lang w:val="en-US"/>
        </w:rPr>
        <w:t>ing</w:t>
      </w:r>
      <w:proofErr w:type="spellEnd"/>
      <w:r w:rsidRPr="001E1ACA">
        <w:rPr>
          <w:rFonts w:ascii="Times New Roman" w:eastAsia="Times New Roman" w:hAnsi="Times New Roman" w:cs="Times New Roman"/>
          <w:sz w:val="24"/>
          <w:szCs w:val="24"/>
          <w:lang w:val="en-US"/>
        </w:rPr>
        <w:t xml:space="preserve"> lives”: work–home pressures in North Sea oil industry // Canadian Review of Sociology. 1998. № 3. </w:t>
      </w:r>
      <w:r w:rsidRPr="001E1ACA">
        <w:rPr>
          <w:rFonts w:ascii="Times New Roman" w:eastAsia="Times New Roman" w:hAnsi="Times New Roman" w:cs="Times New Roman"/>
          <w:sz w:val="24"/>
          <w:szCs w:val="24"/>
        </w:rPr>
        <w:t>С</w:t>
      </w:r>
      <w:r w:rsidRPr="001E1ACA">
        <w:rPr>
          <w:rFonts w:ascii="Times New Roman" w:eastAsia="Times New Roman" w:hAnsi="Times New Roman" w:cs="Times New Roman"/>
          <w:sz w:val="24"/>
          <w:szCs w:val="24"/>
          <w:lang w:val="en-US"/>
        </w:rPr>
        <w:t xml:space="preserve">. 301–324. </w:t>
      </w:r>
    </w:p>
    <w:p w:rsidR="001E1ACA" w:rsidRPr="001E1ACA" w:rsidRDefault="001E1ACA" w:rsidP="001E1ACA">
      <w:pPr>
        <w:pStyle w:val="a3"/>
        <w:numPr>
          <w:ilvl w:val="0"/>
          <w:numId w:val="12"/>
        </w:numPr>
        <w:spacing w:after="0" w:line="240" w:lineRule="auto"/>
        <w:ind w:left="0" w:firstLine="720"/>
        <w:jc w:val="both"/>
        <w:rPr>
          <w:rFonts w:ascii="Times New Roman" w:eastAsia="Times New Roman" w:hAnsi="Times New Roman" w:cs="Times New Roman"/>
          <w:sz w:val="24"/>
          <w:szCs w:val="24"/>
          <w:lang w:val="en-US"/>
        </w:rPr>
      </w:pPr>
      <w:r w:rsidRPr="001E1ACA">
        <w:rPr>
          <w:rFonts w:ascii="Times New Roman" w:eastAsia="Times New Roman" w:hAnsi="Times New Roman" w:cs="Times New Roman"/>
          <w:sz w:val="24"/>
          <w:szCs w:val="24"/>
          <w:lang w:val="en-US"/>
        </w:rPr>
        <w:t xml:space="preserve">McNamara K.A., Robbins W.A. Shift work and sleep disturbance in oil industry // Workplace Health &amp; Safety. 2023. № 3. </w:t>
      </w:r>
      <w:r w:rsidRPr="001E1ACA">
        <w:rPr>
          <w:rFonts w:ascii="Times New Roman" w:eastAsia="Times New Roman" w:hAnsi="Times New Roman" w:cs="Times New Roman"/>
          <w:sz w:val="24"/>
          <w:szCs w:val="24"/>
        </w:rPr>
        <w:t>С</w:t>
      </w:r>
      <w:r w:rsidRPr="001E1ACA">
        <w:rPr>
          <w:rFonts w:ascii="Times New Roman" w:eastAsia="Times New Roman" w:hAnsi="Times New Roman" w:cs="Times New Roman"/>
          <w:sz w:val="24"/>
          <w:szCs w:val="24"/>
          <w:lang w:val="en-US"/>
        </w:rPr>
        <w:t xml:space="preserve">. 125–131. </w:t>
      </w:r>
    </w:p>
    <w:p w:rsidR="001E1ACA" w:rsidRPr="001E1ACA" w:rsidRDefault="001E1ACA" w:rsidP="001E1ACA">
      <w:pPr>
        <w:pStyle w:val="a3"/>
        <w:numPr>
          <w:ilvl w:val="0"/>
          <w:numId w:val="12"/>
        </w:numPr>
        <w:tabs>
          <w:tab w:val="left" w:pos="0"/>
        </w:tabs>
        <w:spacing w:after="0" w:line="240" w:lineRule="auto"/>
        <w:ind w:left="0" w:firstLine="720"/>
        <w:jc w:val="both"/>
        <w:rPr>
          <w:rFonts w:ascii="Times New Roman" w:eastAsia="Times New Roman" w:hAnsi="Times New Roman" w:cs="Times New Roman"/>
          <w:sz w:val="24"/>
          <w:szCs w:val="24"/>
          <w:lang w:val="en-US"/>
        </w:rPr>
      </w:pPr>
      <w:r w:rsidRPr="001E1ACA">
        <w:rPr>
          <w:rFonts w:ascii="Times New Roman" w:eastAsia="Times New Roman" w:hAnsi="Times New Roman" w:cs="Times New Roman"/>
          <w:sz w:val="24"/>
          <w:szCs w:val="24"/>
          <w:lang w:val="en-US"/>
        </w:rPr>
        <w:t xml:space="preserve">Stewart N., Bunce J., </w:t>
      </w:r>
      <w:proofErr w:type="spellStart"/>
      <w:r w:rsidRPr="001E1ACA">
        <w:rPr>
          <w:rFonts w:ascii="Times New Roman" w:eastAsia="Times New Roman" w:hAnsi="Times New Roman" w:cs="Times New Roman"/>
          <w:sz w:val="24"/>
          <w:szCs w:val="24"/>
          <w:lang w:val="en-US"/>
        </w:rPr>
        <w:t>Hellemans</w:t>
      </w:r>
      <w:proofErr w:type="spellEnd"/>
      <w:r w:rsidRPr="001E1ACA">
        <w:rPr>
          <w:rFonts w:ascii="Times New Roman" w:eastAsia="Times New Roman" w:hAnsi="Times New Roman" w:cs="Times New Roman"/>
          <w:sz w:val="24"/>
          <w:szCs w:val="24"/>
          <w:lang w:val="en-US"/>
        </w:rPr>
        <w:t xml:space="preserve"> K. Two worlds of FIFO: exploration of duality, transitional lifestyle and improved community connections // BMJ Open. 2017. № 4.</w:t>
      </w:r>
      <w:r w:rsidR="00760FF4">
        <w:rPr>
          <w:rFonts w:ascii="Times New Roman" w:eastAsia="Times New Roman" w:hAnsi="Times New Roman" w:cs="Times New Roman"/>
          <w:sz w:val="24"/>
          <w:szCs w:val="24"/>
        </w:rPr>
        <w:t xml:space="preserve"> С.</w:t>
      </w:r>
      <w:r w:rsidRPr="001E1ACA">
        <w:rPr>
          <w:rFonts w:ascii="Times New Roman" w:eastAsia="Times New Roman" w:hAnsi="Times New Roman" w:cs="Times New Roman"/>
          <w:sz w:val="24"/>
          <w:szCs w:val="24"/>
          <w:lang w:val="en-US"/>
        </w:rPr>
        <w:t xml:space="preserve"> e019516.</w:t>
      </w:r>
    </w:p>
    <w:p w:rsidR="001E1ACA" w:rsidRDefault="001E1ACA" w:rsidP="001E1ACA">
      <w:pPr>
        <w:tabs>
          <w:tab w:val="left" w:pos="0"/>
        </w:tabs>
        <w:spacing w:after="0" w:line="240" w:lineRule="auto"/>
        <w:jc w:val="center"/>
        <w:rPr>
          <w:rFonts w:ascii="Times New Roman" w:hAnsi="Times New Roman" w:cs="Times New Roman"/>
          <w:b/>
          <w:bCs/>
          <w:sz w:val="24"/>
          <w:szCs w:val="24"/>
          <w:shd w:val="clear" w:color="auto" w:fill="FFFFFF"/>
        </w:rPr>
      </w:pPr>
    </w:p>
    <w:p w:rsidR="00B22292" w:rsidRDefault="00000000" w:rsidP="001E1ACA">
      <w:pPr>
        <w:tabs>
          <w:tab w:val="left" w:pos="0"/>
        </w:tabs>
        <w:spacing w:after="0" w:line="240" w:lineRule="auto"/>
        <w:jc w:val="center"/>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Информация об авторе</w:t>
      </w:r>
    </w:p>
    <w:p w:rsidR="00B22292" w:rsidRPr="00E34919" w:rsidRDefault="00E34919" w:rsidP="00E34919">
      <w:pPr>
        <w:pStyle w:val="p1"/>
        <w:jc w:val="both"/>
        <w:rPr>
          <w:sz w:val="24"/>
          <w:szCs w:val="24"/>
        </w:rPr>
      </w:pPr>
      <w:proofErr w:type="spellStart"/>
      <w:r>
        <w:rPr>
          <w:b/>
          <w:bCs/>
          <w:sz w:val="24"/>
          <w:szCs w:val="24"/>
        </w:rPr>
        <w:t>Запащиков</w:t>
      </w:r>
      <w:proofErr w:type="spellEnd"/>
      <w:r>
        <w:rPr>
          <w:b/>
          <w:bCs/>
          <w:sz w:val="24"/>
          <w:szCs w:val="24"/>
        </w:rPr>
        <w:t xml:space="preserve"> Сергей Павлович (Россия, Тюмень)</w:t>
      </w:r>
      <w:r>
        <w:rPr>
          <w:sz w:val="24"/>
          <w:szCs w:val="24"/>
        </w:rPr>
        <w:t xml:space="preserve"> – аспирант, </w:t>
      </w:r>
      <w:r w:rsidRPr="00E34919">
        <w:rPr>
          <w:sz w:val="24"/>
          <w:szCs w:val="24"/>
        </w:rPr>
        <w:t xml:space="preserve">Тюменский государственный университет, </w:t>
      </w:r>
      <w:proofErr w:type="spellStart"/>
      <w:r w:rsidRPr="00E34919">
        <w:rPr>
          <w:sz w:val="24"/>
          <w:szCs w:val="24"/>
        </w:rPr>
        <w:t>ТюмГУ</w:t>
      </w:r>
      <w:proofErr w:type="spellEnd"/>
      <w:r>
        <w:rPr>
          <w:sz w:val="24"/>
          <w:szCs w:val="24"/>
        </w:rPr>
        <w:t xml:space="preserve"> (</w:t>
      </w:r>
      <w:r w:rsidRPr="00E34919">
        <w:rPr>
          <w:sz w:val="24"/>
          <w:szCs w:val="24"/>
        </w:rPr>
        <w:t>625003</w:t>
      </w:r>
      <w:r>
        <w:rPr>
          <w:sz w:val="24"/>
          <w:szCs w:val="24"/>
        </w:rPr>
        <w:t xml:space="preserve">, Россия, г. Тюмень, </w:t>
      </w:r>
      <w:r w:rsidRPr="00E34919">
        <w:rPr>
          <w:sz w:val="24"/>
          <w:szCs w:val="24"/>
        </w:rPr>
        <w:t xml:space="preserve">ул. Володарского, д.6; </w:t>
      </w:r>
      <w:proofErr w:type="spellStart"/>
      <w:r w:rsidRPr="00E34919">
        <w:rPr>
          <w:sz w:val="24"/>
          <w:szCs w:val="24"/>
        </w:rPr>
        <w:t>e-mail</w:t>
      </w:r>
      <w:proofErr w:type="spellEnd"/>
      <w:r w:rsidR="00E278FE">
        <w:rPr>
          <w:sz w:val="24"/>
          <w:szCs w:val="24"/>
        </w:rPr>
        <w:t xml:space="preserve">: </w:t>
      </w:r>
      <w:r w:rsidR="00E278FE" w:rsidRPr="00E278FE">
        <w:rPr>
          <w:sz w:val="24"/>
          <w:szCs w:val="24"/>
        </w:rPr>
        <w:t>Jayzee00@yandex.ru</w:t>
      </w:r>
      <w:r w:rsidRPr="00E34919">
        <w:rPr>
          <w:sz w:val="24"/>
          <w:szCs w:val="24"/>
        </w:rPr>
        <w:t>)</w:t>
      </w:r>
    </w:p>
    <w:p w:rsidR="00E34919" w:rsidRPr="003C548D" w:rsidRDefault="00E34919" w:rsidP="00E34919">
      <w:pPr>
        <w:pStyle w:val="p1"/>
        <w:jc w:val="both"/>
        <w:rPr>
          <w:sz w:val="24"/>
          <w:szCs w:val="24"/>
        </w:rPr>
      </w:pPr>
    </w:p>
    <w:p w:rsidR="00B22292" w:rsidRPr="00E34919" w:rsidRDefault="00E34919">
      <w:pPr>
        <w:spacing w:after="0" w:line="240" w:lineRule="auto"/>
        <w:jc w:val="right"/>
        <w:rPr>
          <w:rFonts w:ascii="Times New Roman" w:hAnsi="Times New Roman" w:cs="Times New Roman"/>
          <w:b/>
          <w:sz w:val="24"/>
          <w:szCs w:val="24"/>
          <w:shd w:val="clear" w:color="auto" w:fill="FFFFFF"/>
        </w:rPr>
      </w:pPr>
      <w:proofErr w:type="spellStart"/>
      <w:r>
        <w:rPr>
          <w:rFonts w:ascii="Times New Roman" w:hAnsi="Times New Roman" w:cs="Times New Roman"/>
          <w:b/>
          <w:sz w:val="24"/>
          <w:szCs w:val="24"/>
          <w:shd w:val="clear" w:color="auto" w:fill="FFFFFF"/>
          <w:lang w:val="en-US"/>
        </w:rPr>
        <w:t>Zapashikov</w:t>
      </w:r>
      <w:proofErr w:type="spellEnd"/>
      <w:r w:rsidRPr="00E34919">
        <w:rPr>
          <w:rFonts w:ascii="Times New Roman" w:hAnsi="Times New Roman" w:cs="Times New Roman"/>
          <w:b/>
          <w:sz w:val="24"/>
          <w:szCs w:val="24"/>
          <w:shd w:val="clear" w:color="auto" w:fill="FFFFFF"/>
        </w:rPr>
        <w:t xml:space="preserve"> </w:t>
      </w:r>
      <w:r>
        <w:rPr>
          <w:rFonts w:ascii="Times New Roman" w:hAnsi="Times New Roman" w:cs="Times New Roman"/>
          <w:b/>
          <w:sz w:val="24"/>
          <w:szCs w:val="24"/>
          <w:shd w:val="clear" w:color="auto" w:fill="FFFFFF"/>
          <w:lang w:val="en-US"/>
        </w:rPr>
        <w:t>S</w:t>
      </w:r>
      <w:r w:rsidRPr="00E34919">
        <w:rPr>
          <w:rFonts w:ascii="Times New Roman" w:hAnsi="Times New Roman" w:cs="Times New Roman"/>
          <w:b/>
          <w:sz w:val="24"/>
          <w:szCs w:val="24"/>
          <w:shd w:val="clear" w:color="auto" w:fill="FFFFFF"/>
        </w:rPr>
        <w:t>.</w:t>
      </w:r>
      <w:r>
        <w:rPr>
          <w:rFonts w:ascii="Times New Roman" w:hAnsi="Times New Roman" w:cs="Times New Roman"/>
          <w:b/>
          <w:sz w:val="24"/>
          <w:szCs w:val="24"/>
          <w:shd w:val="clear" w:color="auto" w:fill="FFFFFF"/>
          <w:lang w:val="en-US"/>
        </w:rPr>
        <w:t>P</w:t>
      </w:r>
      <w:r w:rsidRPr="00E34919">
        <w:rPr>
          <w:rFonts w:ascii="Times New Roman" w:hAnsi="Times New Roman" w:cs="Times New Roman"/>
          <w:b/>
          <w:sz w:val="24"/>
          <w:szCs w:val="24"/>
          <w:shd w:val="clear" w:color="auto" w:fill="FFFFFF"/>
        </w:rPr>
        <w:t>.</w:t>
      </w:r>
    </w:p>
    <w:p w:rsidR="00B22292" w:rsidRPr="006F6B0B" w:rsidRDefault="0047717C">
      <w:pPr>
        <w:spacing w:after="0" w:line="240" w:lineRule="auto"/>
        <w:ind w:firstLine="709"/>
        <w:jc w:val="center"/>
        <w:rPr>
          <w:rFonts w:ascii="Times New Roman" w:hAnsi="Times New Roman" w:cs="Times New Roman"/>
          <w:b/>
          <w:bCs/>
          <w:sz w:val="24"/>
          <w:szCs w:val="24"/>
          <w:lang w:val="en-US"/>
        </w:rPr>
      </w:pPr>
      <w:r w:rsidRPr="0047717C">
        <w:rPr>
          <w:rFonts w:ascii="Times New Roman" w:hAnsi="Times New Roman" w:cs="Times New Roman"/>
          <w:b/>
          <w:bCs/>
          <w:sz w:val="24"/>
          <w:szCs w:val="24"/>
          <w:lang w:val="en-US"/>
        </w:rPr>
        <w:t>DAILY ROUTINE AND ORGANIZATION OF LABOR: A SOCIOLOGICAL ANALYSIS OF THE STRUCTURE OF THE WORKING DAY OF SHIFT WORKERS</w:t>
      </w:r>
    </w:p>
    <w:p w:rsidR="0047717C" w:rsidRPr="006F6B0B" w:rsidRDefault="0047717C">
      <w:pPr>
        <w:spacing w:after="0" w:line="240" w:lineRule="auto"/>
        <w:ind w:firstLine="709"/>
        <w:jc w:val="center"/>
        <w:rPr>
          <w:rFonts w:ascii="Times New Roman" w:hAnsi="Times New Roman" w:cs="Times New Roman"/>
          <w:b/>
          <w:bCs/>
          <w:sz w:val="24"/>
          <w:szCs w:val="24"/>
          <w:lang w:val="en-US"/>
        </w:rPr>
      </w:pPr>
    </w:p>
    <w:p w:rsidR="006F6B0B" w:rsidRDefault="003C548D" w:rsidP="003C548D">
      <w:pPr>
        <w:spacing w:after="0" w:line="240" w:lineRule="auto"/>
        <w:ind w:firstLine="709"/>
        <w:jc w:val="both"/>
        <w:rPr>
          <w:rFonts w:ascii="Times New Roman" w:hAnsi="Times New Roman" w:cs="Times New Roman"/>
          <w:bCs/>
          <w:sz w:val="24"/>
          <w:szCs w:val="24"/>
        </w:rPr>
      </w:pPr>
      <w:r w:rsidRPr="003C548D">
        <w:rPr>
          <w:rFonts w:ascii="Times New Roman" w:hAnsi="Times New Roman" w:cs="Times New Roman"/>
          <w:b/>
          <w:sz w:val="24"/>
          <w:szCs w:val="24"/>
          <w:lang w:val="en-US"/>
        </w:rPr>
        <w:t xml:space="preserve">Abstract: </w:t>
      </w:r>
      <w:r w:rsidR="006F6B0B" w:rsidRPr="006F6B0B">
        <w:rPr>
          <w:rFonts w:ascii="Times New Roman" w:hAnsi="Times New Roman" w:cs="Times New Roman"/>
          <w:bCs/>
          <w:sz w:val="24"/>
          <w:szCs w:val="24"/>
          <w:lang w:val="en-US"/>
        </w:rPr>
        <w:t xml:space="preserve">This paper examines the daily work organization of shift workers in the oil and gas industry using participant observation. The analysis focuses on the relationship between formally regulated procedures and informal coordination practices that ensure the completion of production tasks in conditions of spatial isolation and limited </w:t>
      </w:r>
      <w:proofErr w:type="spellStart"/>
      <w:r w:rsidR="006F6B0B" w:rsidRPr="006F6B0B">
        <w:rPr>
          <w:rFonts w:ascii="Times New Roman" w:hAnsi="Times New Roman" w:cs="Times New Roman"/>
          <w:bCs/>
          <w:sz w:val="24"/>
          <w:szCs w:val="24"/>
          <w:lang w:val="en-US"/>
        </w:rPr>
        <w:t>resources.</w:t>
      </w:r>
    </w:p>
    <w:p w:rsidR="003C548D" w:rsidRPr="003C548D" w:rsidRDefault="003C548D" w:rsidP="003C548D">
      <w:pPr>
        <w:spacing w:after="0" w:line="240" w:lineRule="auto"/>
        <w:ind w:firstLine="709"/>
        <w:jc w:val="both"/>
        <w:rPr>
          <w:rFonts w:ascii="Times New Roman" w:hAnsi="Times New Roman" w:cs="Times New Roman"/>
          <w:b/>
          <w:sz w:val="24"/>
          <w:szCs w:val="24"/>
          <w:lang w:val="en-US"/>
        </w:rPr>
      </w:pPr>
      <w:r w:rsidRPr="003C548D">
        <w:rPr>
          <w:rFonts w:ascii="Times New Roman" w:hAnsi="Times New Roman" w:cs="Times New Roman"/>
          <w:b/>
          <w:sz w:val="24"/>
          <w:szCs w:val="24"/>
          <w:lang w:val="en-US"/>
        </w:rPr>
        <w:t>Keyword</w:t>
      </w:r>
      <w:proofErr w:type="spellEnd"/>
      <w:r w:rsidRPr="003C548D">
        <w:rPr>
          <w:rFonts w:ascii="Times New Roman" w:hAnsi="Times New Roman" w:cs="Times New Roman"/>
          <w:b/>
          <w:sz w:val="24"/>
          <w:szCs w:val="24"/>
          <w:lang w:val="en-US"/>
        </w:rPr>
        <w:t xml:space="preserve">s: </w:t>
      </w:r>
      <w:r>
        <w:rPr>
          <w:rFonts w:ascii="Times New Roman" w:hAnsi="Times New Roman" w:cs="Times New Roman"/>
          <w:bCs/>
          <w:sz w:val="24"/>
          <w:szCs w:val="24"/>
          <w:lang w:val="en-US"/>
        </w:rPr>
        <w:t>S</w:t>
      </w:r>
      <w:r w:rsidRPr="003C548D">
        <w:rPr>
          <w:rFonts w:ascii="Times New Roman" w:hAnsi="Times New Roman" w:cs="Times New Roman"/>
          <w:bCs/>
          <w:sz w:val="24"/>
          <w:szCs w:val="24"/>
          <w:lang w:val="en-US"/>
        </w:rPr>
        <w:t>hift work, labor rhythm, everyday life, informal practices, social coordination, Far North, organizational culture.</w:t>
      </w:r>
    </w:p>
    <w:p w:rsidR="00B22292" w:rsidRDefault="00000000" w:rsidP="00334BF8">
      <w:pPr>
        <w:spacing w:after="0" w:line="24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About the author</w:t>
      </w:r>
    </w:p>
    <w:p w:rsidR="00B22292" w:rsidRPr="003C548D" w:rsidRDefault="003C548D">
      <w:pPr>
        <w:spacing w:after="0" w:line="240" w:lineRule="auto"/>
        <w:ind w:firstLine="709"/>
        <w:jc w:val="both"/>
        <w:rPr>
          <w:rFonts w:ascii="Times New Roman" w:hAnsi="Times New Roman" w:cs="Times New Roman"/>
          <w:sz w:val="24"/>
          <w:szCs w:val="24"/>
          <w:lang w:val="en-US"/>
        </w:rPr>
      </w:pPr>
      <w:proofErr w:type="spellStart"/>
      <w:r w:rsidRPr="003C548D">
        <w:rPr>
          <w:rFonts w:ascii="Times New Roman" w:hAnsi="Times New Roman" w:cs="Times New Roman"/>
          <w:b/>
          <w:bCs/>
          <w:sz w:val="24"/>
          <w:szCs w:val="24"/>
          <w:lang w:val="en-US"/>
        </w:rPr>
        <w:t>Zapashikov</w:t>
      </w:r>
      <w:proofErr w:type="spellEnd"/>
      <w:r w:rsidRPr="003C548D">
        <w:rPr>
          <w:rFonts w:ascii="Times New Roman" w:hAnsi="Times New Roman" w:cs="Times New Roman"/>
          <w:b/>
          <w:bCs/>
          <w:sz w:val="24"/>
          <w:szCs w:val="24"/>
          <w:lang w:val="en-US"/>
        </w:rPr>
        <w:t xml:space="preserve"> Sergey P</w:t>
      </w:r>
      <w:r>
        <w:rPr>
          <w:rFonts w:ascii="Times New Roman" w:hAnsi="Times New Roman" w:cs="Times New Roman"/>
          <w:b/>
          <w:bCs/>
          <w:sz w:val="24"/>
          <w:szCs w:val="24"/>
          <w:lang w:val="en-US"/>
        </w:rPr>
        <w:t>avlovich</w:t>
      </w:r>
      <w:r w:rsidRPr="003C548D">
        <w:rPr>
          <w:rFonts w:ascii="Times New Roman" w:hAnsi="Times New Roman" w:cs="Times New Roman"/>
          <w:b/>
          <w:bCs/>
          <w:sz w:val="24"/>
          <w:szCs w:val="24"/>
          <w:lang w:val="en-US"/>
        </w:rPr>
        <w:t xml:space="preserve"> (Tyumen, Russia) </w:t>
      </w:r>
      <w:r w:rsidRPr="003C548D">
        <w:rPr>
          <w:rFonts w:ascii="Times New Roman" w:hAnsi="Times New Roman" w:cs="Times New Roman"/>
          <w:sz w:val="24"/>
          <w:szCs w:val="24"/>
          <w:lang w:val="en-US"/>
        </w:rPr>
        <w:t xml:space="preserve">– </w:t>
      </w:r>
      <w:r>
        <w:rPr>
          <w:rFonts w:ascii="Times New Roman" w:hAnsi="Times New Roman" w:cs="Times New Roman"/>
          <w:sz w:val="24"/>
          <w:szCs w:val="24"/>
          <w:lang w:val="en-US"/>
        </w:rPr>
        <w:t>G</w:t>
      </w:r>
      <w:r w:rsidRPr="003C548D">
        <w:rPr>
          <w:rFonts w:ascii="Times New Roman" w:hAnsi="Times New Roman" w:cs="Times New Roman"/>
          <w:sz w:val="24"/>
          <w:szCs w:val="24"/>
          <w:lang w:val="en-US"/>
        </w:rPr>
        <w:t xml:space="preserve">raduate Student, University of Tyumen (6 </w:t>
      </w:r>
      <w:proofErr w:type="spellStart"/>
      <w:r w:rsidRPr="003C548D">
        <w:rPr>
          <w:rFonts w:ascii="Times New Roman" w:hAnsi="Times New Roman" w:cs="Times New Roman"/>
          <w:sz w:val="24"/>
          <w:szCs w:val="24"/>
          <w:lang w:val="en-US"/>
        </w:rPr>
        <w:t>Volodarskogo</w:t>
      </w:r>
      <w:proofErr w:type="spellEnd"/>
      <w:r w:rsidRPr="003C548D">
        <w:rPr>
          <w:rFonts w:ascii="Times New Roman" w:hAnsi="Times New Roman" w:cs="Times New Roman"/>
          <w:sz w:val="24"/>
          <w:szCs w:val="24"/>
          <w:lang w:val="en-US"/>
        </w:rPr>
        <w:t xml:space="preserve"> St., Tyumen, 625003, Russia; e-mail: stud0000196234@utmn.ru)</w:t>
      </w:r>
    </w:p>
    <w:p w:rsidR="003C548D" w:rsidRPr="003C548D" w:rsidRDefault="003C548D">
      <w:pPr>
        <w:spacing w:after="0" w:line="240" w:lineRule="auto"/>
        <w:ind w:firstLine="709"/>
        <w:jc w:val="both"/>
        <w:rPr>
          <w:rFonts w:ascii="Times New Roman" w:hAnsi="Times New Roman" w:cs="Times New Roman"/>
          <w:iCs/>
          <w:sz w:val="24"/>
          <w:szCs w:val="24"/>
          <w:lang w:val="en-US"/>
        </w:rPr>
      </w:pPr>
    </w:p>
    <w:p w:rsidR="00B22292" w:rsidRDefault="00000000" w:rsidP="00334BF8">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rsidR="00637702" w:rsidRPr="00637702" w:rsidRDefault="00637702" w:rsidP="00637702">
      <w:pPr>
        <w:pStyle w:val="a3"/>
        <w:numPr>
          <w:ilvl w:val="0"/>
          <w:numId w:val="16"/>
        </w:numPr>
        <w:spacing w:after="0" w:line="240" w:lineRule="auto"/>
        <w:ind w:left="0" w:firstLine="709"/>
        <w:jc w:val="both"/>
        <w:rPr>
          <w:rFonts w:ascii="Times New Roman" w:eastAsia="Times New Roman" w:hAnsi="Times New Roman" w:cs="Times New Roman"/>
          <w:sz w:val="24"/>
          <w:szCs w:val="24"/>
        </w:rPr>
      </w:pPr>
      <w:r w:rsidRPr="00637702">
        <w:rPr>
          <w:rFonts w:ascii="Times New Roman" w:eastAsia="Times New Roman" w:hAnsi="Times New Roman" w:cs="Times New Roman"/>
          <w:sz w:val="24"/>
          <w:szCs w:val="24"/>
          <w:lang w:val="en-US"/>
        </w:rPr>
        <w:t xml:space="preserve">Silin, A.N. Social organization of rotational work in the North // Sociological Research. </w:t>
      </w:r>
      <w:r w:rsidRPr="00637702">
        <w:rPr>
          <w:rFonts w:ascii="Times New Roman" w:eastAsia="Times New Roman" w:hAnsi="Times New Roman" w:cs="Times New Roman"/>
          <w:sz w:val="24"/>
          <w:szCs w:val="24"/>
        </w:rPr>
        <w:t xml:space="preserve">2010, No. 5, </w:t>
      </w:r>
      <w:proofErr w:type="spellStart"/>
      <w:r w:rsidRPr="00637702">
        <w:rPr>
          <w:rFonts w:ascii="Times New Roman" w:eastAsia="Times New Roman" w:hAnsi="Times New Roman" w:cs="Times New Roman"/>
          <w:sz w:val="24"/>
          <w:szCs w:val="24"/>
        </w:rPr>
        <w:t>pp</w:t>
      </w:r>
      <w:proofErr w:type="spellEnd"/>
      <w:r w:rsidRPr="00637702">
        <w:rPr>
          <w:rFonts w:ascii="Times New Roman" w:eastAsia="Times New Roman" w:hAnsi="Times New Roman" w:cs="Times New Roman"/>
          <w:sz w:val="24"/>
          <w:szCs w:val="24"/>
        </w:rPr>
        <w:t xml:space="preserve">. 45–52. </w:t>
      </w:r>
    </w:p>
    <w:p w:rsidR="00637702" w:rsidRPr="00637702" w:rsidRDefault="00637702" w:rsidP="00637702">
      <w:pPr>
        <w:pStyle w:val="a3"/>
        <w:numPr>
          <w:ilvl w:val="0"/>
          <w:numId w:val="16"/>
        </w:numPr>
        <w:spacing w:after="0" w:line="240" w:lineRule="auto"/>
        <w:ind w:left="0" w:firstLine="709"/>
        <w:jc w:val="both"/>
        <w:rPr>
          <w:rFonts w:ascii="Times New Roman" w:eastAsia="Times New Roman" w:hAnsi="Times New Roman" w:cs="Times New Roman"/>
          <w:sz w:val="24"/>
          <w:szCs w:val="24"/>
        </w:rPr>
      </w:pPr>
      <w:r w:rsidRPr="00637702">
        <w:rPr>
          <w:rFonts w:ascii="Times New Roman" w:eastAsia="Times New Roman" w:hAnsi="Times New Roman" w:cs="Times New Roman"/>
          <w:sz w:val="24"/>
          <w:szCs w:val="24"/>
          <w:lang w:val="en-US"/>
        </w:rPr>
        <w:t xml:space="preserve">Asare, B.Y.A., </w:t>
      </w:r>
      <w:proofErr w:type="spellStart"/>
      <w:r w:rsidRPr="00637702">
        <w:rPr>
          <w:rFonts w:ascii="Times New Roman" w:eastAsia="Times New Roman" w:hAnsi="Times New Roman" w:cs="Times New Roman"/>
          <w:sz w:val="24"/>
          <w:szCs w:val="24"/>
          <w:lang w:val="en-US"/>
        </w:rPr>
        <w:t>Kwasnicka</w:t>
      </w:r>
      <w:proofErr w:type="spellEnd"/>
      <w:r w:rsidRPr="00637702">
        <w:rPr>
          <w:rFonts w:ascii="Times New Roman" w:eastAsia="Times New Roman" w:hAnsi="Times New Roman" w:cs="Times New Roman"/>
          <w:sz w:val="24"/>
          <w:szCs w:val="24"/>
          <w:lang w:val="en-US"/>
        </w:rPr>
        <w:t xml:space="preserve">, D., Powell, D., et al. Health and well-being of rotation workers in mining, offshore oil and gas, and construction industry: a systematic review // BMJ Global Health. </w:t>
      </w:r>
      <w:r w:rsidRPr="00637702">
        <w:rPr>
          <w:rFonts w:ascii="Times New Roman" w:eastAsia="Times New Roman" w:hAnsi="Times New Roman" w:cs="Times New Roman"/>
          <w:sz w:val="24"/>
          <w:szCs w:val="24"/>
        </w:rPr>
        <w:t xml:space="preserve">2021, No. 7, p. e005112. </w:t>
      </w:r>
    </w:p>
    <w:p w:rsidR="00637702" w:rsidRPr="00637702" w:rsidRDefault="00637702" w:rsidP="00637702">
      <w:pPr>
        <w:pStyle w:val="a3"/>
        <w:numPr>
          <w:ilvl w:val="0"/>
          <w:numId w:val="16"/>
        </w:numPr>
        <w:spacing w:after="0" w:line="240" w:lineRule="auto"/>
        <w:ind w:left="0" w:firstLine="709"/>
        <w:jc w:val="both"/>
        <w:rPr>
          <w:rFonts w:ascii="Times New Roman" w:eastAsia="Times New Roman" w:hAnsi="Times New Roman" w:cs="Times New Roman"/>
          <w:sz w:val="24"/>
          <w:szCs w:val="24"/>
        </w:rPr>
      </w:pPr>
      <w:r w:rsidRPr="00637702">
        <w:rPr>
          <w:rFonts w:ascii="Times New Roman" w:eastAsia="Times New Roman" w:hAnsi="Times New Roman" w:cs="Times New Roman"/>
          <w:sz w:val="24"/>
          <w:szCs w:val="24"/>
          <w:lang w:val="en-US"/>
        </w:rPr>
        <w:t>Collinson, D.L. “Shift-</w:t>
      </w:r>
      <w:proofErr w:type="spellStart"/>
      <w:r w:rsidRPr="00637702">
        <w:rPr>
          <w:rFonts w:ascii="Times New Roman" w:eastAsia="Times New Roman" w:hAnsi="Times New Roman" w:cs="Times New Roman"/>
          <w:sz w:val="24"/>
          <w:szCs w:val="24"/>
          <w:lang w:val="en-US"/>
        </w:rPr>
        <w:t>ing</w:t>
      </w:r>
      <w:proofErr w:type="spellEnd"/>
      <w:r w:rsidRPr="00637702">
        <w:rPr>
          <w:rFonts w:ascii="Times New Roman" w:eastAsia="Times New Roman" w:hAnsi="Times New Roman" w:cs="Times New Roman"/>
          <w:sz w:val="24"/>
          <w:szCs w:val="24"/>
          <w:lang w:val="en-US"/>
        </w:rPr>
        <w:t xml:space="preserve"> lives”: work–home pressures in the North Sea oil industry // Canadian Review of Sociology. </w:t>
      </w:r>
      <w:r w:rsidRPr="00637702">
        <w:rPr>
          <w:rFonts w:ascii="Times New Roman" w:eastAsia="Times New Roman" w:hAnsi="Times New Roman" w:cs="Times New Roman"/>
          <w:sz w:val="24"/>
          <w:szCs w:val="24"/>
        </w:rPr>
        <w:t xml:space="preserve">1998, No. 3, </w:t>
      </w:r>
      <w:proofErr w:type="spellStart"/>
      <w:r w:rsidRPr="00637702">
        <w:rPr>
          <w:rFonts w:ascii="Times New Roman" w:eastAsia="Times New Roman" w:hAnsi="Times New Roman" w:cs="Times New Roman"/>
          <w:sz w:val="24"/>
          <w:szCs w:val="24"/>
        </w:rPr>
        <w:t>pp</w:t>
      </w:r>
      <w:proofErr w:type="spellEnd"/>
      <w:r w:rsidRPr="00637702">
        <w:rPr>
          <w:rFonts w:ascii="Times New Roman" w:eastAsia="Times New Roman" w:hAnsi="Times New Roman" w:cs="Times New Roman"/>
          <w:sz w:val="24"/>
          <w:szCs w:val="24"/>
        </w:rPr>
        <w:t xml:space="preserve">. 301–324. </w:t>
      </w:r>
    </w:p>
    <w:p w:rsidR="00637702" w:rsidRPr="00637702" w:rsidRDefault="00637702" w:rsidP="00637702">
      <w:pPr>
        <w:pStyle w:val="a3"/>
        <w:numPr>
          <w:ilvl w:val="0"/>
          <w:numId w:val="16"/>
        </w:numPr>
        <w:spacing w:after="0" w:line="240" w:lineRule="auto"/>
        <w:ind w:left="0" w:firstLine="709"/>
        <w:jc w:val="both"/>
        <w:rPr>
          <w:rFonts w:ascii="Times New Roman" w:eastAsia="Times New Roman" w:hAnsi="Times New Roman" w:cs="Times New Roman"/>
          <w:sz w:val="24"/>
          <w:szCs w:val="24"/>
        </w:rPr>
      </w:pPr>
      <w:r w:rsidRPr="00637702">
        <w:rPr>
          <w:rFonts w:ascii="Times New Roman" w:eastAsia="Times New Roman" w:hAnsi="Times New Roman" w:cs="Times New Roman"/>
          <w:sz w:val="24"/>
          <w:szCs w:val="24"/>
          <w:lang w:val="en-US"/>
        </w:rPr>
        <w:t xml:space="preserve">McNamara, K.A., Robbins, W.A. Shift work and sleep disturbance in the oil industry // Workplace Health &amp; Safety. </w:t>
      </w:r>
      <w:r w:rsidRPr="00637702">
        <w:rPr>
          <w:rFonts w:ascii="Times New Roman" w:eastAsia="Times New Roman" w:hAnsi="Times New Roman" w:cs="Times New Roman"/>
          <w:sz w:val="24"/>
          <w:szCs w:val="24"/>
        </w:rPr>
        <w:t xml:space="preserve">2023, No. 3, </w:t>
      </w:r>
      <w:proofErr w:type="spellStart"/>
      <w:r w:rsidRPr="00637702">
        <w:rPr>
          <w:rFonts w:ascii="Times New Roman" w:eastAsia="Times New Roman" w:hAnsi="Times New Roman" w:cs="Times New Roman"/>
          <w:sz w:val="24"/>
          <w:szCs w:val="24"/>
        </w:rPr>
        <w:t>pp</w:t>
      </w:r>
      <w:proofErr w:type="spellEnd"/>
      <w:r w:rsidRPr="00637702">
        <w:rPr>
          <w:rFonts w:ascii="Times New Roman" w:eastAsia="Times New Roman" w:hAnsi="Times New Roman" w:cs="Times New Roman"/>
          <w:sz w:val="24"/>
          <w:szCs w:val="24"/>
        </w:rPr>
        <w:t xml:space="preserve">. 125–131. </w:t>
      </w:r>
    </w:p>
    <w:p w:rsidR="00B22292" w:rsidRPr="002B5F11" w:rsidRDefault="00637702" w:rsidP="00637702">
      <w:pPr>
        <w:pStyle w:val="a3"/>
        <w:numPr>
          <w:ilvl w:val="0"/>
          <w:numId w:val="16"/>
        </w:numPr>
        <w:spacing w:after="0" w:line="240" w:lineRule="auto"/>
        <w:ind w:left="0" w:firstLine="709"/>
        <w:jc w:val="both"/>
        <w:rPr>
          <w:lang w:val="en-US"/>
        </w:rPr>
      </w:pPr>
      <w:r w:rsidRPr="00637702">
        <w:rPr>
          <w:rFonts w:ascii="Times New Roman" w:eastAsia="Times New Roman" w:hAnsi="Times New Roman" w:cs="Times New Roman"/>
          <w:sz w:val="24"/>
          <w:szCs w:val="24"/>
          <w:lang w:val="en-US"/>
        </w:rPr>
        <w:t xml:space="preserve">Stewart, N., Bunce, J., </w:t>
      </w:r>
      <w:proofErr w:type="spellStart"/>
      <w:r w:rsidRPr="00637702">
        <w:rPr>
          <w:rFonts w:ascii="Times New Roman" w:eastAsia="Times New Roman" w:hAnsi="Times New Roman" w:cs="Times New Roman"/>
          <w:sz w:val="24"/>
          <w:szCs w:val="24"/>
          <w:lang w:val="en-US"/>
        </w:rPr>
        <w:t>Hellemans</w:t>
      </w:r>
      <w:proofErr w:type="spellEnd"/>
      <w:r w:rsidRPr="00637702">
        <w:rPr>
          <w:rFonts w:ascii="Times New Roman" w:eastAsia="Times New Roman" w:hAnsi="Times New Roman" w:cs="Times New Roman"/>
          <w:sz w:val="24"/>
          <w:szCs w:val="24"/>
          <w:lang w:val="en-US"/>
        </w:rPr>
        <w:t>, K. Two worlds of FIFO: exploration of duality, transitional lifestyle and improved community connections // BMJ Open. 2017, No. 4, p. e019516.</w:t>
      </w:r>
    </w:p>
    <w:sectPr w:rsidR="00B22292" w:rsidRPr="002B5F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915EC" w:rsidRDefault="00E915EC">
      <w:pPr>
        <w:spacing w:after="0" w:line="240" w:lineRule="auto"/>
      </w:pPr>
      <w:r>
        <w:separator/>
      </w:r>
    </w:p>
  </w:endnote>
  <w:endnote w:type="continuationSeparator" w:id="0">
    <w:p w:rsidR="00E915EC" w:rsidRDefault="00E915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915EC" w:rsidRDefault="00E915EC">
      <w:pPr>
        <w:spacing w:after="0" w:line="240" w:lineRule="auto"/>
      </w:pPr>
      <w:r>
        <w:separator/>
      </w:r>
    </w:p>
  </w:footnote>
  <w:footnote w:type="continuationSeparator" w:id="0">
    <w:p w:rsidR="00E915EC" w:rsidRDefault="00E915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F6ADD"/>
    <w:multiLevelType w:val="hybridMultilevel"/>
    <w:tmpl w:val="16229AAA"/>
    <w:lvl w:ilvl="0" w:tplc="2D6E30CA">
      <w:start w:val="1"/>
      <w:numFmt w:val="decimal"/>
      <w:lvlText w:val="%1."/>
      <w:lvlJc w:val="left"/>
      <w:pPr>
        <w:ind w:left="720" w:hanging="360"/>
      </w:pPr>
      <w:rPr>
        <w:rFonts w:eastAsiaTheme="minorHAnsi" w:hint="default"/>
      </w:rPr>
    </w:lvl>
    <w:lvl w:ilvl="1" w:tplc="00923738">
      <w:start w:val="1"/>
      <w:numFmt w:val="bullet"/>
      <w:lvlText w:val=""/>
      <w:lvlJc w:val="left"/>
      <w:pPr>
        <w:ind w:left="1440" w:hanging="360"/>
      </w:pPr>
      <w:rPr>
        <w:rFonts w:ascii="Symbol" w:eastAsia="Times New Roman" w:hAnsi="Symbol"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A4E5242"/>
    <w:multiLevelType w:val="hybridMultilevel"/>
    <w:tmpl w:val="CED698EA"/>
    <w:lvl w:ilvl="0" w:tplc="4662AF2E">
      <w:start w:val="1"/>
      <w:numFmt w:val="decimal"/>
      <w:lvlText w:val="%1."/>
      <w:lvlJc w:val="left"/>
      <w:pPr>
        <w:ind w:left="1080" w:hanging="360"/>
      </w:pPr>
      <w:rPr>
        <w:rFonts w:ascii="Times New Roman" w:eastAsia="Times New Roman" w:hAnsi="Times New Roman" w:cs="Times New Roman"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2" w15:restartNumberingAfterBreak="0">
    <w:nsid w:val="1C72008C"/>
    <w:multiLevelType w:val="hybridMultilevel"/>
    <w:tmpl w:val="0EA07E14"/>
    <w:lvl w:ilvl="0" w:tplc="04190001">
      <w:start w:val="1"/>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2C63979"/>
    <w:multiLevelType w:val="hybridMultilevel"/>
    <w:tmpl w:val="63A08304"/>
    <w:lvl w:ilvl="0" w:tplc="04190001">
      <w:start w:val="1"/>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A1D49E5"/>
    <w:multiLevelType w:val="hybridMultilevel"/>
    <w:tmpl w:val="4034920A"/>
    <w:lvl w:ilvl="0" w:tplc="FFFFFFFF">
      <w:start w:val="1"/>
      <w:numFmt w:val="decimal"/>
      <w:lvlText w:val="%1."/>
      <w:lvlJc w:val="left"/>
      <w:pPr>
        <w:ind w:left="1080" w:hanging="360"/>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A8D1BA6"/>
    <w:multiLevelType w:val="hybridMultilevel"/>
    <w:tmpl w:val="A7C0DC86"/>
    <w:lvl w:ilvl="0" w:tplc="BF5018DC">
      <w:start w:val="1"/>
      <w:numFmt w:val="decimal"/>
      <w:lvlText w:val="%1."/>
      <w:lvlJc w:val="left"/>
      <w:pPr>
        <w:ind w:left="1417" w:hanging="360"/>
      </w:pPr>
    </w:lvl>
    <w:lvl w:ilvl="1" w:tplc="107E3332">
      <w:start w:val="1"/>
      <w:numFmt w:val="lowerLetter"/>
      <w:lvlText w:val="%2."/>
      <w:lvlJc w:val="left"/>
      <w:pPr>
        <w:ind w:left="2137" w:hanging="360"/>
      </w:pPr>
    </w:lvl>
    <w:lvl w:ilvl="2" w:tplc="64266BA4">
      <w:start w:val="1"/>
      <w:numFmt w:val="lowerRoman"/>
      <w:lvlText w:val="%3."/>
      <w:lvlJc w:val="right"/>
      <w:pPr>
        <w:ind w:left="2857" w:hanging="180"/>
      </w:pPr>
    </w:lvl>
    <w:lvl w:ilvl="3" w:tplc="0AEA14F6">
      <w:start w:val="1"/>
      <w:numFmt w:val="decimal"/>
      <w:lvlText w:val="%4."/>
      <w:lvlJc w:val="left"/>
      <w:pPr>
        <w:ind w:left="3577" w:hanging="360"/>
      </w:pPr>
    </w:lvl>
    <w:lvl w:ilvl="4" w:tplc="8470598C">
      <w:start w:val="1"/>
      <w:numFmt w:val="lowerLetter"/>
      <w:lvlText w:val="%5."/>
      <w:lvlJc w:val="left"/>
      <w:pPr>
        <w:ind w:left="4297" w:hanging="360"/>
      </w:pPr>
    </w:lvl>
    <w:lvl w:ilvl="5" w:tplc="C6F2E568">
      <w:start w:val="1"/>
      <w:numFmt w:val="lowerRoman"/>
      <w:lvlText w:val="%6."/>
      <w:lvlJc w:val="right"/>
      <w:pPr>
        <w:ind w:left="5017" w:hanging="180"/>
      </w:pPr>
    </w:lvl>
    <w:lvl w:ilvl="6" w:tplc="505AFD1E">
      <w:start w:val="1"/>
      <w:numFmt w:val="decimal"/>
      <w:lvlText w:val="%7."/>
      <w:lvlJc w:val="left"/>
      <w:pPr>
        <w:ind w:left="5737" w:hanging="360"/>
      </w:pPr>
    </w:lvl>
    <w:lvl w:ilvl="7" w:tplc="1BF6F3AA">
      <w:start w:val="1"/>
      <w:numFmt w:val="lowerLetter"/>
      <w:lvlText w:val="%8."/>
      <w:lvlJc w:val="left"/>
      <w:pPr>
        <w:ind w:left="6457" w:hanging="360"/>
      </w:pPr>
    </w:lvl>
    <w:lvl w:ilvl="8" w:tplc="73CA7356">
      <w:start w:val="1"/>
      <w:numFmt w:val="lowerRoman"/>
      <w:lvlText w:val="%9."/>
      <w:lvlJc w:val="right"/>
      <w:pPr>
        <w:ind w:left="7177" w:hanging="180"/>
      </w:pPr>
    </w:lvl>
  </w:abstractNum>
  <w:abstractNum w:abstractNumId="6" w15:restartNumberingAfterBreak="0">
    <w:nsid w:val="33B67A46"/>
    <w:multiLevelType w:val="hybridMultilevel"/>
    <w:tmpl w:val="968884D4"/>
    <w:lvl w:ilvl="0" w:tplc="4662AF2E">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15:restartNumberingAfterBreak="0">
    <w:nsid w:val="33DA7DF0"/>
    <w:multiLevelType w:val="hybridMultilevel"/>
    <w:tmpl w:val="7EA86D9E"/>
    <w:lvl w:ilvl="0" w:tplc="DC40FD28">
      <w:start w:val="1"/>
      <w:numFmt w:val="bullet"/>
      <w:lvlText w:val=""/>
      <w:lvlJc w:val="left"/>
      <w:pPr>
        <w:ind w:left="720" w:hanging="360"/>
      </w:pPr>
      <w:rPr>
        <w:rFonts w:ascii="Wingdings" w:hAnsi="Wingdings" w:hint="default"/>
      </w:rPr>
    </w:lvl>
    <w:lvl w:ilvl="1" w:tplc="8A1864A6">
      <w:start w:val="1"/>
      <w:numFmt w:val="bullet"/>
      <w:lvlText w:val="o"/>
      <w:lvlJc w:val="left"/>
      <w:pPr>
        <w:ind w:left="1440" w:hanging="360"/>
      </w:pPr>
      <w:rPr>
        <w:rFonts w:ascii="Courier New" w:hAnsi="Courier New" w:cs="Courier New" w:hint="default"/>
      </w:rPr>
    </w:lvl>
    <w:lvl w:ilvl="2" w:tplc="A50E8810">
      <w:start w:val="1"/>
      <w:numFmt w:val="bullet"/>
      <w:lvlText w:val=""/>
      <w:lvlJc w:val="left"/>
      <w:pPr>
        <w:ind w:left="2160" w:hanging="360"/>
      </w:pPr>
      <w:rPr>
        <w:rFonts w:ascii="Wingdings" w:hAnsi="Wingdings" w:hint="default"/>
      </w:rPr>
    </w:lvl>
    <w:lvl w:ilvl="3" w:tplc="4322F4C0">
      <w:start w:val="1"/>
      <w:numFmt w:val="bullet"/>
      <w:lvlText w:val=""/>
      <w:lvlJc w:val="left"/>
      <w:pPr>
        <w:ind w:left="2880" w:hanging="360"/>
      </w:pPr>
      <w:rPr>
        <w:rFonts w:ascii="Symbol" w:hAnsi="Symbol" w:hint="default"/>
      </w:rPr>
    </w:lvl>
    <w:lvl w:ilvl="4" w:tplc="2242A054">
      <w:start w:val="1"/>
      <w:numFmt w:val="bullet"/>
      <w:lvlText w:val="o"/>
      <w:lvlJc w:val="left"/>
      <w:pPr>
        <w:ind w:left="3600" w:hanging="360"/>
      </w:pPr>
      <w:rPr>
        <w:rFonts w:ascii="Courier New" w:hAnsi="Courier New" w:cs="Courier New" w:hint="default"/>
      </w:rPr>
    </w:lvl>
    <w:lvl w:ilvl="5" w:tplc="20ACE1F4">
      <w:start w:val="1"/>
      <w:numFmt w:val="bullet"/>
      <w:lvlText w:val=""/>
      <w:lvlJc w:val="left"/>
      <w:pPr>
        <w:ind w:left="4320" w:hanging="360"/>
      </w:pPr>
      <w:rPr>
        <w:rFonts w:ascii="Wingdings" w:hAnsi="Wingdings" w:hint="default"/>
      </w:rPr>
    </w:lvl>
    <w:lvl w:ilvl="6" w:tplc="133E8FB0">
      <w:start w:val="1"/>
      <w:numFmt w:val="bullet"/>
      <w:lvlText w:val=""/>
      <w:lvlJc w:val="left"/>
      <w:pPr>
        <w:ind w:left="5040" w:hanging="360"/>
      </w:pPr>
      <w:rPr>
        <w:rFonts w:ascii="Symbol" w:hAnsi="Symbol" w:hint="default"/>
      </w:rPr>
    </w:lvl>
    <w:lvl w:ilvl="7" w:tplc="FC76C64C">
      <w:start w:val="1"/>
      <w:numFmt w:val="bullet"/>
      <w:lvlText w:val="o"/>
      <w:lvlJc w:val="left"/>
      <w:pPr>
        <w:ind w:left="5760" w:hanging="360"/>
      </w:pPr>
      <w:rPr>
        <w:rFonts w:ascii="Courier New" w:hAnsi="Courier New" w:cs="Courier New" w:hint="default"/>
      </w:rPr>
    </w:lvl>
    <w:lvl w:ilvl="8" w:tplc="F7FADC46">
      <w:start w:val="1"/>
      <w:numFmt w:val="bullet"/>
      <w:lvlText w:val=""/>
      <w:lvlJc w:val="left"/>
      <w:pPr>
        <w:ind w:left="6480" w:hanging="360"/>
      </w:pPr>
      <w:rPr>
        <w:rFonts w:ascii="Wingdings" w:hAnsi="Wingdings" w:hint="default"/>
      </w:rPr>
    </w:lvl>
  </w:abstractNum>
  <w:abstractNum w:abstractNumId="8" w15:restartNumberingAfterBreak="0">
    <w:nsid w:val="346A152A"/>
    <w:multiLevelType w:val="hybridMultilevel"/>
    <w:tmpl w:val="2A72CFB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F915E25"/>
    <w:multiLevelType w:val="hybridMultilevel"/>
    <w:tmpl w:val="D69E04A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FA42ABF"/>
    <w:multiLevelType w:val="hybridMultilevel"/>
    <w:tmpl w:val="3594EF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F721715"/>
    <w:multiLevelType w:val="hybridMultilevel"/>
    <w:tmpl w:val="4034920A"/>
    <w:lvl w:ilvl="0" w:tplc="4662AF2E">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EFE7389"/>
    <w:multiLevelType w:val="hybridMultilevel"/>
    <w:tmpl w:val="02B66648"/>
    <w:lvl w:ilvl="0" w:tplc="334AF02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603759D2"/>
    <w:multiLevelType w:val="hybridMultilevel"/>
    <w:tmpl w:val="250EE37A"/>
    <w:lvl w:ilvl="0" w:tplc="643CEB90">
      <w:start w:val="1"/>
      <w:numFmt w:val="decimal"/>
      <w:lvlText w:val="%1."/>
      <w:lvlJc w:val="left"/>
      <w:pPr>
        <w:ind w:left="709" w:hanging="360"/>
      </w:pPr>
    </w:lvl>
    <w:lvl w:ilvl="1" w:tplc="74763B04">
      <w:start w:val="1"/>
      <w:numFmt w:val="lowerLetter"/>
      <w:lvlText w:val="%2."/>
      <w:lvlJc w:val="left"/>
      <w:pPr>
        <w:ind w:left="1429" w:hanging="360"/>
      </w:pPr>
    </w:lvl>
    <w:lvl w:ilvl="2" w:tplc="612679F4">
      <w:start w:val="1"/>
      <w:numFmt w:val="lowerRoman"/>
      <w:lvlText w:val="%3."/>
      <w:lvlJc w:val="right"/>
      <w:pPr>
        <w:ind w:left="2149" w:hanging="180"/>
      </w:pPr>
    </w:lvl>
    <w:lvl w:ilvl="3" w:tplc="EB1ACFE2">
      <w:start w:val="1"/>
      <w:numFmt w:val="decimal"/>
      <w:lvlText w:val="%4."/>
      <w:lvlJc w:val="left"/>
      <w:pPr>
        <w:ind w:left="2869" w:hanging="360"/>
      </w:pPr>
    </w:lvl>
    <w:lvl w:ilvl="4" w:tplc="9A66CCCE">
      <w:start w:val="1"/>
      <w:numFmt w:val="lowerLetter"/>
      <w:lvlText w:val="%5."/>
      <w:lvlJc w:val="left"/>
      <w:pPr>
        <w:ind w:left="3589" w:hanging="360"/>
      </w:pPr>
    </w:lvl>
    <w:lvl w:ilvl="5" w:tplc="9E688820">
      <w:start w:val="1"/>
      <w:numFmt w:val="lowerRoman"/>
      <w:lvlText w:val="%6."/>
      <w:lvlJc w:val="right"/>
      <w:pPr>
        <w:ind w:left="4309" w:hanging="180"/>
      </w:pPr>
    </w:lvl>
    <w:lvl w:ilvl="6" w:tplc="A5485B92">
      <w:start w:val="1"/>
      <w:numFmt w:val="decimal"/>
      <w:lvlText w:val="%7."/>
      <w:lvlJc w:val="left"/>
      <w:pPr>
        <w:ind w:left="5029" w:hanging="360"/>
      </w:pPr>
    </w:lvl>
    <w:lvl w:ilvl="7" w:tplc="495A65F0">
      <w:start w:val="1"/>
      <w:numFmt w:val="lowerLetter"/>
      <w:lvlText w:val="%8."/>
      <w:lvlJc w:val="left"/>
      <w:pPr>
        <w:ind w:left="5749" w:hanging="360"/>
      </w:pPr>
    </w:lvl>
    <w:lvl w:ilvl="8" w:tplc="18E6877C">
      <w:start w:val="1"/>
      <w:numFmt w:val="lowerRoman"/>
      <w:lvlText w:val="%9."/>
      <w:lvlJc w:val="right"/>
      <w:pPr>
        <w:ind w:left="6469" w:hanging="180"/>
      </w:pPr>
    </w:lvl>
  </w:abstractNum>
  <w:abstractNum w:abstractNumId="14" w15:restartNumberingAfterBreak="0">
    <w:nsid w:val="6BFE4A54"/>
    <w:multiLevelType w:val="hybridMultilevel"/>
    <w:tmpl w:val="7AF0A912"/>
    <w:lvl w:ilvl="0" w:tplc="81203B4C">
      <w:start w:val="1"/>
      <w:numFmt w:val="decimal"/>
      <w:lvlText w:val="%1."/>
      <w:lvlJc w:val="left"/>
      <w:pPr>
        <w:ind w:left="1418" w:hanging="360"/>
      </w:pPr>
    </w:lvl>
    <w:lvl w:ilvl="1" w:tplc="400A4FDA">
      <w:start w:val="1"/>
      <w:numFmt w:val="lowerLetter"/>
      <w:lvlText w:val="%2."/>
      <w:lvlJc w:val="left"/>
      <w:pPr>
        <w:ind w:left="2138" w:hanging="360"/>
      </w:pPr>
    </w:lvl>
    <w:lvl w:ilvl="2" w:tplc="AE20AEB2">
      <w:start w:val="1"/>
      <w:numFmt w:val="lowerRoman"/>
      <w:lvlText w:val="%3."/>
      <w:lvlJc w:val="right"/>
      <w:pPr>
        <w:ind w:left="2858" w:hanging="180"/>
      </w:pPr>
    </w:lvl>
    <w:lvl w:ilvl="3" w:tplc="55D64818">
      <w:start w:val="1"/>
      <w:numFmt w:val="decimal"/>
      <w:lvlText w:val="%4."/>
      <w:lvlJc w:val="left"/>
      <w:pPr>
        <w:ind w:left="3578" w:hanging="360"/>
      </w:pPr>
    </w:lvl>
    <w:lvl w:ilvl="4" w:tplc="215A0054">
      <w:start w:val="1"/>
      <w:numFmt w:val="lowerLetter"/>
      <w:lvlText w:val="%5."/>
      <w:lvlJc w:val="left"/>
      <w:pPr>
        <w:ind w:left="4298" w:hanging="360"/>
      </w:pPr>
    </w:lvl>
    <w:lvl w:ilvl="5" w:tplc="18025FD0">
      <w:start w:val="1"/>
      <w:numFmt w:val="lowerRoman"/>
      <w:lvlText w:val="%6."/>
      <w:lvlJc w:val="right"/>
      <w:pPr>
        <w:ind w:left="5018" w:hanging="180"/>
      </w:pPr>
    </w:lvl>
    <w:lvl w:ilvl="6" w:tplc="3EE2CC44">
      <w:start w:val="1"/>
      <w:numFmt w:val="decimal"/>
      <w:lvlText w:val="%7."/>
      <w:lvlJc w:val="left"/>
      <w:pPr>
        <w:ind w:left="5738" w:hanging="360"/>
      </w:pPr>
    </w:lvl>
    <w:lvl w:ilvl="7" w:tplc="E916A93C">
      <w:start w:val="1"/>
      <w:numFmt w:val="lowerLetter"/>
      <w:lvlText w:val="%8."/>
      <w:lvlJc w:val="left"/>
      <w:pPr>
        <w:ind w:left="6458" w:hanging="360"/>
      </w:pPr>
    </w:lvl>
    <w:lvl w:ilvl="8" w:tplc="DD56E442">
      <w:start w:val="1"/>
      <w:numFmt w:val="lowerRoman"/>
      <w:lvlText w:val="%9."/>
      <w:lvlJc w:val="right"/>
      <w:pPr>
        <w:ind w:left="7178" w:hanging="180"/>
      </w:pPr>
    </w:lvl>
  </w:abstractNum>
  <w:abstractNum w:abstractNumId="15" w15:restartNumberingAfterBreak="0">
    <w:nsid w:val="7811642B"/>
    <w:multiLevelType w:val="hybridMultilevel"/>
    <w:tmpl w:val="FF00680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16cid:durableId="350187132">
    <w:abstractNumId w:val="7"/>
  </w:num>
  <w:num w:numId="2" w16cid:durableId="1900171378">
    <w:abstractNumId w:val="14"/>
  </w:num>
  <w:num w:numId="3" w16cid:durableId="1247879800">
    <w:abstractNumId w:val="13"/>
  </w:num>
  <w:num w:numId="4" w16cid:durableId="1494636628">
    <w:abstractNumId w:val="5"/>
  </w:num>
  <w:num w:numId="5" w16cid:durableId="744377581">
    <w:abstractNumId w:val="15"/>
  </w:num>
  <w:num w:numId="6" w16cid:durableId="1698702282">
    <w:abstractNumId w:val="9"/>
  </w:num>
  <w:num w:numId="7" w16cid:durableId="1480464996">
    <w:abstractNumId w:val="0"/>
  </w:num>
  <w:num w:numId="8" w16cid:durableId="2097705365">
    <w:abstractNumId w:val="8"/>
  </w:num>
  <w:num w:numId="9" w16cid:durableId="942418881">
    <w:abstractNumId w:val="10"/>
  </w:num>
  <w:num w:numId="10" w16cid:durableId="14886828">
    <w:abstractNumId w:val="6"/>
  </w:num>
  <w:num w:numId="11" w16cid:durableId="1095246326">
    <w:abstractNumId w:val="12"/>
  </w:num>
  <w:num w:numId="12" w16cid:durableId="1015036353">
    <w:abstractNumId w:val="11"/>
  </w:num>
  <w:num w:numId="13" w16cid:durableId="1643003478">
    <w:abstractNumId w:val="3"/>
  </w:num>
  <w:num w:numId="14" w16cid:durableId="1656687755">
    <w:abstractNumId w:val="1"/>
  </w:num>
  <w:num w:numId="15" w16cid:durableId="1086849387">
    <w:abstractNumId w:val="2"/>
  </w:num>
  <w:num w:numId="16" w16cid:durableId="26130045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33"/>
  <w:displayBackgroundShape/>
  <w:proofState w:spelling="clean" w:grammar="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2292"/>
    <w:rsid w:val="00030AFC"/>
    <w:rsid w:val="00111DE1"/>
    <w:rsid w:val="001E1ACA"/>
    <w:rsid w:val="00267998"/>
    <w:rsid w:val="002B5F11"/>
    <w:rsid w:val="00334BF8"/>
    <w:rsid w:val="00361027"/>
    <w:rsid w:val="00365646"/>
    <w:rsid w:val="003C548D"/>
    <w:rsid w:val="0047717C"/>
    <w:rsid w:val="0058187C"/>
    <w:rsid w:val="005A4C3E"/>
    <w:rsid w:val="005B4974"/>
    <w:rsid w:val="00637702"/>
    <w:rsid w:val="00682991"/>
    <w:rsid w:val="006F220C"/>
    <w:rsid w:val="006F6B0B"/>
    <w:rsid w:val="00760FF4"/>
    <w:rsid w:val="0077033D"/>
    <w:rsid w:val="007A166C"/>
    <w:rsid w:val="00817755"/>
    <w:rsid w:val="008D32C2"/>
    <w:rsid w:val="00A14B8D"/>
    <w:rsid w:val="00B22292"/>
    <w:rsid w:val="00BD1F67"/>
    <w:rsid w:val="00C529CD"/>
    <w:rsid w:val="00CA7750"/>
    <w:rsid w:val="00DC37C6"/>
    <w:rsid w:val="00E278FE"/>
    <w:rsid w:val="00E34919"/>
    <w:rsid w:val="00E915EC"/>
    <w:rsid w:val="00F43C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766DBB"/>
  <w15:docId w15:val="{CA727B0D-C43A-724C-9239-ECA74CCCD0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List Paragraph"/>
    <w:basedOn w:val="a"/>
    <w:uiPriority w:val="34"/>
    <w:qFormat/>
    <w:pPr>
      <w:ind w:left="720"/>
      <w:contextualSpacing/>
    </w:pPr>
  </w:style>
  <w:style w:type="paragraph" w:styleId="a4">
    <w:name w:val="No Spacing"/>
    <w:uiPriority w:val="1"/>
    <w:qFormat/>
    <w:pPr>
      <w:spacing w:after="0" w:line="240" w:lineRule="auto"/>
    </w:pPr>
  </w:style>
  <w:style w:type="paragraph" w:styleId="a5">
    <w:name w:val="Title"/>
    <w:basedOn w:val="a"/>
    <w:next w:val="a"/>
    <w:link w:val="a6"/>
    <w:uiPriority w:val="10"/>
    <w:qFormat/>
    <w:pPr>
      <w:spacing w:before="300" w:after="200"/>
      <w:contextualSpacing/>
    </w:pPr>
    <w:rPr>
      <w:sz w:val="48"/>
      <w:szCs w:val="48"/>
    </w:rPr>
  </w:style>
  <w:style w:type="character" w:customStyle="1" w:styleId="a6">
    <w:name w:val="Заголовок Знак"/>
    <w:basedOn w:val="a0"/>
    <w:link w:val="a5"/>
    <w:uiPriority w:val="10"/>
    <w:rPr>
      <w:sz w:val="48"/>
      <w:szCs w:val="48"/>
    </w:rPr>
  </w:style>
  <w:style w:type="paragraph" w:styleId="a7">
    <w:name w:val="Subtitle"/>
    <w:basedOn w:val="a"/>
    <w:next w:val="a"/>
    <w:link w:val="a8"/>
    <w:uiPriority w:val="11"/>
    <w:qFormat/>
    <w:pPr>
      <w:spacing w:before="200" w:after="200"/>
    </w:pPr>
    <w:rPr>
      <w:sz w:val="24"/>
      <w:szCs w:val="24"/>
    </w:rPr>
  </w:style>
  <w:style w:type="character" w:customStyle="1" w:styleId="a8">
    <w:name w:val="Подзаголовок Знак"/>
    <w:basedOn w:val="a0"/>
    <w:link w:val="a7"/>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header"/>
    <w:basedOn w:val="a"/>
    <w:link w:val="ac"/>
    <w:uiPriority w:val="99"/>
    <w:unhideWhenUsed/>
    <w:pPr>
      <w:tabs>
        <w:tab w:val="center" w:pos="7143"/>
        <w:tab w:val="right" w:pos="14287"/>
      </w:tabs>
      <w:spacing w:after="0" w:line="240" w:lineRule="auto"/>
    </w:pPr>
  </w:style>
  <w:style w:type="character" w:customStyle="1" w:styleId="ac">
    <w:name w:val="Верхний колонтитул Знак"/>
    <w:basedOn w:val="a0"/>
    <w:link w:val="ab"/>
    <w:uiPriority w:val="99"/>
  </w:style>
  <w:style w:type="paragraph" w:styleId="ad">
    <w:name w:val="footer"/>
    <w:basedOn w:val="a"/>
    <w:link w:val="ae"/>
    <w:uiPriority w:val="99"/>
    <w:unhideWhenUsed/>
    <w:pPr>
      <w:tabs>
        <w:tab w:val="center" w:pos="7143"/>
        <w:tab w:val="right" w:pos="14287"/>
      </w:tabs>
      <w:spacing w:after="0" w:line="240" w:lineRule="auto"/>
    </w:pPr>
  </w:style>
  <w:style w:type="character" w:customStyle="1" w:styleId="FooterChar">
    <w:name w:val="Footer Char"/>
    <w:basedOn w:val="a0"/>
    <w:uiPriority w:val="99"/>
  </w:style>
  <w:style w:type="paragraph" w:styleId="af">
    <w:name w:val="caption"/>
    <w:basedOn w:val="a"/>
    <w:next w:val="a"/>
    <w:uiPriority w:val="35"/>
    <w:semiHidden/>
    <w:unhideWhenUsed/>
    <w:qFormat/>
    <w:pPr>
      <w:spacing w:line="276" w:lineRule="auto"/>
    </w:pPr>
    <w:rPr>
      <w:b/>
      <w:bCs/>
      <w:color w:val="4472C4" w:themeColor="accent1"/>
      <w:sz w:val="18"/>
      <w:szCs w:val="18"/>
    </w:rPr>
  </w:style>
  <w:style w:type="character" w:customStyle="1" w:styleId="ae">
    <w:name w:val="Нижний колонтитул Знак"/>
    <w:link w:val="ad"/>
    <w:uiPriority w:val="99"/>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FFFFFF" w:fill="auto"/>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FFFFFF" w:fill="auto"/>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537DC8" w:themeColor="accent1" w:themeTint="EA" w:fill="537DC8" w:themeFill="accent1" w:themeFillTint="EA"/>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3F3" w:themeColor="accent1" w:themeTint="32" w:fill="DAE3F3" w:themeFill="accent1" w:themeFillTint="32"/>
      </w:tcPr>
    </w:tblStylePr>
    <w:tblStylePr w:type="band1Horz">
      <w:rPr>
        <w:rFonts w:ascii="Arial" w:hAnsi="Arial"/>
        <w:color w:val="404040"/>
        <w:sz w:val="22"/>
      </w:rPr>
      <w:tblPr/>
      <w:tcPr>
        <w:shd w:val="clear" w:color="DAE3F3" w:themeColor="accent1" w:themeTint="32" w:fill="DAE3F3"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5B9BD5" w:themeColor="accent5" w:fill="5B9BD5" w:themeFill="accent5"/>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1" w:themeTint="34" w:fill="D8E2F3" w:themeFill="accent1" w:themeFillTint="34"/>
    </w:tblPr>
    <w:tblStylePr w:type="firstRow">
      <w:rPr>
        <w:rFonts w:ascii="Arial" w:hAnsi="Arial"/>
        <w:b/>
        <w:color w:val="FFFFFF"/>
        <w:sz w:val="22"/>
      </w:rPr>
      <w:tblPr/>
      <w:tcPr>
        <w:shd w:val="clear" w:color="4472C4" w:themeColor="accent1" w:fill="4472C4" w:themeFill="accent1"/>
      </w:tcPr>
    </w:tblStylePr>
    <w:tblStylePr w:type="lastRow">
      <w:rPr>
        <w:rFonts w:ascii="Arial" w:hAnsi="Arial"/>
        <w:b/>
        <w:color w:val="FFFFFF"/>
        <w:sz w:val="22"/>
      </w:rPr>
      <w:tblPr/>
      <w:tcPr>
        <w:tcBorders>
          <w:top w:val="single" w:sz="4" w:space="0" w:color="FFFFFF" w:themeColor="light1"/>
        </w:tcBorders>
        <w:shd w:val="clear" w:color="4472C4" w:themeColor="accent1" w:fill="4472C4" w:themeFill="accent1"/>
      </w:tcPr>
    </w:tblStylePr>
    <w:tblStylePr w:type="firstCol">
      <w:rPr>
        <w:rFonts w:ascii="Arial" w:hAnsi="Arial"/>
        <w:b/>
        <w:color w:val="FFFFFF"/>
        <w:sz w:val="22"/>
      </w:rPr>
      <w:tblPr/>
      <w:tcPr>
        <w:shd w:val="clear" w:color="4472C4" w:themeColor="accent1" w:fill="4472C4" w:themeFill="accent1"/>
      </w:tcPr>
    </w:tblStylePr>
    <w:tblStylePr w:type="lastCol">
      <w:rPr>
        <w:rFonts w:ascii="Arial" w:hAnsi="Arial"/>
        <w:b/>
        <w:color w:val="FFFFFF"/>
        <w:sz w:val="22"/>
      </w:rPr>
      <w:tblPr/>
      <w:tcPr>
        <w:shd w:val="clear" w:color="4472C4" w:themeColor="accent1" w:fill="4472C4" w:themeFill="accent1"/>
      </w:tcPr>
    </w:tblStylePr>
    <w:tblStylePr w:type="band1Vert">
      <w:tblPr/>
      <w:tcPr>
        <w:shd w:val="clear" w:color="A9BEE4" w:themeColor="accent1" w:themeTint="75" w:fill="A9BEE4" w:themeFill="accent1" w:themeFillTint="75"/>
      </w:tcPr>
    </w:tblStylePr>
    <w:tblStylePr w:type="band1Horz">
      <w:tblPr/>
      <w:tcPr>
        <w:shd w:val="clear" w:color="A9BEE4" w:themeColor="accent1" w:themeTint="75" w:fill="A9BEE4"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5" w:themeTint="34" w:fill="DDEAF6" w:themeFill="accent5" w:themeFillTint="34"/>
    </w:tblPr>
    <w:tblStylePr w:type="firstRow">
      <w:rPr>
        <w:rFonts w:ascii="Arial" w:hAnsi="Arial"/>
        <w:b/>
        <w:color w:val="FFFFFF"/>
        <w:sz w:val="22"/>
      </w:rPr>
      <w:tblPr/>
      <w:tcPr>
        <w:shd w:val="clear" w:color="5B9BD5" w:themeColor="accent5" w:fill="5B9BD5" w:themeFill="accent5"/>
      </w:tcPr>
    </w:tblStylePr>
    <w:tblStylePr w:type="lastRow">
      <w:rPr>
        <w:rFonts w:ascii="Arial" w:hAnsi="Arial"/>
        <w:b/>
        <w:color w:val="FFFFFF"/>
        <w:sz w:val="22"/>
      </w:rPr>
      <w:tblPr/>
      <w:tcPr>
        <w:tcBorders>
          <w:top w:val="single" w:sz="4" w:space="0" w:color="FFFFFF" w:themeColor="light1"/>
        </w:tcBorders>
        <w:shd w:val="clear" w:color="5B9BD5" w:themeColor="accent5" w:fill="5B9BD5" w:themeFill="accent5"/>
      </w:tcPr>
    </w:tblStylePr>
    <w:tblStylePr w:type="firstCol">
      <w:rPr>
        <w:rFonts w:ascii="Arial" w:hAnsi="Arial"/>
        <w:b/>
        <w:color w:val="FFFFFF"/>
        <w:sz w:val="22"/>
      </w:rPr>
      <w:tblPr/>
      <w:tcPr>
        <w:shd w:val="clear" w:color="5B9BD5" w:themeColor="accent5" w:fill="5B9BD5" w:themeFill="accent5"/>
      </w:tcPr>
    </w:tblStylePr>
    <w:tblStylePr w:type="lastCol">
      <w:rPr>
        <w:rFonts w:ascii="Arial" w:hAnsi="Arial"/>
        <w:b/>
        <w:color w:val="FFFFFF"/>
        <w:sz w:val="22"/>
      </w:rPr>
      <w:tblPr/>
      <w:tcPr>
        <w:shd w:val="clear" w:color="5B9BD5" w:themeColor="accent5" w:fill="5B9BD5" w:themeFill="accent5"/>
      </w:tcPr>
    </w:tblStylePr>
    <w:tblStylePr w:type="band1Vert">
      <w:tblPr/>
      <w:tcPr>
        <w:shd w:val="clear" w:color="B3D0EB" w:themeColor="accent5" w:themeTint="75" w:fill="B3D0EB" w:themeFill="accent5" w:themeFillTint="75"/>
      </w:tcPr>
    </w:tblStylePr>
    <w:tblStylePr w:type="band1Horz">
      <w:tblPr/>
      <w:tcPr>
        <w:shd w:val="clear" w:color="B3D0EB" w:themeColor="accent5" w:themeTint="75" w:fill="B3D0EB"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45A8D" w:themeColor="accent5" w:themeShade="95"/>
        <w:sz w:val="22"/>
      </w:rPr>
      <w:tblPr/>
      <w:tcPr>
        <w:shd w:val="clear" w:color="E1EFD8" w:themeColor="accent6" w:themeTint="34" w:fill="E1EFD8" w:themeFill="accent6" w:themeFillTint="34"/>
      </w:tcPr>
    </w:tblStylePr>
    <w:tblStylePr w:type="band2Horz">
      <w:rPr>
        <w:rFonts w:ascii="Arial" w:hAnsi="Arial"/>
        <w:color w:val="245A8D"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4" w:space="0" w:color="000000"/>
          <w:left w:val="none" w:sz="4" w:space="0" w:color="000000"/>
          <w:bottom w:val="single" w:sz="4" w:space="0" w:color="A0B7E1" w:themeColor="accent1" w:themeTint="80"/>
          <w:right w:val="none" w:sz="4" w:space="0" w:color="000000"/>
        </w:tcBorders>
        <w:shd w:val="clear" w:color="FFFFFF" w:themeColor="light1" w:fill="FFFFFF" w:themeFill="light1"/>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0B7E1" w:themeColor="accent1" w:themeTint="80" w:themeShade="95"/>
        <w:sz w:val="22"/>
      </w:rPr>
      <w:tblPr/>
      <w:tcPr>
        <w:tcBorders>
          <w:top w:val="none" w:sz="4" w:space="0" w:color="000000"/>
          <w:left w:val="none" w:sz="4" w:space="0" w:color="000000"/>
          <w:bottom w:val="none" w:sz="4" w:space="0" w:color="000000"/>
          <w:right w:val="single" w:sz="4" w:space="0" w:color="A0B7E1" w:themeColor="accent1" w:themeTint="80"/>
        </w:tcBorders>
        <w:shd w:val="clear" w:color="FFFFFF" w:fill="auto"/>
      </w:tcPr>
    </w:tblStylePr>
    <w:tblStylePr w:type="lastCol">
      <w:rPr>
        <w:rFonts w:ascii="Arial" w:hAnsi="Arial"/>
        <w:i/>
        <w:color w:val="A0B7E1" w:themeColor="accent1" w:themeTint="80" w:themeShade="95"/>
        <w:sz w:val="22"/>
      </w:rPr>
      <w:tblPr/>
      <w:tcPr>
        <w:tcBorders>
          <w:top w:val="none" w:sz="4" w:space="0" w:color="000000"/>
          <w:left w:val="single" w:sz="4" w:space="0" w:color="A0B7E1" w:themeColor="accent1" w:themeTint="80"/>
          <w:bottom w:val="none" w:sz="4" w:space="0" w:color="000000"/>
          <w:right w:val="none" w:sz="4" w:space="0" w:color="000000"/>
        </w:tcBorders>
        <w:shd w:val="clear" w:color="FFFFFF" w:fill="auto"/>
      </w:tc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4" w:space="0" w:color="000000"/>
          <w:left w:val="none" w:sz="4" w:space="0" w:color="000000"/>
          <w:bottom w:val="single" w:sz="4" w:space="0" w:color="A2C6E7" w:themeColor="accent5" w:themeTint="90"/>
          <w:right w:val="none" w:sz="4" w:space="0" w:color="000000"/>
        </w:tcBorders>
        <w:shd w:val="clear" w:color="FFFFFF" w:themeColor="light1" w:fill="FFFFFF" w:themeFill="light1"/>
      </w:tcPr>
    </w:tblStylePr>
    <w:tblStylePr w:type="lastRow">
      <w:rPr>
        <w:rFonts w:ascii="Arial" w:hAnsi="Arial"/>
        <w:b/>
        <w:color w:val="245A8D" w:themeColor="accent5" w:themeShade="95"/>
        <w:sz w:val="22"/>
      </w:rPr>
      <w:tblPr/>
      <w:tcPr>
        <w:tcBorders>
          <w:top w:val="single" w:sz="4" w:space="0" w:color="A2C6E7"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5" w:themeShade="95"/>
        <w:sz w:val="22"/>
      </w:rPr>
      <w:tblPr/>
      <w:tcPr>
        <w:tcBorders>
          <w:top w:val="none" w:sz="4" w:space="0" w:color="000000"/>
          <w:left w:val="none" w:sz="4" w:space="0" w:color="000000"/>
          <w:bottom w:val="none" w:sz="4" w:space="0" w:color="000000"/>
          <w:right w:val="single" w:sz="4" w:space="0" w:color="A2C6E7" w:themeColor="accent5" w:themeTint="90"/>
        </w:tcBorders>
        <w:shd w:val="clear" w:color="FFFFFF" w:fill="auto"/>
      </w:tcPr>
    </w:tblStylePr>
    <w:tblStylePr w:type="lastCol">
      <w:rPr>
        <w:rFonts w:ascii="Arial" w:hAnsi="Arial"/>
        <w:i/>
        <w:color w:val="245A8D" w:themeColor="accent5" w:themeShade="95"/>
        <w:sz w:val="22"/>
      </w:rPr>
      <w:tblPr/>
      <w:tcPr>
        <w:tcBorders>
          <w:top w:val="none" w:sz="4" w:space="0" w:color="000000"/>
          <w:left w:val="single" w:sz="4" w:space="0" w:color="A2C6E7" w:themeColor="accent5" w:themeTint="90"/>
          <w:bottom w:val="none" w:sz="4" w:space="0" w:color="000000"/>
          <w:right w:val="none" w:sz="4" w:space="0" w:color="000000"/>
        </w:tcBorders>
        <w:shd w:val="clear" w:color="FFFFFF" w:fill="auto"/>
      </w:tc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1" w:themeTint="40" w:fill="CFDBF0" w:themeFill="accent1" w:themeFillTint="40"/>
      </w:tcPr>
    </w:tblStylePr>
    <w:tblStylePr w:type="band1Horz">
      <w:tblPr/>
      <w:tcPr>
        <w:shd w:val="clear" w:color="CFDBF0" w:themeColor="accent1" w:themeTint="40" w:fill="CFDBF0"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5" w:themeTint="40" w:fill="D5E5F4" w:themeFill="accent5" w:themeFillTint="40"/>
      </w:tcPr>
    </w:tblStylePr>
    <w:tblStylePr w:type="band1Horz">
      <w:tblPr/>
      <w:tcPr>
        <w:shd w:val="clear" w:color="D5E5F4" w:themeColor="accent5" w:themeTint="40" w:fill="D5E5F4"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9BC2E5" w:themeColor="accent5" w:themeTint="9A" w:fill="9BC2E5"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5B9BD5" w:themeColor="accent5" w:fill="5B9BD5"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4472C4" w:themeColor="accent1" w:fill="4472C4" w:themeFill="accent1"/>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4472C4" w:themeColor="accent1" w:fill="4472C4"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4472C4" w:themeColor="accent1" w:fill="4472C4"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472C4" w:themeColor="accent1" w:fill="4472C4" w:themeFill="accent1"/>
      </w:tcPr>
    </w:tblStylePr>
    <w:tblStylePr w:type="band2Horz">
      <w:tblPr/>
      <w:tcPr>
        <w:tcBorders>
          <w:top w:val="single" w:sz="4" w:space="0" w:color="FFFFFF" w:themeColor="light1"/>
          <w:bottom w:val="single" w:sz="4" w:space="0" w:color="FFFFFF" w:themeColor="light1"/>
        </w:tcBorders>
        <w:shd w:val="clear" w:color="4472C4" w:themeColor="accent1" w:fill="4472C4"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9BC2E5" w:themeColor="accent5" w:themeTint="9A" w:fill="9BC2E5" w:themeFill="accent5" w:themeFillTint="9A"/>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9BC2E5" w:themeColor="accent5" w:themeTint="9A" w:fill="9BC2E5"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9BC2E5" w:themeColor="accent5" w:themeTint="9A" w:fill="9BC2E5"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tblStylePr w:type="band2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4" w:space="0" w:color="000000"/>
          <w:left w:val="none" w:sz="4" w:space="0" w:color="000000"/>
          <w:bottom w:val="single" w:sz="4" w:space="0" w:color="4472C4" w:themeColor="accent1"/>
          <w:right w:val="none" w:sz="4" w:space="0" w:color="000000"/>
        </w:tcBorders>
        <w:shd w:val="clear" w:color="FFFFFF" w:themeColor="light1" w:fill="FFFFFF" w:themeFill="light1"/>
      </w:tcPr>
    </w:tblStylePr>
    <w:tblStylePr w:type="lastRow">
      <w:rPr>
        <w:rFonts w:ascii="Arial" w:hAnsi="Arial"/>
        <w:i/>
        <w:color w:val="254175" w:themeColor="accent1" w:themeShade="95"/>
        <w:sz w:val="22"/>
      </w:rPr>
      <w:tblPr/>
      <w:tcPr>
        <w:tcBorders>
          <w:top w:val="single" w:sz="4" w:space="0" w:color="4472C4"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1" w:themeShade="95"/>
        <w:sz w:val="22"/>
      </w:rPr>
      <w:tblPr/>
      <w:tcPr>
        <w:tcBorders>
          <w:top w:val="none" w:sz="4" w:space="0" w:color="000000"/>
          <w:left w:val="none" w:sz="4" w:space="0" w:color="000000"/>
          <w:bottom w:val="none" w:sz="4" w:space="0" w:color="000000"/>
          <w:right w:val="single" w:sz="4" w:space="0" w:color="4472C4" w:themeColor="accent1"/>
        </w:tcBorders>
        <w:shd w:val="clear" w:color="FFFFFF" w:fill="auto"/>
      </w:tcPr>
    </w:tblStylePr>
    <w:tblStylePr w:type="lastCol">
      <w:rPr>
        <w:rFonts w:ascii="Arial" w:hAnsi="Arial"/>
        <w:i/>
        <w:color w:val="254175" w:themeColor="accent1" w:themeShade="95"/>
        <w:sz w:val="22"/>
      </w:rPr>
      <w:tblPr/>
      <w:tcPr>
        <w:tcBorders>
          <w:top w:val="none" w:sz="4" w:space="0" w:color="000000"/>
          <w:left w:val="single" w:sz="4" w:space="0" w:color="4472C4" w:themeColor="accent1"/>
          <w:bottom w:val="none" w:sz="4" w:space="0" w:color="000000"/>
          <w:right w:val="none" w:sz="4" w:space="0" w:color="000000"/>
        </w:tcBorders>
        <w:shd w:val="clear" w:color="FFFFFF" w:fill="auto"/>
      </w:tc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4" w:space="0" w:color="000000"/>
          <w:left w:val="none" w:sz="4" w:space="0" w:color="000000"/>
          <w:bottom w:val="single" w:sz="4" w:space="0" w:color="9BC2E5" w:themeColor="accent5" w:themeTint="9A"/>
          <w:right w:val="none" w:sz="4" w:space="0" w:color="000000"/>
        </w:tcBorders>
        <w:shd w:val="clear" w:color="FFFFFF" w:themeColor="light1" w:fill="FFFFFF" w:themeFill="light1"/>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BC2E5" w:themeColor="accent5" w:themeTint="9A" w:themeShade="95"/>
        <w:sz w:val="22"/>
      </w:rPr>
      <w:tblPr/>
      <w:tcPr>
        <w:tcBorders>
          <w:top w:val="none" w:sz="4" w:space="0" w:color="000000"/>
          <w:left w:val="none" w:sz="4" w:space="0" w:color="000000"/>
          <w:bottom w:val="none" w:sz="4" w:space="0" w:color="000000"/>
          <w:right w:val="single" w:sz="4" w:space="0" w:color="9BC2E5" w:themeColor="accent5" w:themeTint="9A"/>
        </w:tcBorders>
        <w:shd w:val="clear" w:color="FFFFFF" w:fill="auto"/>
      </w:tcPr>
    </w:tblStylePr>
    <w:tblStylePr w:type="lastCol">
      <w:rPr>
        <w:rFonts w:ascii="Arial" w:hAnsi="Arial"/>
        <w:i/>
        <w:color w:val="9BC2E5" w:themeColor="accent5" w:themeTint="9A" w:themeShade="95"/>
        <w:sz w:val="22"/>
      </w:rPr>
      <w:tblPr/>
      <w:tcPr>
        <w:tcBorders>
          <w:top w:val="none" w:sz="4" w:space="0" w:color="000000"/>
          <w:left w:val="single" w:sz="4" w:space="0" w:color="9BC2E5" w:themeColor="accent5" w:themeTint="9A"/>
          <w:bottom w:val="none" w:sz="4" w:space="0" w:color="000000"/>
          <w:right w:val="none" w:sz="4" w:space="0" w:color="000000"/>
        </w:tcBorders>
        <w:shd w:val="clear" w:color="FFFFFF" w:fill="auto"/>
      </w:tc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Lined-Accent2">
    <w:name w:val="Lined - Accent 2"/>
    <w:basedOn w:val="a1"/>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Lined-Accent6">
    <w:name w:val="Lined - Accent 6"/>
    <w:basedOn w:val="a1"/>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ampLined-Accent">
    <w:name w:val="Bordered &amp;amp;Lined - Accent"/>
    <w:basedOn w:val="a1"/>
    <w:uiPriority w:val="99"/>
    <w:pPr>
      <w:spacing w:after="0" w:line="240" w:lineRule="auto"/>
    </w:pPr>
    <w:rPr>
      <w:color w:val="404040"/>
      <w:sz w:val="20"/>
      <w:szCs w:val="2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ampLined-Accent1">
    <w:name w:val="Bordered &amp;amp;Lined - Accent 1"/>
    <w:basedOn w:val="a1"/>
    <w:uiPriority w:val="99"/>
    <w:pPr>
      <w:spacing w:after="0" w:line="240" w:lineRule="auto"/>
    </w:pPr>
    <w:rPr>
      <w:color w:val="404040"/>
      <w:sz w:val="20"/>
      <w:szCs w:val="20"/>
    </w:rPr>
    <w:tblPr>
      <w:tblStyleRowBandSize w:val="1"/>
      <w:tblStyleColBandSize w:val="1"/>
      <w:tblBorders>
        <w:top w:val="single" w:sz="4" w:space="0" w:color="254175" w:themeColor="accent1" w:themeShade="95"/>
        <w:left w:val="single" w:sz="4" w:space="0" w:color="254175" w:themeColor="accent1" w:themeShade="95"/>
        <w:bottom w:val="single" w:sz="4" w:space="0" w:color="254175" w:themeColor="accent1" w:themeShade="95"/>
        <w:right w:val="single" w:sz="4" w:space="0" w:color="254175" w:themeColor="accent1" w:themeShade="95"/>
        <w:insideH w:val="single" w:sz="4" w:space="0" w:color="254175" w:themeColor="accent1" w:themeShade="95"/>
        <w:insideV w:val="single" w:sz="4" w:space="0" w:color="254175" w:themeColor="accent1" w:themeShade="95"/>
      </w:tblBorders>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BorderedampLined-Accent2">
    <w:name w:val="Bordered &amp;amp;Lined - Accent 2"/>
    <w:basedOn w:val="a1"/>
    <w:uiPriority w:val="99"/>
    <w:pPr>
      <w:spacing w:after="0" w:line="240" w:lineRule="auto"/>
    </w:pPr>
    <w:rPr>
      <w:color w:val="404040"/>
      <w:sz w:val="20"/>
      <w:szCs w:val="20"/>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ampLined-Accent3">
    <w:name w:val="Bordered &amp;amp;Lined - Accent 3"/>
    <w:basedOn w:val="a1"/>
    <w:uiPriority w:val="99"/>
    <w:pPr>
      <w:spacing w:after="0" w:line="240" w:lineRule="auto"/>
    </w:pPr>
    <w:rPr>
      <w:color w:val="404040"/>
      <w:sz w:val="20"/>
      <w:szCs w:val="20"/>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ampLined-Accent4">
    <w:name w:val="Bordered &amp;amp;Lined - Accent 4"/>
    <w:basedOn w:val="a1"/>
    <w:uiPriority w:val="99"/>
    <w:pPr>
      <w:spacing w:after="0" w:line="240" w:lineRule="auto"/>
    </w:pPr>
    <w:rPr>
      <w:color w:val="404040"/>
      <w:sz w:val="20"/>
      <w:szCs w:val="20"/>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ampLined-Accent5">
    <w:name w:val="Bordered &amp;amp;Lined - Accent 5"/>
    <w:basedOn w:val="a1"/>
    <w:uiPriority w:val="99"/>
    <w:pPr>
      <w:spacing w:after="0" w:line="240" w:lineRule="auto"/>
    </w:pPr>
    <w:rPr>
      <w:color w:val="404040"/>
      <w:sz w:val="20"/>
      <w:szCs w:val="20"/>
    </w:rPr>
    <w:tblPr>
      <w:tblStyleRowBandSize w:val="1"/>
      <w:tblStyleColBandSize w:val="1"/>
      <w:tblBorders>
        <w:top w:val="single" w:sz="4" w:space="0" w:color="245A8D" w:themeColor="accent5" w:themeShade="95"/>
        <w:left w:val="single" w:sz="4" w:space="0" w:color="245A8D" w:themeColor="accent5" w:themeShade="95"/>
        <w:bottom w:val="single" w:sz="4" w:space="0" w:color="245A8D" w:themeColor="accent5" w:themeShade="95"/>
        <w:right w:val="single" w:sz="4" w:space="0" w:color="245A8D" w:themeColor="accent5" w:themeShade="95"/>
        <w:insideH w:val="single" w:sz="4" w:space="0" w:color="245A8D" w:themeColor="accent5" w:themeShade="95"/>
        <w:insideV w:val="single" w:sz="4" w:space="0" w:color="245A8D" w:themeColor="accent5" w:themeShade="95"/>
      </w:tblBorders>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BorderedampLined-Accent6">
    <w:name w:val="Bordered &amp;amp;Lined - Accent 6"/>
    <w:basedOn w:val="a1"/>
    <w:uiPriority w:val="99"/>
    <w:pPr>
      <w:spacing w:after="0" w:line="240" w:lineRule="auto"/>
    </w:pPr>
    <w:rPr>
      <w:color w:val="404040"/>
      <w:sz w:val="20"/>
      <w:szCs w:val="20"/>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rFonts w:ascii="Arial" w:hAnsi="Arial"/>
        <w:color w:val="404040"/>
        <w:sz w:val="22"/>
      </w:rPr>
      <w:tblPr/>
      <w:tcPr>
        <w:tcBorders>
          <w:bottom w:val="single" w:sz="12" w:space="0" w:color="4472C4" w:themeColor="accent1"/>
        </w:tcBorders>
      </w:tcPr>
    </w:tblStylePr>
    <w:tblStylePr w:type="lastRow">
      <w:rPr>
        <w:rFonts w:ascii="Arial" w:hAnsi="Arial"/>
        <w:color w:val="404040"/>
        <w:sz w:val="22"/>
      </w:rPr>
      <w:tblPr/>
      <w:tcPr>
        <w:tcBorders>
          <w:top w:val="single" w:sz="12" w:space="0" w:color="4472C4"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472C4" w:themeColor="accent1"/>
        </w:tcBorders>
      </w:tc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rFonts w:ascii="Arial" w:hAnsi="Arial"/>
        <w:color w:val="404040"/>
        <w:sz w:val="22"/>
      </w:rPr>
      <w:tblPr/>
      <w:tcPr>
        <w:tcBorders>
          <w:bottom w:val="single" w:sz="12" w:space="0" w:color="9BC2E5" w:themeColor="accent5" w:themeTint="9A"/>
        </w:tcBorders>
      </w:tcPr>
    </w:tblStylePr>
    <w:tblStylePr w:type="lastRow">
      <w:rPr>
        <w:rFonts w:ascii="Arial" w:hAnsi="Arial"/>
        <w:color w:val="404040"/>
        <w:sz w:val="22"/>
      </w:rPr>
      <w:tblPr/>
      <w:tcPr>
        <w:tcBorders>
          <w:top w:val="single" w:sz="12" w:space="0" w:color="9BC2E5"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BC2E5" w:themeColor="accent5" w:themeTint="9A"/>
        </w:tcBorders>
      </w:tc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0">
    <w:name w:val="Hyperlink"/>
    <w:uiPriority w:val="99"/>
    <w:unhideWhenUsed/>
    <w:rPr>
      <w:color w:val="0563C1" w:themeColor="hyperlink"/>
      <w:u w:val="single"/>
    </w:rPr>
  </w:style>
  <w:style w:type="character" w:customStyle="1" w:styleId="FootnoteTextChar">
    <w:name w:val="Footnote Text Char"/>
    <w:uiPriority w:val="99"/>
    <w:rPr>
      <w:sz w:val="18"/>
    </w:rPr>
  </w:style>
  <w:style w:type="paragraph" w:styleId="af1">
    <w:name w:val="endnote text"/>
    <w:basedOn w:val="a"/>
    <w:link w:val="af2"/>
    <w:uiPriority w:val="99"/>
    <w:semiHidden/>
    <w:unhideWhenUsed/>
    <w:pPr>
      <w:spacing w:after="0" w:line="240" w:lineRule="auto"/>
    </w:pPr>
    <w:rPr>
      <w:sz w:val="20"/>
    </w:rPr>
  </w:style>
  <w:style w:type="character" w:customStyle="1" w:styleId="af2">
    <w:name w:val="Текст концевой сноски Знак"/>
    <w:link w:val="af1"/>
    <w:uiPriority w:val="99"/>
    <w:rPr>
      <w:sz w:val="20"/>
    </w:rPr>
  </w:style>
  <w:style w:type="character" w:styleId="af3">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4">
    <w:name w:val="TOC Heading"/>
    <w:uiPriority w:val="39"/>
    <w:unhideWhenUsed/>
  </w:style>
  <w:style w:type="paragraph" w:styleId="af5">
    <w:name w:val="table of figures"/>
    <w:basedOn w:val="a"/>
    <w:next w:val="a"/>
    <w:uiPriority w:val="99"/>
    <w:unhideWhenUsed/>
    <w:pPr>
      <w:spacing w:after="0"/>
    </w:pPr>
  </w:style>
  <w:style w:type="paragraph" w:customStyle="1" w:styleId="af6">
    <w:name w:val="Таблица ГОСТ"/>
    <w:basedOn w:val="a"/>
    <w:link w:val="af7"/>
    <w:qFormat/>
    <w:pPr>
      <w:keepNext/>
      <w:spacing w:after="0" w:line="240" w:lineRule="auto"/>
    </w:pPr>
    <w:rPr>
      <w:rFonts w:ascii="Times New Roman" w:eastAsia="Times New Roman" w:hAnsi="Times New Roman" w:cs="Times New Roman"/>
      <w:sz w:val="24"/>
      <w:szCs w:val="24"/>
    </w:rPr>
  </w:style>
  <w:style w:type="character" w:customStyle="1" w:styleId="af7">
    <w:name w:val="Таблица ГОСТ Знак"/>
    <w:basedOn w:val="a0"/>
    <w:link w:val="af6"/>
    <w:rPr>
      <w:rFonts w:ascii="Times New Roman" w:eastAsia="Times New Roman" w:hAnsi="Times New Roman" w:cs="Times New Roman"/>
      <w:sz w:val="24"/>
      <w:szCs w:val="24"/>
    </w:rPr>
  </w:style>
  <w:style w:type="paragraph" w:customStyle="1" w:styleId="af8">
    <w:name w:val="Рисунки в статье"/>
    <w:basedOn w:val="a"/>
    <w:link w:val="af9"/>
    <w:qFormat/>
    <w:pPr>
      <w:spacing w:after="0" w:line="240" w:lineRule="auto"/>
      <w:jc w:val="center"/>
    </w:pPr>
    <w:rPr>
      <w:rFonts w:ascii="Times New Roman" w:hAnsi="Times New Roman" w:cs="Times New Roman"/>
      <w:sz w:val="28"/>
      <w:szCs w:val="28"/>
    </w:rPr>
  </w:style>
  <w:style w:type="character" w:customStyle="1" w:styleId="af9">
    <w:name w:val="Рисунки в статье Знак"/>
    <w:basedOn w:val="a0"/>
    <w:link w:val="af8"/>
    <w:rPr>
      <w:rFonts w:ascii="Times New Roman" w:hAnsi="Times New Roman" w:cs="Times New Roman"/>
      <w:sz w:val="28"/>
      <w:szCs w:val="28"/>
    </w:rPr>
  </w:style>
  <w:style w:type="table" w:styleId="afa">
    <w:name w:val="Table Grid"/>
    <w:basedOn w:val="a1"/>
    <w:uiPriority w:val="39"/>
    <w:qFormat/>
    <w:pPr>
      <w:spacing w:after="0" w:line="240" w:lineRule="auto"/>
      <w:jc w:val="both"/>
    </w:pPr>
    <w:rPr>
      <w:rFonts w:ascii="Times New Roman" w:hAnsi="Times New Roman" w:cs="Times New Roman"/>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b">
    <w:name w:val="footnote text"/>
    <w:basedOn w:val="a"/>
    <w:link w:val="afc"/>
    <w:uiPriority w:val="99"/>
    <w:unhideWhenUsed/>
    <w:qFormat/>
    <w:pPr>
      <w:spacing w:after="0" w:line="240" w:lineRule="auto"/>
      <w:jc w:val="both"/>
    </w:pPr>
    <w:rPr>
      <w:rFonts w:ascii="Times New Roman" w:hAnsi="Times New Roman" w:cs="Times New Roman"/>
      <w:sz w:val="20"/>
      <w:szCs w:val="20"/>
    </w:rPr>
  </w:style>
  <w:style w:type="character" w:customStyle="1" w:styleId="afc">
    <w:name w:val="Текст сноски Знак"/>
    <w:basedOn w:val="a0"/>
    <w:link w:val="afb"/>
    <w:uiPriority w:val="99"/>
    <w:rPr>
      <w:rFonts w:ascii="Times New Roman" w:hAnsi="Times New Roman" w:cs="Times New Roman"/>
      <w:sz w:val="20"/>
      <w:szCs w:val="20"/>
    </w:rPr>
  </w:style>
  <w:style w:type="character" w:styleId="afd">
    <w:name w:val="footnote reference"/>
    <w:basedOn w:val="a0"/>
    <w:uiPriority w:val="99"/>
    <w:unhideWhenUsed/>
    <w:qFormat/>
    <w:rPr>
      <w:vertAlign w:val="superscript"/>
    </w:rPr>
  </w:style>
  <w:style w:type="paragraph" w:customStyle="1" w:styleId="p1">
    <w:name w:val="p1"/>
    <w:basedOn w:val="a"/>
    <w:rsid w:val="00E34919"/>
    <w:pPr>
      <w:spacing w:after="0" w:line="240" w:lineRule="auto"/>
    </w:pPr>
    <w:rPr>
      <w:rFonts w:ascii="Times New Roman" w:eastAsia="Times New Roman" w:hAnsi="Times New Roman" w:cs="Times New Roman"/>
      <w:color w:val="000000"/>
      <w:sz w:val="21"/>
      <w:szCs w:val="21"/>
    </w:rPr>
  </w:style>
  <w:style w:type="character" w:styleId="afe">
    <w:name w:val="Unresolved Mention"/>
    <w:basedOn w:val="a0"/>
    <w:uiPriority w:val="99"/>
    <w:semiHidden/>
    <w:unhideWhenUsed/>
    <w:rsid w:val="00E349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672129">
      <w:bodyDiv w:val="1"/>
      <w:marLeft w:val="0"/>
      <w:marRight w:val="0"/>
      <w:marTop w:val="0"/>
      <w:marBottom w:val="0"/>
      <w:divBdr>
        <w:top w:val="none" w:sz="0" w:space="0" w:color="auto"/>
        <w:left w:val="none" w:sz="0" w:space="0" w:color="auto"/>
        <w:bottom w:val="none" w:sz="0" w:space="0" w:color="auto"/>
        <w:right w:val="none" w:sz="0" w:space="0" w:color="auto"/>
      </w:divBdr>
    </w:div>
    <w:div w:id="212498092">
      <w:bodyDiv w:val="1"/>
      <w:marLeft w:val="0"/>
      <w:marRight w:val="0"/>
      <w:marTop w:val="0"/>
      <w:marBottom w:val="0"/>
      <w:divBdr>
        <w:top w:val="none" w:sz="0" w:space="0" w:color="auto"/>
        <w:left w:val="none" w:sz="0" w:space="0" w:color="auto"/>
        <w:bottom w:val="none" w:sz="0" w:space="0" w:color="auto"/>
        <w:right w:val="none" w:sz="0" w:space="0" w:color="auto"/>
      </w:divBdr>
    </w:div>
    <w:div w:id="254411046">
      <w:bodyDiv w:val="1"/>
      <w:marLeft w:val="0"/>
      <w:marRight w:val="0"/>
      <w:marTop w:val="0"/>
      <w:marBottom w:val="0"/>
      <w:divBdr>
        <w:top w:val="none" w:sz="0" w:space="0" w:color="auto"/>
        <w:left w:val="none" w:sz="0" w:space="0" w:color="auto"/>
        <w:bottom w:val="none" w:sz="0" w:space="0" w:color="auto"/>
        <w:right w:val="none" w:sz="0" w:space="0" w:color="auto"/>
      </w:divBdr>
    </w:div>
    <w:div w:id="288438637">
      <w:bodyDiv w:val="1"/>
      <w:marLeft w:val="0"/>
      <w:marRight w:val="0"/>
      <w:marTop w:val="0"/>
      <w:marBottom w:val="0"/>
      <w:divBdr>
        <w:top w:val="none" w:sz="0" w:space="0" w:color="auto"/>
        <w:left w:val="none" w:sz="0" w:space="0" w:color="auto"/>
        <w:bottom w:val="none" w:sz="0" w:space="0" w:color="auto"/>
        <w:right w:val="none" w:sz="0" w:space="0" w:color="auto"/>
      </w:divBdr>
    </w:div>
    <w:div w:id="316497086">
      <w:bodyDiv w:val="1"/>
      <w:marLeft w:val="0"/>
      <w:marRight w:val="0"/>
      <w:marTop w:val="0"/>
      <w:marBottom w:val="0"/>
      <w:divBdr>
        <w:top w:val="none" w:sz="0" w:space="0" w:color="auto"/>
        <w:left w:val="none" w:sz="0" w:space="0" w:color="auto"/>
        <w:bottom w:val="none" w:sz="0" w:space="0" w:color="auto"/>
        <w:right w:val="none" w:sz="0" w:space="0" w:color="auto"/>
      </w:divBdr>
    </w:div>
    <w:div w:id="358898605">
      <w:bodyDiv w:val="1"/>
      <w:marLeft w:val="0"/>
      <w:marRight w:val="0"/>
      <w:marTop w:val="0"/>
      <w:marBottom w:val="0"/>
      <w:divBdr>
        <w:top w:val="none" w:sz="0" w:space="0" w:color="auto"/>
        <w:left w:val="none" w:sz="0" w:space="0" w:color="auto"/>
        <w:bottom w:val="none" w:sz="0" w:space="0" w:color="auto"/>
        <w:right w:val="none" w:sz="0" w:space="0" w:color="auto"/>
      </w:divBdr>
    </w:div>
    <w:div w:id="398945135">
      <w:bodyDiv w:val="1"/>
      <w:marLeft w:val="0"/>
      <w:marRight w:val="0"/>
      <w:marTop w:val="0"/>
      <w:marBottom w:val="0"/>
      <w:divBdr>
        <w:top w:val="none" w:sz="0" w:space="0" w:color="auto"/>
        <w:left w:val="none" w:sz="0" w:space="0" w:color="auto"/>
        <w:bottom w:val="none" w:sz="0" w:space="0" w:color="auto"/>
        <w:right w:val="none" w:sz="0" w:space="0" w:color="auto"/>
      </w:divBdr>
    </w:div>
    <w:div w:id="416750575">
      <w:bodyDiv w:val="1"/>
      <w:marLeft w:val="0"/>
      <w:marRight w:val="0"/>
      <w:marTop w:val="0"/>
      <w:marBottom w:val="0"/>
      <w:divBdr>
        <w:top w:val="none" w:sz="0" w:space="0" w:color="auto"/>
        <w:left w:val="none" w:sz="0" w:space="0" w:color="auto"/>
        <w:bottom w:val="none" w:sz="0" w:space="0" w:color="auto"/>
        <w:right w:val="none" w:sz="0" w:space="0" w:color="auto"/>
      </w:divBdr>
    </w:div>
    <w:div w:id="456338366">
      <w:bodyDiv w:val="1"/>
      <w:marLeft w:val="0"/>
      <w:marRight w:val="0"/>
      <w:marTop w:val="0"/>
      <w:marBottom w:val="0"/>
      <w:divBdr>
        <w:top w:val="none" w:sz="0" w:space="0" w:color="auto"/>
        <w:left w:val="none" w:sz="0" w:space="0" w:color="auto"/>
        <w:bottom w:val="none" w:sz="0" w:space="0" w:color="auto"/>
        <w:right w:val="none" w:sz="0" w:space="0" w:color="auto"/>
      </w:divBdr>
    </w:div>
    <w:div w:id="525605479">
      <w:bodyDiv w:val="1"/>
      <w:marLeft w:val="0"/>
      <w:marRight w:val="0"/>
      <w:marTop w:val="0"/>
      <w:marBottom w:val="0"/>
      <w:divBdr>
        <w:top w:val="none" w:sz="0" w:space="0" w:color="auto"/>
        <w:left w:val="none" w:sz="0" w:space="0" w:color="auto"/>
        <w:bottom w:val="none" w:sz="0" w:space="0" w:color="auto"/>
        <w:right w:val="none" w:sz="0" w:space="0" w:color="auto"/>
      </w:divBdr>
    </w:div>
    <w:div w:id="582832786">
      <w:bodyDiv w:val="1"/>
      <w:marLeft w:val="0"/>
      <w:marRight w:val="0"/>
      <w:marTop w:val="0"/>
      <w:marBottom w:val="0"/>
      <w:divBdr>
        <w:top w:val="none" w:sz="0" w:space="0" w:color="auto"/>
        <w:left w:val="none" w:sz="0" w:space="0" w:color="auto"/>
        <w:bottom w:val="none" w:sz="0" w:space="0" w:color="auto"/>
        <w:right w:val="none" w:sz="0" w:space="0" w:color="auto"/>
      </w:divBdr>
    </w:div>
    <w:div w:id="588540243">
      <w:bodyDiv w:val="1"/>
      <w:marLeft w:val="0"/>
      <w:marRight w:val="0"/>
      <w:marTop w:val="0"/>
      <w:marBottom w:val="0"/>
      <w:divBdr>
        <w:top w:val="none" w:sz="0" w:space="0" w:color="auto"/>
        <w:left w:val="none" w:sz="0" w:space="0" w:color="auto"/>
        <w:bottom w:val="none" w:sz="0" w:space="0" w:color="auto"/>
        <w:right w:val="none" w:sz="0" w:space="0" w:color="auto"/>
      </w:divBdr>
    </w:div>
    <w:div w:id="641154688">
      <w:bodyDiv w:val="1"/>
      <w:marLeft w:val="0"/>
      <w:marRight w:val="0"/>
      <w:marTop w:val="0"/>
      <w:marBottom w:val="0"/>
      <w:divBdr>
        <w:top w:val="none" w:sz="0" w:space="0" w:color="auto"/>
        <w:left w:val="none" w:sz="0" w:space="0" w:color="auto"/>
        <w:bottom w:val="none" w:sz="0" w:space="0" w:color="auto"/>
        <w:right w:val="none" w:sz="0" w:space="0" w:color="auto"/>
      </w:divBdr>
    </w:div>
    <w:div w:id="759641487">
      <w:bodyDiv w:val="1"/>
      <w:marLeft w:val="0"/>
      <w:marRight w:val="0"/>
      <w:marTop w:val="0"/>
      <w:marBottom w:val="0"/>
      <w:divBdr>
        <w:top w:val="none" w:sz="0" w:space="0" w:color="auto"/>
        <w:left w:val="none" w:sz="0" w:space="0" w:color="auto"/>
        <w:bottom w:val="none" w:sz="0" w:space="0" w:color="auto"/>
        <w:right w:val="none" w:sz="0" w:space="0" w:color="auto"/>
      </w:divBdr>
    </w:div>
    <w:div w:id="860582660">
      <w:bodyDiv w:val="1"/>
      <w:marLeft w:val="0"/>
      <w:marRight w:val="0"/>
      <w:marTop w:val="0"/>
      <w:marBottom w:val="0"/>
      <w:divBdr>
        <w:top w:val="none" w:sz="0" w:space="0" w:color="auto"/>
        <w:left w:val="none" w:sz="0" w:space="0" w:color="auto"/>
        <w:bottom w:val="none" w:sz="0" w:space="0" w:color="auto"/>
        <w:right w:val="none" w:sz="0" w:space="0" w:color="auto"/>
      </w:divBdr>
      <w:divsChild>
        <w:div w:id="2130780605">
          <w:marLeft w:val="0"/>
          <w:marRight w:val="0"/>
          <w:marTop w:val="0"/>
          <w:marBottom w:val="0"/>
          <w:divBdr>
            <w:top w:val="single" w:sz="2" w:space="0" w:color="auto"/>
            <w:left w:val="single" w:sz="2" w:space="0" w:color="auto"/>
            <w:bottom w:val="single" w:sz="2" w:space="0" w:color="auto"/>
            <w:right w:val="single" w:sz="2" w:space="0" w:color="auto"/>
          </w:divBdr>
          <w:divsChild>
            <w:div w:id="581330928">
              <w:marLeft w:val="0"/>
              <w:marRight w:val="0"/>
              <w:marTop w:val="0"/>
              <w:marBottom w:val="0"/>
              <w:divBdr>
                <w:top w:val="single" w:sz="2" w:space="0" w:color="auto"/>
                <w:left w:val="single" w:sz="2" w:space="0" w:color="auto"/>
                <w:bottom w:val="single" w:sz="2" w:space="0" w:color="auto"/>
                <w:right w:val="single" w:sz="2" w:space="0" w:color="auto"/>
              </w:divBdr>
              <w:divsChild>
                <w:div w:id="186543845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915094394">
      <w:bodyDiv w:val="1"/>
      <w:marLeft w:val="0"/>
      <w:marRight w:val="0"/>
      <w:marTop w:val="0"/>
      <w:marBottom w:val="0"/>
      <w:divBdr>
        <w:top w:val="none" w:sz="0" w:space="0" w:color="auto"/>
        <w:left w:val="none" w:sz="0" w:space="0" w:color="auto"/>
        <w:bottom w:val="none" w:sz="0" w:space="0" w:color="auto"/>
        <w:right w:val="none" w:sz="0" w:space="0" w:color="auto"/>
      </w:divBdr>
    </w:div>
    <w:div w:id="936795102">
      <w:bodyDiv w:val="1"/>
      <w:marLeft w:val="0"/>
      <w:marRight w:val="0"/>
      <w:marTop w:val="0"/>
      <w:marBottom w:val="0"/>
      <w:divBdr>
        <w:top w:val="none" w:sz="0" w:space="0" w:color="auto"/>
        <w:left w:val="none" w:sz="0" w:space="0" w:color="auto"/>
        <w:bottom w:val="none" w:sz="0" w:space="0" w:color="auto"/>
        <w:right w:val="none" w:sz="0" w:space="0" w:color="auto"/>
      </w:divBdr>
    </w:div>
    <w:div w:id="975916303">
      <w:bodyDiv w:val="1"/>
      <w:marLeft w:val="0"/>
      <w:marRight w:val="0"/>
      <w:marTop w:val="0"/>
      <w:marBottom w:val="0"/>
      <w:divBdr>
        <w:top w:val="none" w:sz="0" w:space="0" w:color="auto"/>
        <w:left w:val="none" w:sz="0" w:space="0" w:color="auto"/>
        <w:bottom w:val="none" w:sz="0" w:space="0" w:color="auto"/>
        <w:right w:val="none" w:sz="0" w:space="0" w:color="auto"/>
      </w:divBdr>
    </w:div>
    <w:div w:id="1325432393">
      <w:bodyDiv w:val="1"/>
      <w:marLeft w:val="0"/>
      <w:marRight w:val="0"/>
      <w:marTop w:val="0"/>
      <w:marBottom w:val="0"/>
      <w:divBdr>
        <w:top w:val="none" w:sz="0" w:space="0" w:color="auto"/>
        <w:left w:val="none" w:sz="0" w:space="0" w:color="auto"/>
        <w:bottom w:val="none" w:sz="0" w:space="0" w:color="auto"/>
        <w:right w:val="none" w:sz="0" w:space="0" w:color="auto"/>
      </w:divBdr>
    </w:div>
    <w:div w:id="1427459874">
      <w:bodyDiv w:val="1"/>
      <w:marLeft w:val="0"/>
      <w:marRight w:val="0"/>
      <w:marTop w:val="0"/>
      <w:marBottom w:val="0"/>
      <w:divBdr>
        <w:top w:val="none" w:sz="0" w:space="0" w:color="auto"/>
        <w:left w:val="none" w:sz="0" w:space="0" w:color="auto"/>
        <w:bottom w:val="none" w:sz="0" w:space="0" w:color="auto"/>
        <w:right w:val="none" w:sz="0" w:space="0" w:color="auto"/>
      </w:divBdr>
    </w:div>
    <w:div w:id="1691448248">
      <w:bodyDiv w:val="1"/>
      <w:marLeft w:val="0"/>
      <w:marRight w:val="0"/>
      <w:marTop w:val="0"/>
      <w:marBottom w:val="0"/>
      <w:divBdr>
        <w:top w:val="none" w:sz="0" w:space="0" w:color="auto"/>
        <w:left w:val="none" w:sz="0" w:space="0" w:color="auto"/>
        <w:bottom w:val="none" w:sz="0" w:space="0" w:color="auto"/>
        <w:right w:val="none" w:sz="0" w:space="0" w:color="auto"/>
      </w:divBdr>
    </w:div>
    <w:div w:id="1715034326">
      <w:bodyDiv w:val="1"/>
      <w:marLeft w:val="0"/>
      <w:marRight w:val="0"/>
      <w:marTop w:val="0"/>
      <w:marBottom w:val="0"/>
      <w:divBdr>
        <w:top w:val="none" w:sz="0" w:space="0" w:color="auto"/>
        <w:left w:val="none" w:sz="0" w:space="0" w:color="auto"/>
        <w:bottom w:val="none" w:sz="0" w:space="0" w:color="auto"/>
        <w:right w:val="none" w:sz="0" w:space="0" w:color="auto"/>
      </w:divBdr>
    </w:div>
    <w:div w:id="1948656030">
      <w:bodyDiv w:val="1"/>
      <w:marLeft w:val="0"/>
      <w:marRight w:val="0"/>
      <w:marTop w:val="0"/>
      <w:marBottom w:val="0"/>
      <w:divBdr>
        <w:top w:val="none" w:sz="0" w:space="0" w:color="auto"/>
        <w:left w:val="none" w:sz="0" w:space="0" w:color="auto"/>
        <w:bottom w:val="none" w:sz="0" w:space="0" w:color="auto"/>
        <w:right w:val="none" w:sz="0" w:space="0" w:color="auto"/>
      </w:divBdr>
    </w:div>
    <w:div w:id="1962300862">
      <w:bodyDiv w:val="1"/>
      <w:marLeft w:val="0"/>
      <w:marRight w:val="0"/>
      <w:marTop w:val="0"/>
      <w:marBottom w:val="0"/>
      <w:divBdr>
        <w:top w:val="none" w:sz="0" w:space="0" w:color="auto"/>
        <w:left w:val="none" w:sz="0" w:space="0" w:color="auto"/>
        <w:bottom w:val="none" w:sz="0" w:space="0" w:color="auto"/>
        <w:right w:val="none" w:sz="0" w:space="0" w:color="auto"/>
      </w:divBdr>
    </w:div>
    <w:div w:id="2005625187">
      <w:bodyDiv w:val="1"/>
      <w:marLeft w:val="0"/>
      <w:marRight w:val="0"/>
      <w:marTop w:val="0"/>
      <w:marBottom w:val="0"/>
      <w:divBdr>
        <w:top w:val="none" w:sz="0" w:space="0" w:color="auto"/>
        <w:left w:val="none" w:sz="0" w:space="0" w:color="auto"/>
        <w:bottom w:val="none" w:sz="0" w:space="0" w:color="auto"/>
        <w:right w:val="none" w:sz="0" w:space="0" w:color="auto"/>
      </w:divBdr>
    </w:div>
    <w:div w:id="2061129042">
      <w:bodyDiv w:val="1"/>
      <w:marLeft w:val="0"/>
      <w:marRight w:val="0"/>
      <w:marTop w:val="0"/>
      <w:marBottom w:val="0"/>
      <w:divBdr>
        <w:top w:val="none" w:sz="0" w:space="0" w:color="auto"/>
        <w:left w:val="none" w:sz="0" w:space="0" w:color="auto"/>
        <w:bottom w:val="none" w:sz="0" w:space="0" w:color="auto"/>
        <w:right w:val="none" w:sz="0" w:space="0" w:color="auto"/>
      </w:divBdr>
    </w:div>
    <w:div w:id="2115444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ibliography:Sources xmlns:bibliography="http://schemas.openxmlformats.org/officeDocument/2006/bibliography" SelectedStyle="\APASixthEditionOfficeOnline.xsl" StyleName="APA" Version="6"/>
</file>

<file path=customXml/itemProps1.xml><?xml version="1.0" encoding="utf-8"?>
<ds:datastoreItem xmlns:ds="http://schemas.openxmlformats.org/officeDocument/2006/customXml" ds:itemID="{462D9232-19B3-4B58-9F3E-9BED641E93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TotalTime>
  <Pages>3</Pages>
  <Words>1506</Words>
  <Characters>8590</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Лейла Натиговна Нацун</dc:creator>
  <cp:keywords/>
  <dc:description/>
  <cp:lastModifiedBy>Sergey</cp:lastModifiedBy>
  <cp:revision>49</cp:revision>
  <dcterms:created xsi:type="dcterms:W3CDTF">2024-02-05T06:51:00Z</dcterms:created>
  <dcterms:modified xsi:type="dcterms:W3CDTF">2026-03-27T12:35:00Z</dcterms:modified>
</cp:coreProperties>
</file>