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2E47" w:rsidRPr="00206C51" w:rsidRDefault="0077036A">
      <w:pPr>
        <w:pStyle w:val="2"/>
        <w:rPr>
          <w:rFonts w:ascii="Times New Roman" w:hAnsi="Times New Roman" w:cs="Times New Roman"/>
        </w:rPr>
      </w:pPr>
      <w:r w:rsidRPr="00EA5249">
        <w:rPr>
          <w:rFonts w:ascii="Times New Roman" w:hAnsi="Times New Roman" w:cs="Times New Roman"/>
        </w:rPr>
        <w:t xml:space="preserve">УДК </w:t>
      </w:r>
      <w:r w:rsidR="00B661E5" w:rsidRPr="004D7C24">
        <w:rPr>
          <w:rFonts w:ascii="Times New Roman" w:hAnsi="Times New Roman" w:cs="Times New Roman"/>
        </w:rPr>
        <w:t>331</w:t>
      </w:r>
      <w:r w:rsidR="00B661E5">
        <w:rPr>
          <w:rFonts w:ascii="Times New Roman" w:hAnsi="Times New Roman" w:cs="Times New Roman"/>
        </w:rPr>
        <w:t>.1+</w:t>
      </w:r>
      <w:r w:rsidR="004D7C24">
        <w:rPr>
          <w:rFonts w:ascii="Times New Roman" w:hAnsi="Times New Roman" w:cs="Times New Roman"/>
        </w:rPr>
        <w:t>377.6</w:t>
      </w:r>
      <w:r w:rsidR="004F4581">
        <w:rPr>
          <w:rFonts w:ascii="Times New Roman" w:hAnsi="Times New Roman" w:cs="Times New Roman"/>
        </w:rPr>
        <w:t>+334.7</w:t>
      </w:r>
      <w:r w:rsidRPr="00EA5249">
        <w:rPr>
          <w:rFonts w:ascii="Times New Roman" w:hAnsi="Times New Roman" w:cs="Times New Roman"/>
        </w:rPr>
        <w:t xml:space="preserve"> / ББК 65.</w:t>
      </w:r>
      <w:r w:rsidR="004F4581">
        <w:rPr>
          <w:rFonts w:ascii="Times New Roman" w:hAnsi="Times New Roman" w:cs="Times New Roman"/>
        </w:rPr>
        <w:t>240</w:t>
      </w:r>
      <w:r w:rsidR="004F4581" w:rsidRPr="004F4581">
        <w:rPr>
          <w:rFonts w:ascii="Times New Roman" w:hAnsi="Times New Roman" w:cs="Times New Roman"/>
        </w:rPr>
        <w:t>+60.</w:t>
      </w:r>
      <w:r w:rsidR="007E461D" w:rsidRPr="00EC4705">
        <w:rPr>
          <w:rFonts w:ascii="Times New Roman" w:hAnsi="Times New Roman" w:cs="Times New Roman"/>
        </w:rPr>
        <w:t>561.2</w:t>
      </w:r>
    </w:p>
    <w:p w:rsidR="009C2E47" w:rsidRDefault="008E3A7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Латышев</w:t>
      </w:r>
      <w:r w:rsidR="007703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Д</w:t>
      </w:r>
      <w:r w:rsidR="0077036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М</w:t>
      </w:r>
      <w:r w:rsidR="0077036A">
        <w:rPr>
          <w:rFonts w:ascii="Times New Roman" w:hAnsi="Times New Roman" w:cs="Times New Roman"/>
          <w:b/>
          <w:sz w:val="24"/>
          <w:szCs w:val="24"/>
        </w:rPr>
        <w:t>.</w:t>
      </w:r>
    </w:p>
    <w:p w:rsidR="008D3D22" w:rsidRDefault="008D3D2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32353867"/>
      <w:bookmarkStart w:id="1" w:name="_Hlk129337751"/>
      <w:bookmarkEnd w:id="0"/>
      <w:bookmarkEnd w:id="1"/>
    </w:p>
    <w:p w:rsidR="009C2E47" w:rsidRDefault="009325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ЗАКРЫТИЕ КАДРОВОЙ ПОТРЕБНОСТИ </w:t>
      </w:r>
      <w:r w:rsidR="006E010F">
        <w:rPr>
          <w:rFonts w:ascii="Times New Roman" w:hAnsi="Times New Roman" w:cs="Times New Roman"/>
          <w:b/>
          <w:bCs/>
          <w:sz w:val="24"/>
          <w:szCs w:val="24"/>
        </w:rPr>
        <w:t xml:space="preserve">В </w:t>
      </w:r>
      <w:r>
        <w:rPr>
          <w:rFonts w:ascii="Times New Roman" w:hAnsi="Times New Roman" w:cs="Times New Roman"/>
          <w:b/>
          <w:bCs/>
          <w:sz w:val="24"/>
          <w:szCs w:val="24"/>
        </w:rPr>
        <w:t>ВЫПУСКНИКА</w:t>
      </w:r>
      <w:r w:rsidR="006E010F">
        <w:rPr>
          <w:rFonts w:ascii="Times New Roman" w:hAnsi="Times New Roman" w:cs="Times New Roman"/>
          <w:b/>
          <w:bCs/>
          <w:sz w:val="24"/>
          <w:szCs w:val="24"/>
        </w:rPr>
        <w:t>Х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СПО В СВЕРДЛОВСКОЙ ОБЛАСТИ: </w:t>
      </w:r>
      <w:r w:rsidR="009204E8">
        <w:rPr>
          <w:rFonts w:ascii="Times New Roman" w:hAnsi="Times New Roman" w:cs="Times New Roman"/>
          <w:b/>
          <w:bCs/>
          <w:sz w:val="24"/>
          <w:szCs w:val="24"/>
        </w:rPr>
        <w:t xml:space="preserve">ХАРАКТЕРИСТИКА </w:t>
      </w:r>
      <w:r w:rsidR="006E010F">
        <w:rPr>
          <w:rFonts w:ascii="Times New Roman" w:hAnsi="Times New Roman" w:cs="Times New Roman"/>
          <w:b/>
          <w:bCs/>
          <w:sz w:val="24"/>
          <w:szCs w:val="24"/>
        </w:rPr>
        <w:t>РАБОТОДАТЕЛ</w:t>
      </w:r>
      <w:r w:rsidR="009204E8">
        <w:rPr>
          <w:rFonts w:ascii="Times New Roman" w:hAnsi="Times New Roman" w:cs="Times New Roman"/>
          <w:b/>
          <w:bCs/>
          <w:sz w:val="24"/>
          <w:szCs w:val="24"/>
        </w:rPr>
        <w:t>ЯМИ</w:t>
      </w:r>
      <w:r w:rsidR="006E010F">
        <w:rPr>
          <w:rFonts w:ascii="Times New Roman" w:hAnsi="Times New Roman" w:cs="Times New Roman"/>
          <w:b/>
          <w:bCs/>
          <w:sz w:val="24"/>
          <w:szCs w:val="24"/>
        </w:rPr>
        <w:t xml:space="preserve"> ПРЕДПРИЯТИЙ РЕЕСТРА МСП ПОДГОТОВЛЕННОСТИ ВЫПУСКНИКОВ И </w:t>
      </w:r>
      <w:r w:rsidR="00943E6A">
        <w:rPr>
          <w:rFonts w:ascii="Times New Roman" w:hAnsi="Times New Roman" w:cs="Times New Roman"/>
          <w:b/>
          <w:bCs/>
          <w:sz w:val="24"/>
          <w:szCs w:val="24"/>
        </w:rPr>
        <w:t>СПЕЦИФИК</w:t>
      </w:r>
      <w:r w:rsidR="009204E8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943E6A">
        <w:rPr>
          <w:rFonts w:ascii="Times New Roman" w:hAnsi="Times New Roman" w:cs="Times New Roman"/>
          <w:b/>
          <w:bCs/>
          <w:sz w:val="24"/>
          <w:szCs w:val="24"/>
        </w:rPr>
        <w:t xml:space="preserve"> НАЁМА</w:t>
      </w:r>
    </w:p>
    <w:p w:rsidR="009C2E47" w:rsidRDefault="009C2E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9C2E47" w:rsidRDefault="007703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bCs/>
          <w:sz w:val="24"/>
          <w:szCs w:val="24"/>
        </w:rPr>
        <w:t xml:space="preserve"> В настоящем исследовании</w:t>
      </w:r>
      <w:r>
        <w:rPr>
          <w:rFonts w:ascii="Times New Roman" w:hAnsi="Times New Roman" w:cs="Times New Roman"/>
          <w:sz w:val="24"/>
          <w:szCs w:val="24"/>
        </w:rPr>
        <w:t xml:space="preserve"> представлен</w:t>
      </w:r>
      <w:r w:rsidR="00ED12E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12E9">
        <w:rPr>
          <w:rFonts w:ascii="Times New Roman" w:hAnsi="Times New Roman" w:cs="Times New Roman"/>
          <w:sz w:val="24"/>
          <w:szCs w:val="24"/>
        </w:rPr>
        <w:t>специфика выпускников СПО как трудового ресурса для предприятий из Реестра МСП для закрытия кадровой потребности</w:t>
      </w:r>
      <w:r>
        <w:rPr>
          <w:rFonts w:ascii="Times New Roman" w:hAnsi="Times New Roman" w:cs="Times New Roman"/>
          <w:sz w:val="24"/>
          <w:szCs w:val="24"/>
        </w:rPr>
        <w:t xml:space="preserve">. Выявлены </w:t>
      </w:r>
      <w:r w:rsidR="00ED12E9">
        <w:rPr>
          <w:rFonts w:ascii="Times New Roman" w:hAnsi="Times New Roman" w:cs="Times New Roman"/>
          <w:sz w:val="24"/>
          <w:szCs w:val="24"/>
        </w:rPr>
        <w:t>региональные диспропорции по сферам деятельности, которые влияют на будущие перспективы трудоустройства молодых специалистов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C2E47" w:rsidRDefault="0077036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67326">
        <w:rPr>
          <w:rFonts w:ascii="Times New Roman" w:hAnsi="Times New Roman" w:cs="Times New Roman"/>
          <w:bCs/>
          <w:sz w:val="24"/>
          <w:szCs w:val="24"/>
        </w:rPr>
        <w:t>кадровая потребнос</w:t>
      </w:r>
      <w:r w:rsidR="009E420C">
        <w:rPr>
          <w:rFonts w:ascii="Times New Roman" w:hAnsi="Times New Roman" w:cs="Times New Roman"/>
          <w:bCs/>
          <w:sz w:val="24"/>
          <w:szCs w:val="24"/>
        </w:rPr>
        <w:t>ть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9E420C">
        <w:rPr>
          <w:rFonts w:ascii="Times New Roman" w:hAnsi="Times New Roman" w:cs="Times New Roman"/>
          <w:bCs/>
          <w:sz w:val="24"/>
          <w:szCs w:val="24"/>
        </w:rPr>
        <w:t>среднее профессиональное образование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9E420C">
        <w:rPr>
          <w:rFonts w:ascii="Times New Roman" w:hAnsi="Times New Roman" w:cs="Times New Roman"/>
          <w:bCs/>
          <w:sz w:val="24"/>
          <w:szCs w:val="24"/>
        </w:rPr>
        <w:t>малое и среднее предпринимательство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9E420C">
        <w:rPr>
          <w:rFonts w:ascii="Times New Roman" w:hAnsi="Times New Roman" w:cs="Times New Roman"/>
          <w:bCs/>
          <w:sz w:val="24"/>
          <w:szCs w:val="24"/>
        </w:rPr>
        <w:t>качество трудовых ресурсов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ED12E9">
        <w:rPr>
          <w:rFonts w:ascii="Times New Roman" w:hAnsi="Times New Roman" w:cs="Times New Roman"/>
          <w:bCs/>
          <w:sz w:val="24"/>
          <w:szCs w:val="24"/>
        </w:rPr>
        <w:t xml:space="preserve">стратегии </w:t>
      </w:r>
      <w:proofErr w:type="spellStart"/>
      <w:r w:rsidR="00ED12E9">
        <w:rPr>
          <w:rFonts w:ascii="Times New Roman" w:hAnsi="Times New Roman" w:cs="Times New Roman"/>
          <w:bCs/>
          <w:sz w:val="24"/>
          <w:szCs w:val="24"/>
        </w:rPr>
        <w:t>наёма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9C2E47" w:rsidRDefault="009C2E47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70287A" w:rsidRPr="00AA16BB" w:rsidRDefault="008B40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16BB">
        <w:rPr>
          <w:rFonts w:ascii="Times New Roman" w:hAnsi="Times New Roman" w:cs="Times New Roman"/>
          <w:sz w:val="24"/>
          <w:szCs w:val="24"/>
        </w:rPr>
        <w:t>Проблема закрытия кадровой потребности выпускниками</w:t>
      </w:r>
      <w:r w:rsidR="00AA16BB" w:rsidRPr="00AA16BB">
        <w:rPr>
          <w:rFonts w:ascii="Times New Roman" w:hAnsi="Times New Roman" w:cs="Times New Roman"/>
          <w:sz w:val="24"/>
          <w:szCs w:val="24"/>
        </w:rPr>
        <w:t xml:space="preserve"> СПО в Свердловской области имеет острый характер, особенно в силу того, что ведущими отраслями являются машиностроение, металлургия и добыча полезных ископаемых.</w:t>
      </w:r>
    </w:p>
    <w:p w:rsidR="00EC4705" w:rsidRPr="00A208B6" w:rsidRDefault="00EC47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49F8">
        <w:rPr>
          <w:rFonts w:ascii="Times New Roman" w:hAnsi="Times New Roman" w:cs="Times New Roman"/>
          <w:sz w:val="24"/>
          <w:szCs w:val="24"/>
        </w:rPr>
        <w:t xml:space="preserve">В имеющихся опубликованных работах, число которых суть невеликое, представлена социологическая интерпретация оценки </w:t>
      </w:r>
      <w:r w:rsidR="0080172A" w:rsidRPr="002C49F8">
        <w:rPr>
          <w:rFonts w:ascii="Times New Roman" w:hAnsi="Times New Roman" w:cs="Times New Roman"/>
          <w:sz w:val="24"/>
          <w:szCs w:val="24"/>
        </w:rPr>
        <w:t xml:space="preserve">работодателями </w:t>
      </w:r>
      <w:r w:rsidR="002C49F8" w:rsidRPr="002C49F8">
        <w:rPr>
          <w:rFonts w:ascii="Times New Roman" w:hAnsi="Times New Roman" w:cs="Times New Roman"/>
          <w:sz w:val="24"/>
          <w:szCs w:val="24"/>
        </w:rPr>
        <w:t>подготовленности выпускников СПО для последующего трудоустройства</w:t>
      </w:r>
      <w:r w:rsidR="00925CAD">
        <w:rPr>
          <w:rFonts w:ascii="Times New Roman" w:hAnsi="Times New Roman" w:cs="Times New Roman"/>
          <w:sz w:val="24"/>
          <w:szCs w:val="24"/>
        </w:rPr>
        <w:t xml:space="preserve"> </w:t>
      </w:r>
      <w:r w:rsidR="00925CAD" w:rsidRPr="00925CAD">
        <w:rPr>
          <w:rFonts w:ascii="Times New Roman" w:hAnsi="Times New Roman" w:cs="Times New Roman"/>
          <w:sz w:val="24"/>
          <w:szCs w:val="24"/>
        </w:rPr>
        <w:t>[</w:t>
      </w:r>
      <w:r w:rsidR="00AD6708">
        <w:rPr>
          <w:rFonts w:ascii="Times New Roman" w:hAnsi="Times New Roman" w:cs="Times New Roman"/>
          <w:sz w:val="24"/>
          <w:szCs w:val="24"/>
        </w:rPr>
        <w:t>1, 2</w:t>
      </w:r>
      <w:r w:rsidR="00925CAD" w:rsidRPr="00925CAD">
        <w:rPr>
          <w:rFonts w:ascii="Times New Roman" w:hAnsi="Times New Roman" w:cs="Times New Roman"/>
          <w:sz w:val="24"/>
          <w:szCs w:val="24"/>
        </w:rPr>
        <w:t>]</w:t>
      </w:r>
      <w:r w:rsidR="002C49F8" w:rsidRPr="002C49F8">
        <w:rPr>
          <w:rFonts w:ascii="Times New Roman" w:hAnsi="Times New Roman" w:cs="Times New Roman"/>
          <w:sz w:val="24"/>
          <w:szCs w:val="24"/>
        </w:rPr>
        <w:t xml:space="preserve">. Основные смысловые модули, которые были показаны в публикациях показывают, что </w:t>
      </w:r>
      <w:r w:rsidR="00A208B6">
        <w:rPr>
          <w:rFonts w:ascii="Times New Roman" w:hAnsi="Times New Roman" w:cs="Times New Roman"/>
          <w:sz w:val="24"/>
          <w:szCs w:val="24"/>
        </w:rPr>
        <w:t xml:space="preserve">работодатели ценят в выпускниках именно их мягкие навыки, а именно: трудолюбие, самодисциплину и </w:t>
      </w:r>
      <w:r w:rsidR="00457E09">
        <w:rPr>
          <w:rFonts w:ascii="Times New Roman" w:hAnsi="Times New Roman" w:cs="Times New Roman"/>
          <w:sz w:val="24"/>
          <w:szCs w:val="24"/>
        </w:rPr>
        <w:t>усидчивость</w:t>
      </w:r>
      <w:r w:rsidR="00925CAD">
        <w:rPr>
          <w:rFonts w:ascii="Times New Roman" w:hAnsi="Times New Roman" w:cs="Times New Roman"/>
          <w:sz w:val="24"/>
          <w:szCs w:val="24"/>
        </w:rPr>
        <w:t xml:space="preserve"> </w:t>
      </w:r>
      <w:r w:rsidR="00925CAD" w:rsidRPr="00925CAD">
        <w:rPr>
          <w:rFonts w:ascii="Times New Roman" w:hAnsi="Times New Roman" w:cs="Times New Roman"/>
          <w:sz w:val="24"/>
          <w:szCs w:val="24"/>
        </w:rPr>
        <w:t>[</w:t>
      </w:r>
      <w:r w:rsidR="00AD6708">
        <w:rPr>
          <w:rFonts w:ascii="Times New Roman" w:hAnsi="Times New Roman" w:cs="Times New Roman"/>
          <w:sz w:val="24"/>
          <w:szCs w:val="24"/>
        </w:rPr>
        <w:t>2</w:t>
      </w:r>
      <w:r w:rsidR="00925CAD" w:rsidRPr="00925CAD">
        <w:rPr>
          <w:rFonts w:ascii="Times New Roman" w:hAnsi="Times New Roman" w:cs="Times New Roman"/>
          <w:sz w:val="24"/>
          <w:szCs w:val="24"/>
        </w:rPr>
        <w:t>]</w:t>
      </w:r>
      <w:r w:rsidR="00457E09">
        <w:rPr>
          <w:rFonts w:ascii="Times New Roman" w:hAnsi="Times New Roman" w:cs="Times New Roman"/>
          <w:sz w:val="24"/>
          <w:szCs w:val="24"/>
        </w:rPr>
        <w:t>.</w:t>
      </w:r>
      <w:r w:rsidR="007A4372">
        <w:rPr>
          <w:rFonts w:ascii="Times New Roman" w:hAnsi="Times New Roman" w:cs="Times New Roman"/>
          <w:sz w:val="24"/>
          <w:szCs w:val="24"/>
        </w:rPr>
        <w:t xml:space="preserve"> В то же время, в разрезе по работодателям предприятий из Реестра МСП, которые наиболее заинтересованы в массовых синих воротничках социологических исследований </w:t>
      </w:r>
      <w:r w:rsidR="006924C0" w:rsidRPr="006924C0">
        <w:rPr>
          <w:rFonts w:ascii="Times New Roman" w:hAnsi="Times New Roman" w:cs="Times New Roman"/>
          <w:sz w:val="24"/>
          <w:szCs w:val="24"/>
        </w:rPr>
        <w:t>[</w:t>
      </w:r>
      <w:r w:rsidR="006924C0">
        <w:rPr>
          <w:rFonts w:ascii="Times New Roman" w:hAnsi="Times New Roman" w:cs="Times New Roman"/>
          <w:sz w:val="24"/>
          <w:szCs w:val="24"/>
        </w:rPr>
        <w:t>3</w:t>
      </w:r>
      <w:r w:rsidR="006924C0" w:rsidRPr="006924C0">
        <w:rPr>
          <w:rFonts w:ascii="Times New Roman" w:hAnsi="Times New Roman" w:cs="Times New Roman"/>
          <w:sz w:val="24"/>
          <w:szCs w:val="24"/>
        </w:rPr>
        <w:t>]</w:t>
      </w:r>
      <w:r w:rsidR="006924C0">
        <w:rPr>
          <w:rFonts w:ascii="Times New Roman" w:hAnsi="Times New Roman" w:cs="Times New Roman"/>
          <w:sz w:val="24"/>
          <w:szCs w:val="24"/>
        </w:rPr>
        <w:t xml:space="preserve"> </w:t>
      </w:r>
      <w:r w:rsidR="007A4372">
        <w:rPr>
          <w:rFonts w:ascii="Times New Roman" w:hAnsi="Times New Roman" w:cs="Times New Roman"/>
          <w:sz w:val="24"/>
          <w:szCs w:val="24"/>
        </w:rPr>
        <w:t>ещё не проводилось, тем более актуальны стратегии и обстоятельства закрытия кадровой потребности, что может пролить дополнить пастельную картину процесса новыми штрихами и красочными пятнами.</w:t>
      </w:r>
    </w:p>
    <w:p w:rsidR="006E010F" w:rsidRPr="006E010F" w:rsidRDefault="0077036A" w:rsidP="006E01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A3CF7">
        <w:rPr>
          <w:rFonts w:ascii="Times New Roman" w:hAnsi="Times New Roman" w:cs="Times New Roman"/>
          <w:sz w:val="24"/>
          <w:szCs w:val="24"/>
        </w:rPr>
        <w:t>Целью данной статьи стал</w:t>
      </w:r>
      <w:r w:rsidR="00794CCE" w:rsidRPr="009A3CF7">
        <w:rPr>
          <w:rFonts w:ascii="Times New Roman" w:hAnsi="Times New Roman" w:cs="Times New Roman"/>
          <w:sz w:val="24"/>
          <w:szCs w:val="24"/>
        </w:rPr>
        <w:t>а</w:t>
      </w:r>
      <w:r w:rsidRPr="009A3CF7">
        <w:rPr>
          <w:rFonts w:ascii="Times New Roman" w:hAnsi="Times New Roman" w:cs="Times New Roman"/>
          <w:sz w:val="24"/>
          <w:szCs w:val="24"/>
        </w:rPr>
        <w:t xml:space="preserve"> </w:t>
      </w:r>
      <w:r w:rsidR="00794CCE" w:rsidRPr="009A3CF7">
        <w:rPr>
          <w:rFonts w:ascii="Times New Roman" w:hAnsi="Times New Roman" w:cs="Times New Roman"/>
          <w:sz w:val="24"/>
          <w:szCs w:val="24"/>
        </w:rPr>
        <w:t>характеристика взаимодействия по линии СПО – МСП в сфере закрытия кадровой потребности</w:t>
      </w:r>
      <w:r w:rsidRPr="009A3CF7">
        <w:rPr>
          <w:rFonts w:ascii="Times New Roman" w:hAnsi="Times New Roman" w:cs="Times New Roman"/>
          <w:sz w:val="24"/>
          <w:szCs w:val="24"/>
        </w:rPr>
        <w:t>.</w:t>
      </w:r>
      <w:r w:rsidR="00794CCE" w:rsidRPr="009A3CF7">
        <w:rPr>
          <w:rFonts w:ascii="Times New Roman" w:hAnsi="Times New Roman" w:cs="Times New Roman"/>
          <w:sz w:val="24"/>
          <w:szCs w:val="24"/>
        </w:rPr>
        <w:t xml:space="preserve"> </w:t>
      </w:r>
      <w:r w:rsidR="009E6CB5" w:rsidRPr="009A3CF7">
        <w:rPr>
          <w:rFonts w:ascii="Times New Roman" w:hAnsi="Times New Roman" w:cs="Times New Roman"/>
          <w:sz w:val="24"/>
          <w:szCs w:val="24"/>
        </w:rPr>
        <w:t xml:space="preserve">Для данного исследования была избрана количественная методология, которая позволит </w:t>
      </w:r>
      <w:r w:rsidR="009A3CF7" w:rsidRPr="009A3CF7">
        <w:rPr>
          <w:rFonts w:ascii="Times New Roman" w:hAnsi="Times New Roman" w:cs="Times New Roman"/>
          <w:sz w:val="24"/>
          <w:szCs w:val="24"/>
        </w:rPr>
        <w:t>дать первичные контуры имеющихся противоречии в данной линии взаимодействия.</w:t>
      </w:r>
      <w:r w:rsidR="009E6CB5" w:rsidRPr="009A3CF7">
        <w:rPr>
          <w:rFonts w:ascii="Times New Roman" w:hAnsi="Times New Roman" w:cs="Times New Roman"/>
          <w:sz w:val="24"/>
          <w:szCs w:val="24"/>
        </w:rPr>
        <w:t xml:space="preserve"> </w:t>
      </w:r>
      <w:r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>Информационно-эмпирическая база исследования</w:t>
      </w:r>
      <w:r w:rsid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>включает в себя</w:t>
      </w:r>
      <w:r w:rsidR="00794CCE"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оригинальное </w:t>
      </w:r>
      <w:r w:rsidR="009E6CB5">
        <w:rPr>
          <w:rFonts w:ascii="Times New Roman" w:hAnsi="Times New Roman" w:cs="Times New Roman"/>
          <w:sz w:val="24"/>
          <w:szCs w:val="24"/>
          <w:shd w:val="clear" w:color="auto" w:fill="FFFFFF"/>
        </w:rPr>
        <w:t>анкетирование</w:t>
      </w:r>
      <w:r w:rsidR="00794CCE"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представителей работодателей из Реестра МСП, для которых наём выпускников СПО является одним из приоритетных</w:t>
      </w:r>
      <w:r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6E010F" w:rsidRPr="00794C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E010F" w:rsidRP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</w:t>
      </w:r>
      <w:r w:rsid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>январе-феврале</w:t>
      </w:r>
      <w:r w:rsidR="006E010F" w:rsidRP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итогам </w:t>
      </w:r>
      <w:r w:rsid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>проведённых стратегических сессий</w:t>
      </w:r>
      <w:r w:rsidR="006E010F" w:rsidRP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проводилось анкетирование представителей работодателей из Реестра субъектов малого и среднего предпринимательства.</w:t>
      </w:r>
      <w:r w:rsid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Представители работодателей отбирались из клиентской базы работодателей</w:t>
      </w:r>
      <w:r w:rsidR="001E69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E69A1" w:rsidRPr="001E69A1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1E69A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</w:t>
      </w:r>
      <w:r w:rsidR="001E69A1" w:rsidRPr="001E69A1">
        <w:rPr>
          <w:rFonts w:ascii="Times New Roman" w:hAnsi="Times New Roman" w:cs="Times New Roman"/>
          <w:sz w:val="24"/>
          <w:szCs w:val="24"/>
          <w:shd w:val="clear" w:color="auto" w:fill="FFFFFF"/>
        </w:rPr>
        <w:t>=1</w:t>
      </w:r>
      <w:r w:rsidR="001E69A1" w:rsidRPr="00A947B4">
        <w:rPr>
          <w:rFonts w:ascii="Times New Roman" w:hAnsi="Times New Roman" w:cs="Times New Roman"/>
          <w:sz w:val="24"/>
          <w:szCs w:val="24"/>
          <w:shd w:val="clear" w:color="auto" w:fill="FFFFFF"/>
        </w:rPr>
        <w:t>8</w:t>
      </w:r>
      <w:r w:rsidR="001E69A1" w:rsidRPr="001E69A1">
        <w:rPr>
          <w:rFonts w:ascii="Times New Roman" w:hAnsi="Times New Roman" w:cs="Times New Roman"/>
          <w:sz w:val="24"/>
          <w:szCs w:val="24"/>
          <w:shd w:val="clear" w:color="auto" w:fill="FFFFFF"/>
        </w:rPr>
        <w:t>6)</w:t>
      </w:r>
      <w:r w:rsid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>, которые имеют тесные связи с образовательными учреждениями СПО.</w:t>
      </w:r>
      <w:r w:rsidR="006E010F" w:rsidRP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2393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силу того, что клиентская база была набрана </w:t>
      </w:r>
      <w:r w:rsidR="00A94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частично </w:t>
      </w:r>
      <w:r w:rsidR="00F23939">
        <w:rPr>
          <w:rFonts w:ascii="Times New Roman" w:hAnsi="Times New Roman" w:cs="Times New Roman"/>
          <w:sz w:val="24"/>
          <w:szCs w:val="24"/>
          <w:shd w:val="clear" w:color="auto" w:fill="FFFFFF"/>
        </w:rPr>
        <w:t>методом снежного кома</w:t>
      </w:r>
      <w:r w:rsidR="00A947B4">
        <w:rPr>
          <w:rFonts w:ascii="Times New Roman" w:hAnsi="Times New Roman" w:cs="Times New Roman"/>
          <w:sz w:val="24"/>
          <w:szCs w:val="24"/>
          <w:shd w:val="clear" w:color="auto" w:fill="FFFFFF"/>
        </w:rPr>
        <w:t>, частично – по результатам регистрации на стратегическое мероприятие</w:t>
      </w:r>
      <w:r w:rsidR="00F23939">
        <w:rPr>
          <w:rFonts w:ascii="Times New Roman" w:hAnsi="Times New Roman" w:cs="Times New Roman"/>
          <w:sz w:val="24"/>
          <w:szCs w:val="24"/>
          <w:shd w:val="clear" w:color="auto" w:fill="FFFFFF"/>
        </w:rPr>
        <w:t>, то полученные результаты исследования не претендуют на репрезентативность</w:t>
      </w:r>
      <w:r w:rsidR="001E69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6E010F" w:rsidRPr="006E01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большей части приняли участие в анкетирование представители организаций, осуществляющих свою деятельность на территории крупных городов области – Екатеринбурга и Нижнего Тагила. Обусловлено это было тем, что выборочная совокупность представляла собой отбор доступных случаев с последующими процедурами улучшения качества анализа информации. 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 xml:space="preserve">Согласно полученным результатам, весомую часть респондентов составили предприятий пищевой промышленности (31%), которые заинтересованы в обучении массовым «синим воротничкам». За ними следом идут в пятёрке лидеров те, кто специализируется на транспортных операциях, услугах населению и сервисному обслуживанию (в основном, различные парикмахерские) (по 13%), далее следуют строители (9%) и туристические операторы вкупе с компаниями, специализирующимися на сфере </w:t>
      </w:r>
      <w:r w:rsidRPr="004077EF">
        <w:rPr>
          <w:rFonts w:ascii="Times New Roman" w:hAnsi="Times New Roman" w:cs="Times New Roman"/>
          <w:sz w:val="24"/>
          <w:szCs w:val="24"/>
        </w:rPr>
        <w:lastRenderedPageBreak/>
        <w:t>гостиничного сервиса (7%). Малочисленными представителями МСП в анкетировании стали представители сфер электроэнергетики, здравоохранения, жилищно-коммунального хозяйства и другие. (См. Рис. 1)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925">
        <w:rPr>
          <w:noProof/>
          <w:sz w:val="24"/>
        </w:rPr>
        <w:drawing>
          <wp:inline distT="0" distB="0" distL="0" distR="0" wp14:anchorId="45C525F6" wp14:editId="374E2762">
            <wp:extent cx="5562600" cy="2971800"/>
            <wp:effectExtent l="0" t="0" r="0" b="0"/>
            <wp:docPr id="5" name="Диаграмма 5">
              <a:extLst xmlns:a="http://schemas.openxmlformats.org/drawingml/2006/main">
                <a:ext uri="{FF2B5EF4-FFF2-40B4-BE49-F238E27FC236}">
                  <a16:creationId xmlns:a16="http://schemas.microsoft.com/office/drawing/2014/main" id="{AA6C8259-6431-4DB6-92BB-AE9D3C606F3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 xml:space="preserve">Рис. 1. Распределение </w:t>
      </w:r>
      <w:r>
        <w:rPr>
          <w:rFonts w:ascii="Times New Roman" w:hAnsi="Times New Roman" w:cs="Times New Roman"/>
          <w:sz w:val="24"/>
          <w:szCs w:val="24"/>
        </w:rPr>
        <w:t>представителей работодателе</w:t>
      </w:r>
      <w:r w:rsidRPr="004077EF">
        <w:rPr>
          <w:rFonts w:ascii="Times New Roman" w:hAnsi="Times New Roman" w:cs="Times New Roman"/>
          <w:sz w:val="24"/>
          <w:szCs w:val="24"/>
        </w:rPr>
        <w:t>й по сферам деятельности, %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>Большинство опрашиваемых представителей организаций (78%) в течение прошедшего календарного года производили наём рабочей силы, малая часть (22%) представителей МСП набором персонала не занималась, было это обусловлено размерами самой компании – сюда попали микро- (75%) и малые предприятия (см. Рис. 2), относящиеся к сферам пищевой промышленности, строительства, транспорта, туризма и гостиниц, а также услуг населению.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 xml:space="preserve">Далее по пятибалльной шкале было спрошено у респондентов несколько вопросов о доступности трудовых ресурсов </w:t>
      </w:r>
      <w:r w:rsidR="00206C51">
        <w:rPr>
          <w:rFonts w:ascii="Times New Roman" w:hAnsi="Times New Roman" w:cs="Times New Roman"/>
          <w:sz w:val="24"/>
          <w:szCs w:val="24"/>
        </w:rPr>
        <w:t xml:space="preserve">СПО </w:t>
      </w:r>
      <w:r w:rsidRPr="004077EF">
        <w:rPr>
          <w:rFonts w:ascii="Times New Roman" w:hAnsi="Times New Roman" w:cs="Times New Roman"/>
          <w:sz w:val="24"/>
          <w:szCs w:val="24"/>
        </w:rPr>
        <w:t xml:space="preserve">в регионе. В целом, по средним оценкам работодатели сравнительно немного выше оценивают профессионализм найденных ресурсов: здесь и оценки выше, и стандартное отклонение самое минимальное из приведённых (значения 2,8 и 4,5). Наибольшую амбивалентность в оценках получила работа региональных Центров занятости населения от 1,7 до 4,3. Остальные параметры взаимодействия (наличие </w:t>
      </w:r>
      <w:proofErr w:type="spellStart"/>
      <w:r w:rsidRPr="004077EF">
        <w:rPr>
          <w:rFonts w:ascii="Times New Roman" w:hAnsi="Times New Roman" w:cs="Times New Roman"/>
          <w:sz w:val="24"/>
          <w:szCs w:val="24"/>
        </w:rPr>
        <w:t>трудресурсов</w:t>
      </w:r>
      <w:proofErr w:type="spellEnd"/>
      <w:r w:rsidRPr="004077EF">
        <w:rPr>
          <w:rFonts w:ascii="Times New Roman" w:hAnsi="Times New Roman" w:cs="Times New Roman"/>
          <w:sz w:val="24"/>
          <w:szCs w:val="24"/>
        </w:rPr>
        <w:t xml:space="preserve"> необходимой квалификации, денежная стоимость их поиска и количество времени на затраты) оказались в своеобразной «середине» и вкупе со стандартными отклонениями варьируются от оценки «2» до «4». Анализ стандартизированных остатков к максимальным значениям, являющий динамическое состояние показателей, демонстрирует, что к крайним озвученным позициям работодатели относятся достаточно прохладно (профессионализм </w:t>
      </w:r>
      <w:proofErr w:type="spellStart"/>
      <w:r w:rsidRPr="004077EF">
        <w:rPr>
          <w:rFonts w:ascii="Times New Roman" w:hAnsi="Times New Roman" w:cs="Times New Roman"/>
          <w:sz w:val="24"/>
          <w:szCs w:val="24"/>
        </w:rPr>
        <w:t>трудресурсов</w:t>
      </w:r>
      <w:proofErr w:type="spellEnd"/>
      <w:r w:rsidRPr="004077EF">
        <w:rPr>
          <w:rFonts w:ascii="Times New Roman" w:hAnsi="Times New Roman" w:cs="Times New Roman"/>
          <w:sz w:val="24"/>
          <w:szCs w:val="24"/>
        </w:rPr>
        <w:t xml:space="preserve">, их достаточное количество и качество работы ЦЗН), при этом статистически, при доверительной вероятности в 95%, эти позиции статистически независимы и друг на друга сильно не влияют. Более подвержены отрицательному влиянию как раз «центровые» позиции, показатели стандартизированных остатков по которым достигают величины менее -1,7, таковые «количество времени, затраченного на поиск </w:t>
      </w:r>
      <w:proofErr w:type="spellStart"/>
      <w:r w:rsidRPr="004077EF">
        <w:rPr>
          <w:rFonts w:ascii="Times New Roman" w:hAnsi="Times New Roman" w:cs="Times New Roman"/>
          <w:sz w:val="24"/>
          <w:szCs w:val="24"/>
        </w:rPr>
        <w:t>трудресурсов</w:t>
      </w:r>
      <w:proofErr w:type="spellEnd"/>
      <w:r w:rsidRPr="004077EF">
        <w:rPr>
          <w:rFonts w:ascii="Times New Roman" w:hAnsi="Times New Roman" w:cs="Times New Roman"/>
          <w:sz w:val="24"/>
          <w:szCs w:val="24"/>
        </w:rPr>
        <w:t>, и их денежная стоимость».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>В разрезе по отраслям стоит отметить, что высокие оценки (вычислялись по средней оценке) поставили представители работодателей из сфер деятельности строительства и лёгкой промышленности (средний балл – 4,08 и 4,4), заинтересованные, вероятно, в постоянном наборе подготовленных синих воротничков из СПО, в сферах ИТ и ЖКХ эти оценки были минимальными (средний балл – 2,2 и 2,6).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925">
        <w:rPr>
          <w:noProof/>
          <w:sz w:val="24"/>
        </w:rPr>
        <w:lastRenderedPageBreak/>
        <w:drawing>
          <wp:inline distT="0" distB="0" distL="0" distR="0" wp14:anchorId="0712059E" wp14:editId="596E2091">
            <wp:extent cx="5752531" cy="2101756"/>
            <wp:effectExtent l="0" t="0" r="635" b="13335"/>
            <wp:docPr id="7" name="Диаграмма 7">
              <a:extLst xmlns:a="http://schemas.openxmlformats.org/drawingml/2006/main">
                <a:ext uri="{FF2B5EF4-FFF2-40B4-BE49-F238E27FC236}">
                  <a16:creationId xmlns:a16="http://schemas.microsoft.com/office/drawing/2014/main" id="{F932B059-D41D-4C65-99A0-3241071119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 xml:space="preserve">Рис. 2. Оценка предприятиями параметров качества трудовых ресурсов, средние баллы с учётом стандартных отклонений. 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>Далее был задан вопрос, какое, в среднем, время тратят работодатели МСП на поиск подходящего персонала требуемой квалификации? В среднем, было установлено, что работодатели из данного Реестра тратят на подбор персонала 43 дня с вариацией до 114 дней. Показательно различие наблюдений в разрезе по размеру компании: около месяца (29,6) закрывают вакансии рекрутеры предприятий среднего размера, чуть больше – 34,5 дня – специалисты по кадрам малых предприятий. Наконец, почти 2 месяца (59,4 дня) – представители микропредприятий. Любопытно, что, по мнению работодателей МСП, наиболее лёгкий «вход» оказывается в сферах строительства, маркетинга, здравоохранения и лёгкой промышленности – почти в течение недели. Наиболее тяжёлый и медленный вход для соискателей представлен в сфере ЖКХ, транспорта, информационных технологий, пищевой промышленности и машиностроения – более 2 месяцев. Для соискателей без опыта период поиска сотрудника сокращается в среднем в 3 раза, до 17,4 дней, но не во всех сферах: в лёгкой промышленности, маркетинге и здравоохранении он практически не претерпевает изменений по сравнению с поиском квалифицированных сотрудников (недельный период). Незначительно он изменяется и для сфер сервисного обслуживания и туризма (31,3 и 35,6; 18,8 и 16,8 дней соответственно). В большинстве сфер период поиска неквалифицированного специалиста сокращается до месяца, исключение составляют сферы машиностроения и сервисного обслуживания (свыше 35 дней).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925">
        <w:rPr>
          <w:noProof/>
          <w:sz w:val="24"/>
        </w:rPr>
        <w:drawing>
          <wp:inline distT="0" distB="0" distL="0" distR="0" wp14:anchorId="2A3F9027" wp14:editId="6389F5A4">
            <wp:extent cx="5356746" cy="3057099"/>
            <wp:effectExtent l="0" t="0" r="15875" b="1016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F932B059-D41D-4C65-99A0-3241071119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lastRenderedPageBreak/>
        <w:t xml:space="preserve">Рис. 3. Оценка предприятиями длительности поиска необходимых трудовых ресурсов в зависимости от сферы деятельности, рабочих дней. </w:t>
      </w:r>
    </w:p>
    <w:p w:rsidR="004077EF" w:rsidRP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7EF" w:rsidRDefault="004077EF" w:rsidP="004077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77EF">
        <w:rPr>
          <w:rFonts w:ascii="Times New Roman" w:hAnsi="Times New Roman" w:cs="Times New Roman"/>
          <w:sz w:val="24"/>
          <w:szCs w:val="24"/>
        </w:rPr>
        <w:t xml:space="preserve">Следующий вопрос затрагивал оценку выпускников образовательных учреждений СПО работодателями. В целом, работодатели оценивают на твердую «четвёрку» их </w:t>
      </w:r>
      <w:proofErr w:type="spellStart"/>
      <w:r w:rsidRPr="004077EF">
        <w:rPr>
          <w:rFonts w:ascii="Times New Roman" w:hAnsi="Times New Roman" w:cs="Times New Roman"/>
          <w:sz w:val="24"/>
          <w:szCs w:val="24"/>
        </w:rPr>
        <w:t>хард</w:t>
      </w:r>
      <w:proofErr w:type="spellEnd"/>
      <w:r w:rsidRPr="004077EF">
        <w:rPr>
          <w:rFonts w:ascii="Times New Roman" w:hAnsi="Times New Roman" w:cs="Times New Roman"/>
          <w:sz w:val="24"/>
          <w:szCs w:val="24"/>
        </w:rPr>
        <w:t xml:space="preserve"> скиллы (средний балл – 3,94), несколько меньше их мотивацию (средний балл - 3,83), и чуть меньше их социальные навыки (3,74 балла). В разрезе по сферам деятельности предприятий в диапазоне от 4 до 5 работодатели из сфер </w:t>
      </w:r>
      <w:r w:rsidR="006E010F">
        <w:rPr>
          <w:rFonts w:ascii="Times New Roman" w:hAnsi="Times New Roman" w:cs="Times New Roman"/>
          <w:sz w:val="24"/>
          <w:szCs w:val="24"/>
        </w:rPr>
        <w:t>Э</w:t>
      </w:r>
      <w:r w:rsidRPr="004077EF">
        <w:rPr>
          <w:rFonts w:ascii="Times New Roman" w:hAnsi="Times New Roman" w:cs="Times New Roman"/>
          <w:sz w:val="24"/>
          <w:szCs w:val="24"/>
        </w:rPr>
        <w:t>лектроэнергетики, лёгкой промышленности, строительства, здравоохранения. Между оценками «3» и «4» оценивают совокупно кадровый потенциал выпускников работодатели из сфер торговли, маркетинга, пищевой промышленности, сервисного обслуживания, гостиничного дела, машиностроения, металлургии, и консалтинга. Низкую среднюю оценку подготовленности выпускников в диапазоне от оценки «2» к «3» дали работодатели из сфер ЖКХ и информационных технологий. Полученные средние оценки сохраняются пропорционально и в оценках конкретных характеристик выпускников СПО: в тех же сферах наблюдаются пропорции при оценке тяжёлых и мягких навыков, мотивации к работе.</w:t>
      </w:r>
    </w:p>
    <w:p w:rsidR="00E40832" w:rsidRPr="00E40832" w:rsidRDefault="0077036A" w:rsidP="00E408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Проведённое исследование показало, что </w:t>
      </w:r>
      <w:r w:rsidR="00E40832" w:rsidRPr="00E40832">
        <w:rPr>
          <w:rFonts w:ascii="Times New Roman" w:hAnsi="Times New Roman" w:cs="Times New Roman"/>
          <w:sz w:val="24"/>
          <w:szCs w:val="24"/>
        </w:rPr>
        <w:t>наблюдается глоссолалия между работодателем и образовательным учреждением, с перекосом и переносом центра тяжести взаимодействия на образовательные аспекты подготовки, при этом решение существующей асимметрии в плане соотношения КЦП – рабочие места изменяется или крайне медленно, или этот вопрос в принципе не решается. Вероятно, также он осложняется обстоятельством несоответствия уровня навыков, который предлагает выпускнику колледж с тем, который от него требует работодатель. Наибольшие интерес во взаимодействии с колледжами и техникумами предъявляют работодатели из сфер, где постоянно требуется большое количество синих воротничков.</w:t>
      </w:r>
    </w:p>
    <w:p w:rsidR="009C2E47" w:rsidRDefault="00E40832" w:rsidP="00E4083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0832">
        <w:rPr>
          <w:rFonts w:ascii="Times New Roman" w:hAnsi="Times New Roman" w:cs="Times New Roman"/>
          <w:sz w:val="24"/>
          <w:szCs w:val="24"/>
        </w:rPr>
        <w:t xml:space="preserve">В разрезе по параметру среднесписочной численности специалистов организации </w:t>
      </w:r>
      <w:r w:rsidR="00FB5CCA">
        <w:rPr>
          <w:rFonts w:ascii="Times New Roman" w:hAnsi="Times New Roman" w:cs="Times New Roman"/>
          <w:sz w:val="24"/>
          <w:szCs w:val="24"/>
        </w:rPr>
        <w:t xml:space="preserve">МСП </w:t>
      </w:r>
      <w:r w:rsidRPr="00E40832">
        <w:rPr>
          <w:rFonts w:ascii="Times New Roman" w:hAnsi="Times New Roman" w:cs="Times New Roman"/>
          <w:sz w:val="24"/>
          <w:szCs w:val="24"/>
        </w:rPr>
        <w:t>закономерно проявляют интерес к образовательным учреждениям именно малые и микропредприятия, которые могут точечно закрыть свою потребность. С другой стороны, думается, что и такая возможность обусловлена низким порогом входа в плане квалификации для начинающих специалистов.</w:t>
      </w:r>
    </w:p>
    <w:p w:rsidR="009C2E47" w:rsidRDefault="00B6031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общей композиции можно указать, что и</w:t>
      </w:r>
      <w:r w:rsidR="0077036A" w:rsidRPr="00B60316">
        <w:rPr>
          <w:rFonts w:ascii="Times New Roman" w:hAnsi="Times New Roman" w:cs="Times New Roman"/>
          <w:sz w:val="24"/>
          <w:szCs w:val="24"/>
        </w:rPr>
        <w:t xml:space="preserve">сследование </w:t>
      </w:r>
      <w:r w:rsidR="00FB5CCA" w:rsidRPr="00B60316">
        <w:rPr>
          <w:rFonts w:ascii="Times New Roman" w:hAnsi="Times New Roman" w:cs="Times New Roman"/>
          <w:sz w:val="24"/>
          <w:szCs w:val="24"/>
        </w:rPr>
        <w:t xml:space="preserve">данной специфики стратегии </w:t>
      </w:r>
      <w:proofErr w:type="spellStart"/>
      <w:r w:rsidR="00FB5CCA" w:rsidRPr="00B60316">
        <w:rPr>
          <w:rFonts w:ascii="Times New Roman" w:hAnsi="Times New Roman" w:cs="Times New Roman"/>
          <w:sz w:val="24"/>
          <w:szCs w:val="24"/>
        </w:rPr>
        <w:t>наёма</w:t>
      </w:r>
      <w:proofErr w:type="spellEnd"/>
      <w:r w:rsidR="00FB5CCA" w:rsidRPr="00B60316">
        <w:rPr>
          <w:rFonts w:ascii="Times New Roman" w:hAnsi="Times New Roman" w:cs="Times New Roman"/>
          <w:sz w:val="24"/>
          <w:szCs w:val="24"/>
        </w:rPr>
        <w:t xml:space="preserve"> и ожиданий работодателей предприятий из Реестра МСП </w:t>
      </w:r>
      <w:r w:rsidR="0077036A" w:rsidRPr="00B60316">
        <w:rPr>
          <w:rFonts w:ascii="Times New Roman" w:hAnsi="Times New Roman" w:cs="Times New Roman"/>
          <w:sz w:val="24"/>
          <w:szCs w:val="24"/>
        </w:rPr>
        <w:t>име</w:t>
      </w:r>
      <w:r w:rsidR="00FB5CCA" w:rsidRPr="00B60316">
        <w:rPr>
          <w:rFonts w:ascii="Times New Roman" w:hAnsi="Times New Roman" w:cs="Times New Roman"/>
          <w:sz w:val="24"/>
          <w:szCs w:val="24"/>
        </w:rPr>
        <w:t>е</w:t>
      </w:r>
      <w:r w:rsidR="0077036A" w:rsidRPr="00B60316">
        <w:rPr>
          <w:rFonts w:ascii="Times New Roman" w:hAnsi="Times New Roman" w:cs="Times New Roman"/>
          <w:sz w:val="24"/>
          <w:szCs w:val="24"/>
        </w:rPr>
        <w:t xml:space="preserve">т большое значение для </w:t>
      </w:r>
      <w:r w:rsidR="00FB5CCA" w:rsidRPr="00B60316">
        <w:rPr>
          <w:rFonts w:ascii="Times New Roman" w:hAnsi="Times New Roman" w:cs="Times New Roman"/>
          <w:sz w:val="24"/>
          <w:szCs w:val="24"/>
        </w:rPr>
        <w:t>организации работы по трудоустройству выпускников СПО</w:t>
      </w:r>
      <w:r w:rsidR="0077036A" w:rsidRPr="00B60316">
        <w:rPr>
          <w:rFonts w:ascii="Times New Roman" w:hAnsi="Times New Roman" w:cs="Times New Roman"/>
          <w:sz w:val="24"/>
          <w:szCs w:val="24"/>
        </w:rPr>
        <w:t>.</w:t>
      </w:r>
      <w:r w:rsidR="007703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2E47" w:rsidRDefault="009C2E47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C2E47" w:rsidRDefault="0077036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264DC4" w:rsidRPr="00264DC4" w:rsidRDefault="00264DC4" w:rsidP="00264DC4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264DC4">
        <w:rPr>
          <w:rFonts w:ascii="Times New Roman" w:hAnsi="Times New Roman" w:cs="Times New Roman"/>
          <w:sz w:val="24"/>
          <w:szCs w:val="24"/>
        </w:rPr>
        <w:t>Амбарова</w:t>
      </w:r>
      <w:proofErr w:type="spellEnd"/>
      <w:r w:rsidRPr="00264DC4">
        <w:rPr>
          <w:rFonts w:ascii="Times New Roman" w:hAnsi="Times New Roman" w:cs="Times New Roman"/>
          <w:sz w:val="24"/>
          <w:szCs w:val="24"/>
        </w:rPr>
        <w:t xml:space="preserve"> П. А., </w:t>
      </w:r>
      <w:proofErr w:type="spellStart"/>
      <w:r w:rsidRPr="00264DC4">
        <w:rPr>
          <w:rFonts w:ascii="Times New Roman" w:hAnsi="Times New Roman" w:cs="Times New Roman"/>
          <w:sz w:val="24"/>
          <w:szCs w:val="24"/>
        </w:rPr>
        <w:t>Зборовский</w:t>
      </w:r>
      <w:proofErr w:type="spellEnd"/>
      <w:r w:rsidRPr="00264DC4">
        <w:rPr>
          <w:rFonts w:ascii="Times New Roman" w:hAnsi="Times New Roman" w:cs="Times New Roman"/>
          <w:sz w:val="24"/>
          <w:szCs w:val="24"/>
        </w:rPr>
        <w:t xml:space="preserve"> Г. Е. Что ждет студентов после... // Мониторинг</w:t>
      </w:r>
      <w:r w:rsidRPr="00264DC4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общественного</w:t>
      </w:r>
      <w:r w:rsidRPr="00264DC4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мнения:</w:t>
      </w:r>
      <w:r w:rsidRPr="00264DC4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экономические</w:t>
      </w:r>
      <w:r w:rsidRPr="00264DC4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и социальные</w:t>
      </w:r>
      <w:r w:rsidRPr="00264DC4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перемены. 2022. № 3. С. 67—91.</w:t>
      </w:r>
    </w:p>
    <w:p w:rsidR="009C2E47" w:rsidRDefault="002355B6">
      <w:pPr>
        <w:pStyle w:val="a3"/>
        <w:numPr>
          <w:ilvl w:val="0"/>
          <w:numId w:val="4"/>
        </w:num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Ключарёв Г. А</w:t>
      </w:r>
      <w:r w:rsidR="0077036A">
        <w:rPr>
          <w:rFonts w:ascii="Times New Roman" w:hAnsi="Times New Roman" w:cs="Times New Roman"/>
          <w:sz w:val="24"/>
          <w:szCs w:val="24"/>
        </w:rPr>
        <w:t xml:space="preserve">. </w:t>
      </w:r>
      <w:r w:rsidRPr="002355B6">
        <w:rPr>
          <w:rFonts w:ascii="Times New Roman" w:hAnsi="Times New Roman" w:cs="Times New Roman"/>
          <w:sz w:val="24"/>
          <w:szCs w:val="24"/>
        </w:rPr>
        <w:t>О подготовке инженерных кадров для наукоемких производств (взгляд работодателей)</w:t>
      </w:r>
      <w:r w:rsidR="0077036A">
        <w:rPr>
          <w:rFonts w:ascii="Times New Roman" w:hAnsi="Times New Roman" w:cs="Times New Roman"/>
          <w:sz w:val="24"/>
          <w:szCs w:val="24"/>
        </w:rPr>
        <w:t xml:space="preserve"> // </w:t>
      </w:r>
      <w:r>
        <w:rPr>
          <w:rFonts w:ascii="Times New Roman" w:hAnsi="Times New Roman" w:cs="Times New Roman"/>
          <w:sz w:val="24"/>
          <w:szCs w:val="24"/>
        </w:rPr>
        <w:t>Социологические исследования</w:t>
      </w:r>
      <w:r w:rsidR="0077036A">
        <w:rPr>
          <w:rFonts w:ascii="Times New Roman" w:hAnsi="Times New Roman" w:cs="Times New Roman"/>
          <w:sz w:val="24"/>
          <w:szCs w:val="24"/>
        </w:rPr>
        <w:t>. 20</w:t>
      </w:r>
      <w:r>
        <w:rPr>
          <w:rFonts w:ascii="Times New Roman" w:hAnsi="Times New Roman" w:cs="Times New Roman"/>
          <w:sz w:val="24"/>
          <w:szCs w:val="24"/>
        </w:rPr>
        <w:t>20</w:t>
      </w:r>
      <w:r w:rsidR="0077036A">
        <w:rPr>
          <w:rFonts w:ascii="Times New Roman" w:hAnsi="Times New Roman" w:cs="Times New Roman"/>
          <w:sz w:val="24"/>
          <w:szCs w:val="24"/>
        </w:rPr>
        <w:t xml:space="preserve">. № </w:t>
      </w:r>
      <w:r>
        <w:rPr>
          <w:rFonts w:ascii="Times New Roman" w:hAnsi="Times New Roman" w:cs="Times New Roman"/>
          <w:sz w:val="24"/>
          <w:szCs w:val="24"/>
        </w:rPr>
        <w:t>3</w:t>
      </w:r>
      <w:r w:rsidR="0077036A">
        <w:rPr>
          <w:rFonts w:ascii="Times New Roman" w:hAnsi="Times New Roman" w:cs="Times New Roman"/>
          <w:sz w:val="24"/>
          <w:szCs w:val="24"/>
        </w:rPr>
        <w:t xml:space="preserve">. С. </w:t>
      </w:r>
      <w:r>
        <w:rPr>
          <w:rFonts w:ascii="Times New Roman" w:hAnsi="Times New Roman" w:cs="Times New Roman"/>
          <w:sz w:val="24"/>
          <w:szCs w:val="24"/>
        </w:rPr>
        <w:t>51</w:t>
      </w:r>
      <w:r w:rsidR="0077036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>59</w:t>
      </w:r>
      <w:r w:rsidR="0077036A">
        <w:rPr>
          <w:rFonts w:ascii="Times New Roman" w:hAnsi="Times New Roman" w:cs="Times New Roman"/>
          <w:sz w:val="24"/>
          <w:szCs w:val="24"/>
        </w:rPr>
        <w:t>.</w:t>
      </w:r>
    </w:p>
    <w:p w:rsidR="009C2E47" w:rsidRDefault="00264DC4" w:rsidP="00264D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7036A"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Лопатина М. В., Леонова Л. А., Травкин П. В., Рощин С. Ю., Рудаков В. Н. Выпускники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среднего профессионального и высшего образования на российском рынке труда: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4DC4">
        <w:rPr>
          <w:rFonts w:ascii="Times New Roman" w:hAnsi="Times New Roman" w:cs="Times New Roman"/>
          <w:sz w:val="24"/>
          <w:szCs w:val="24"/>
        </w:rPr>
        <w:t>информационный бюллетень. M.: НИУ ВШЭ, 2020.</w:t>
      </w:r>
      <w:r w:rsidR="0077036A">
        <w:rPr>
          <w:rFonts w:ascii="Times New Roman" w:hAnsi="Times New Roman" w:cs="Times New Roman"/>
          <w:sz w:val="24"/>
          <w:szCs w:val="24"/>
        </w:rPr>
        <w:t xml:space="preserve"> № 1 (147). </w:t>
      </w:r>
      <w:r>
        <w:rPr>
          <w:rFonts w:ascii="Times New Roman" w:hAnsi="Times New Roman" w:cs="Times New Roman"/>
          <w:sz w:val="24"/>
          <w:szCs w:val="24"/>
        </w:rPr>
        <w:t>74 с.</w:t>
      </w:r>
    </w:p>
    <w:p w:rsidR="009C2E47" w:rsidRDefault="009C2E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C2E47" w:rsidRDefault="0077036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:rsidR="009C2E47" w:rsidRPr="00B60316" w:rsidRDefault="000C54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Латышев Дмитрий Михайлович</w:t>
      </w:r>
      <w:r w:rsidR="0077036A">
        <w:rPr>
          <w:rFonts w:ascii="Times New Roman" w:hAnsi="Times New Roman" w:cs="Times New Roman"/>
          <w:b/>
          <w:bCs/>
          <w:sz w:val="24"/>
          <w:szCs w:val="24"/>
        </w:rPr>
        <w:t xml:space="preserve"> (Россия, </w:t>
      </w:r>
      <w:r>
        <w:rPr>
          <w:rFonts w:ascii="Times New Roman" w:hAnsi="Times New Roman" w:cs="Times New Roman"/>
          <w:b/>
          <w:bCs/>
          <w:sz w:val="24"/>
          <w:szCs w:val="24"/>
        </w:rPr>
        <w:t>Екатеринбург</w:t>
      </w:r>
      <w:r w:rsidR="0077036A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77036A">
        <w:rPr>
          <w:rFonts w:ascii="Times New Roman" w:hAnsi="Times New Roman" w:cs="Times New Roman"/>
          <w:sz w:val="24"/>
          <w:szCs w:val="24"/>
        </w:rPr>
        <w:t xml:space="preserve"> – </w:t>
      </w:r>
      <w:r w:rsidR="00E40832">
        <w:rPr>
          <w:rFonts w:ascii="Times New Roman" w:hAnsi="Times New Roman" w:cs="Times New Roman"/>
          <w:sz w:val="24"/>
          <w:szCs w:val="24"/>
        </w:rPr>
        <w:t>аспирант</w:t>
      </w:r>
      <w:r w:rsidR="0077036A">
        <w:rPr>
          <w:rFonts w:ascii="Times New Roman" w:hAnsi="Times New Roman" w:cs="Times New Roman"/>
          <w:sz w:val="24"/>
          <w:szCs w:val="24"/>
        </w:rPr>
        <w:t xml:space="preserve">, </w:t>
      </w:r>
      <w:r w:rsidR="00E40832">
        <w:rPr>
          <w:rFonts w:ascii="Times New Roman" w:hAnsi="Times New Roman" w:cs="Times New Roman"/>
          <w:sz w:val="24"/>
          <w:szCs w:val="24"/>
        </w:rPr>
        <w:t>Уралький федеральный университет имени первого Президента России Б. Н. Ельцина</w:t>
      </w:r>
      <w:r w:rsidR="0077036A">
        <w:rPr>
          <w:rFonts w:ascii="Times New Roman" w:hAnsi="Times New Roman" w:cs="Times New Roman"/>
          <w:sz w:val="24"/>
          <w:szCs w:val="24"/>
        </w:rPr>
        <w:t xml:space="preserve"> (</w:t>
      </w:r>
      <w:r w:rsidR="00B60316">
        <w:rPr>
          <w:rFonts w:ascii="Times New Roman" w:hAnsi="Times New Roman" w:cs="Times New Roman"/>
          <w:sz w:val="24"/>
          <w:szCs w:val="24"/>
        </w:rPr>
        <w:t>620083</w:t>
      </w:r>
      <w:r w:rsidR="0077036A">
        <w:rPr>
          <w:rFonts w:ascii="Times New Roman" w:hAnsi="Times New Roman" w:cs="Times New Roman"/>
          <w:sz w:val="24"/>
          <w:szCs w:val="24"/>
        </w:rPr>
        <w:t xml:space="preserve">, Россия, г. </w:t>
      </w:r>
      <w:r w:rsidR="00B60316">
        <w:rPr>
          <w:rFonts w:ascii="Times New Roman" w:hAnsi="Times New Roman" w:cs="Times New Roman"/>
          <w:sz w:val="24"/>
          <w:szCs w:val="24"/>
        </w:rPr>
        <w:t>Екатеринбург</w:t>
      </w:r>
      <w:r w:rsidR="0077036A">
        <w:rPr>
          <w:rFonts w:ascii="Times New Roman" w:hAnsi="Times New Roman" w:cs="Times New Roman"/>
          <w:sz w:val="24"/>
          <w:szCs w:val="24"/>
        </w:rPr>
        <w:t xml:space="preserve">, </w:t>
      </w:r>
      <w:r w:rsidR="00B60316">
        <w:rPr>
          <w:rFonts w:ascii="Times New Roman" w:hAnsi="Times New Roman" w:cs="Times New Roman"/>
          <w:sz w:val="24"/>
          <w:szCs w:val="24"/>
        </w:rPr>
        <w:t>пр. Ленина</w:t>
      </w:r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7036A">
        <w:rPr>
          <w:rFonts w:ascii="Times New Roman" w:hAnsi="Times New Roman" w:cs="Times New Roman"/>
          <w:sz w:val="24"/>
          <w:szCs w:val="24"/>
        </w:rPr>
        <w:t>д</w:t>
      </w:r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60316" w:rsidRPr="00B60316">
        <w:rPr>
          <w:rFonts w:ascii="Times New Roman" w:hAnsi="Times New Roman" w:cs="Times New Roman"/>
          <w:sz w:val="24"/>
          <w:szCs w:val="24"/>
          <w:lang w:val="en-US"/>
        </w:rPr>
        <w:t>51</w:t>
      </w:r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="00B60316" w:rsidRPr="00BC4F1E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dimlatysh@gmail.com</w:t>
        </w:r>
      </w:hyperlink>
      <w:r w:rsidR="0077036A" w:rsidRPr="00B6031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9C2E47" w:rsidRPr="008E3A76" w:rsidRDefault="00B6031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Latyshev</w:t>
      </w:r>
      <w:proofErr w:type="spellEnd"/>
      <w:r w:rsidR="0077036A" w:rsidRPr="008E3A7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D</w:t>
      </w:r>
      <w:r w:rsidR="0077036A" w:rsidRPr="008E3A7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M.</w:t>
      </w:r>
    </w:p>
    <w:p w:rsidR="009C2E47" w:rsidRPr="00D6483F" w:rsidRDefault="00CC5B3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STAFFING REQUIREMENTS </w:t>
      </w:r>
      <w:r w:rsidR="009204E8" w:rsidRPr="009204E8">
        <w:rPr>
          <w:rFonts w:ascii="Times New Roman" w:hAnsi="Times New Roman" w:cs="Times New Roman"/>
          <w:b/>
          <w:bCs/>
          <w:sz w:val="24"/>
          <w:szCs w:val="24"/>
          <w:lang w:val="en-US"/>
        </w:rPr>
        <w:t>CLOS</w:t>
      </w:r>
      <w:r w:rsid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>ING</w:t>
      </w:r>
      <w:r w:rsidR="009204E8" w:rsidRPr="009204E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COLLEGE </w:t>
      </w:r>
      <w:r w:rsid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>STUDENT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IN SVERDLOVSK REGION: A CHARACTERISTIC</w:t>
      </w:r>
      <w:r w:rsidR="00D6483F" w:rsidRP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6483F">
        <w:rPr>
          <w:rFonts w:ascii="Times New Roman" w:hAnsi="Times New Roman" w:cs="Times New Roman"/>
          <w:b/>
          <w:bCs/>
          <w:sz w:val="24"/>
          <w:szCs w:val="24"/>
          <w:lang w:val="en-US"/>
        </w:rPr>
        <w:t>OF THEIR EDUCATION QUALITY AND HIRING PECULARITIES BY EMPLOYEES FROM MSP REGISTRY</w:t>
      </w:r>
    </w:p>
    <w:p w:rsidR="00D6483F" w:rsidRDefault="007703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Abstract. </w:t>
      </w:r>
      <w:r w:rsidR="00D6483F" w:rsidRPr="00D6483F">
        <w:rPr>
          <w:rFonts w:ascii="Times New Roman" w:hAnsi="Times New Roman" w:cs="Times New Roman"/>
          <w:sz w:val="24"/>
          <w:szCs w:val="24"/>
          <w:lang w:val="en-US"/>
        </w:rPr>
        <w:t xml:space="preserve">This study presents the specifics of vocational education graduates as a labor resource for enterprises from the </w:t>
      </w:r>
      <w:r w:rsidR="00D6483F">
        <w:rPr>
          <w:rFonts w:ascii="Times New Roman" w:hAnsi="Times New Roman" w:cs="Times New Roman"/>
          <w:sz w:val="24"/>
          <w:szCs w:val="24"/>
          <w:lang w:val="en-US"/>
        </w:rPr>
        <w:t xml:space="preserve">MSP </w:t>
      </w:r>
      <w:r w:rsidR="00D6483F" w:rsidRPr="00D6483F">
        <w:rPr>
          <w:rFonts w:ascii="Times New Roman" w:hAnsi="Times New Roman" w:cs="Times New Roman"/>
          <w:sz w:val="24"/>
          <w:szCs w:val="24"/>
          <w:lang w:val="en-US"/>
        </w:rPr>
        <w:t>Registry to meet staffing needs. Regional disparities in fields of activity have been identified, which affect the future employment prospects of young professionals.</w:t>
      </w:r>
    </w:p>
    <w:p w:rsidR="009C2E47" w:rsidRDefault="007703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6483F">
        <w:rPr>
          <w:rFonts w:ascii="Times New Roman" w:hAnsi="Times New Roman" w:cs="Times New Roman"/>
          <w:sz w:val="24"/>
          <w:szCs w:val="24"/>
          <w:lang w:val="en-US"/>
        </w:rPr>
        <w:t>staffing</w:t>
      </w:r>
      <w:r w:rsidR="00D6483F" w:rsidRPr="00D6483F">
        <w:rPr>
          <w:rFonts w:ascii="Times New Roman" w:hAnsi="Times New Roman" w:cs="Times New Roman"/>
          <w:sz w:val="24"/>
          <w:szCs w:val="24"/>
          <w:lang w:val="en-US"/>
        </w:rPr>
        <w:t>l</w:t>
      </w:r>
      <w:proofErr w:type="spellEnd"/>
      <w:r w:rsidR="00D6483F" w:rsidRPr="00D6483F">
        <w:rPr>
          <w:rFonts w:ascii="Times New Roman" w:hAnsi="Times New Roman" w:cs="Times New Roman"/>
          <w:sz w:val="24"/>
          <w:szCs w:val="24"/>
          <w:lang w:val="en-US"/>
        </w:rPr>
        <w:t xml:space="preserve"> requirements, vocational education, small and medium-sized enterprises, quality of labor resources, hiring strategies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C2E47" w:rsidRDefault="0077036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9C2E47" w:rsidRDefault="00B603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Latyshev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Dmitrii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Mikhailovich</w:t>
      </w:r>
      <w:r w:rsidR="0077036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Ekaterinburg</w:t>
      </w:r>
      <w:r w:rsidR="0077036A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83CB9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83CB9">
        <w:rPr>
          <w:rFonts w:ascii="Times New Roman" w:hAnsi="Times New Roman" w:cs="Times New Roman"/>
          <w:sz w:val="24"/>
          <w:szCs w:val="24"/>
          <w:lang w:val="en-US"/>
        </w:rPr>
        <w:t>PHd</w:t>
      </w:r>
      <w:proofErr w:type="spellEnd"/>
      <w:r w:rsidR="00183CB9">
        <w:rPr>
          <w:rFonts w:ascii="Times New Roman" w:hAnsi="Times New Roman" w:cs="Times New Roman"/>
          <w:sz w:val="24"/>
          <w:szCs w:val="24"/>
          <w:lang w:val="en-US"/>
        </w:rPr>
        <w:t xml:space="preserve"> student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 at the Department for </w:t>
      </w:r>
      <w:r w:rsidR="00183CB9">
        <w:rPr>
          <w:rFonts w:ascii="Times New Roman" w:hAnsi="Times New Roman" w:cs="Times New Roman"/>
          <w:sz w:val="24"/>
          <w:szCs w:val="24"/>
          <w:lang w:val="en-US"/>
        </w:rPr>
        <w:t>Applied Politics and Sociology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83CB9">
        <w:rPr>
          <w:rFonts w:ascii="Times New Roman" w:hAnsi="Times New Roman" w:cs="Times New Roman"/>
          <w:sz w:val="24"/>
          <w:szCs w:val="24"/>
          <w:lang w:val="en-US"/>
        </w:rPr>
        <w:t>Ural federal university named after the first Presi</w:t>
      </w:r>
      <w:r w:rsidR="000D1EE8">
        <w:rPr>
          <w:rFonts w:ascii="Times New Roman" w:hAnsi="Times New Roman" w:cs="Times New Roman"/>
          <w:sz w:val="24"/>
          <w:szCs w:val="24"/>
          <w:lang w:val="en-US"/>
        </w:rPr>
        <w:t>dent of Russia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r w:rsidR="000D1EE8">
        <w:rPr>
          <w:rFonts w:ascii="Times New Roman" w:hAnsi="Times New Roman" w:cs="Times New Roman"/>
          <w:sz w:val="24"/>
          <w:szCs w:val="24"/>
          <w:lang w:val="en-US"/>
        </w:rPr>
        <w:t>620083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Ekaterinburg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Ave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0D1EE8">
        <w:rPr>
          <w:rFonts w:ascii="Times New Roman" w:hAnsi="Times New Roman" w:cs="Times New Roman"/>
          <w:sz w:val="24"/>
          <w:szCs w:val="24"/>
          <w:lang w:val="en-US"/>
        </w:rPr>
        <w:t>51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r w:rsidR="00183CB9">
        <w:rPr>
          <w:rFonts w:ascii="Times New Roman" w:hAnsi="Times New Roman" w:cs="Times New Roman"/>
          <w:sz w:val="24"/>
          <w:szCs w:val="24"/>
          <w:lang w:val="en-US"/>
        </w:rPr>
        <w:t>dimlatysh@gmail.com</w:t>
      </w:r>
      <w:r w:rsidR="0077036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9C2E47" w:rsidRDefault="009C2E47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:rsidR="009C2E47" w:rsidRDefault="0077036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9C2E47" w:rsidRPr="00264DC4" w:rsidRDefault="0077036A" w:rsidP="00264DC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Ambarova</w:t>
      </w:r>
      <w:proofErr w:type="spellEnd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P. A., </w:t>
      </w:r>
      <w:proofErr w:type="spellStart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Zborovsky</w:t>
      </w:r>
      <w:proofErr w:type="spellEnd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G. E. What Awaits Students After…. Monitoring of Public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Opinion: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Economic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and Social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Changes.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No. 3. P. 67–91.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2022.</w:t>
      </w:r>
    </w:p>
    <w:p w:rsidR="009C2E47" w:rsidRPr="00264DC4" w:rsidRDefault="0077036A" w:rsidP="00264DC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Kliucharev</w:t>
      </w:r>
      <w:proofErr w:type="spellEnd"/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G. A. On the Training of Engineers for High-Tech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Industries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(Employers’ View). Sociological Studies. No. 3. P. 51—59.</w:t>
      </w:r>
      <w:r w:rsid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2020.</w:t>
      </w:r>
    </w:p>
    <w:p w:rsidR="009C2E47" w:rsidRDefault="0077036A" w:rsidP="00264DC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3.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Graduates of Secondary Vocational and Higher Education in the Russian Labor Market: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  <w:r w:rsidR="00264DC4" w:rsidRP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Information Bulletin. Moscow: HSE.</w:t>
      </w:r>
      <w:r w:rsidR="00264DC4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2020.</w:t>
      </w:r>
    </w:p>
    <w:p w:rsidR="00CC5B3E" w:rsidRDefault="00CC5B3E" w:rsidP="00264DC4">
      <w:pPr>
        <w:spacing w:after="0" w:line="240" w:lineRule="auto"/>
        <w:ind w:firstLine="709"/>
        <w:jc w:val="both"/>
      </w:pPr>
      <w:bookmarkStart w:id="2" w:name="_GoBack"/>
      <w:bookmarkEnd w:id="2"/>
    </w:p>
    <w:sectPr w:rsidR="00CC5B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35EF" w:rsidRDefault="00C735EF">
      <w:pPr>
        <w:spacing w:after="0" w:line="240" w:lineRule="auto"/>
      </w:pPr>
      <w:r>
        <w:separator/>
      </w:r>
    </w:p>
  </w:endnote>
  <w:endnote w:type="continuationSeparator" w:id="0">
    <w:p w:rsidR="00C735EF" w:rsidRDefault="00C735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35EF" w:rsidRDefault="00C735EF">
      <w:pPr>
        <w:spacing w:after="0" w:line="240" w:lineRule="auto"/>
      </w:pPr>
      <w:r>
        <w:separator/>
      </w:r>
    </w:p>
  </w:footnote>
  <w:footnote w:type="continuationSeparator" w:id="0">
    <w:p w:rsidR="00C735EF" w:rsidRDefault="00C735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C6350"/>
    <w:multiLevelType w:val="hybridMultilevel"/>
    <w:tmpl w:val="E222C1F4"/>
    <w:lvl w:ilvl="0" w:tplc="7BA6F190">
      <w:start w:val="1"/>
      <w:numFmt w:val="decimal"/>
      <w:lvlText w:val="%1."/>
      <w:lvlJc w:val="left"/>
      <w:pPr>
        <w:ind w:left="0" w:firstLine="714"/>
      </w:pPr>
      <w:rPr>
        <w:rFonts w:hint="default"/>
      </w:rPr>
    </w:lvl>
    <w:lvl w:ilvl="1" w:tplc="7B3E8CEC">
      <w:start w:val="1"/>
      <w:numFmt w:val="lowerLetter"/>
      <w:lvlText w:val="%2."/>
      <w:lvlJc w:val="left"/>
      <w:pPr>
        <w:ind w:left="2137" w:hanging="360"/>
      </w:pPr>
    </w:lvl>
    <w:lvl w:ilvl="2" w:tplc="C612206E">
      <w:start w:val="1"/>
      <w:numFmt w:val="lowerRoman"/>
      <w:lvlText w:val="%3."/>
      <w:lvlJc w:val="right"/>
      <w:pPr>
        <w:ind w:left="2857" w:hanging="180"/>
      </w:pPr>
    </w:lvl>
    <w:lvl w:ilvl="3" w:tplc="853269E6">
      <w:start w:val="1"/>
      <w:numFmt w:val="decimal"/>
      <w:lvlText w:val="%4."/>
      <w:lvlJc w:val="left"/>
      <w:pPr>
        <w:ind w:left="3577" w:hanging="360"/>
      </w:pPr>
    </w:lvl>
    <w:lvl w:ilvl="4" w:tplc="091A8466">
      <w:start w:val="1"/>
      <w:numFmt w:val="lowerLetter"/>
      <w:lvlText w:val="%5."/>
      <w:lvlJc w:val="left"/>
      <w:pPr>
        <w:ind w:left="4297" w:hanging="360"/>
      </w:pPr>
    </w:lvl>
    <w:lvl w:ilvl="5" w:tplc="C726A66C">
      <w:start w:val="1"/>
      <w:numFmt w:val="lowerRoman"/>
      <w:lvlText w:val="%6."/>
      <w:lvlJc w:val="right"/>
      <w:pPr>
        <w:ind w:left="5017" w:hanging="180"/>
      </w:pPr>
    </w:lvl>
    <w:lvl w:ilvl="6" w:tplc="1A06D056">
      <w:start w:val="1"/>
      <w:numFmt w:val="decimal"/>
      <w:lvlText w:val="%7."/>
      <w:lvlJc w:val="left"/>
      <w:pPr>
        <w:ind w:left="5737" w:hanging="360"/>
      </w:pPr>
    </w:lvl>
    <w:lvl w:ilvl="7" w:tplc="EDF45EA0">
      <w:start w:val="1"/>
      <w:numFmt w:val="lowerLetter"/>
      <w:lvlText w:val="%8."/>
      <w:lvlJc w:val="left"/>
      <w:pPr>
        <w:ind w:left="6457" w:hanging="360"/>
      </w:pPr>
    </w:lvl>
    <w:lvl w:ilvl="8" w:tplc="A8207D44">
      <w:start w:val="1"/>
      <w:numFmt w:val="lowerRoman"/>
      <w:lvlText w:val="%9."/>
      <w:lvlJc w:val="right"/>
      <w:pPr>
        <w:ind w:left="7177" w:hanging="180"/>
      </w:pPr>
    </w:lvl>
  </w:abstractNum>
  <w:abstractNum w:abstractNumId="1" w15:restartNumberingAfterBreak="0">
    <w:nsid w:val="0B920711"/>
    <w:multiLevelType w:val="hybridMultilevel"/>
    <w:tmpl w:val="6C600774"/>
    <w:lvl w:ilvl="0" w:tplc="4ED245B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9CE6AC7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EAC9F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B60D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DE120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C273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504D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EE378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2C0A1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837F6D"/>
    <w:multiLevelType w:val="hybridMultilevel"/>
    <w:tmpl w:val="7FE880DA"/>
    <w:lvl w:ilvl="0" w:tplc="9222B00C">
      <w:start w:val="1"/>
      <w:numFmt w:val="decimal"/>
      <w:lvlText w:val="%1."/>
      <w:lvlJc w:val="left"/>
      <w:pPr>
        <w:ind w:left="1418" w:hanging="360"/>
      </w:pPr>
    </w:lvl>
    <w:lvl w:ilvl="1" w:tplc="4498E39E">
      <w:start w:val="1"/>
      <w:numFmt w:val="lowerLetter"/>
      <w:lvlText w:val="%2."/>
      <w:lvlJc w:val="left"/>
      <w:pPr>
        <w:ind w:left="2138" w:hanging="360"/>
      </w:pPr>
    </w:lvl>
    <w:lvl w:ilvl="2" w:tplc="CB1470D4">
      <w:start w:val="1"/>
      <w:numFmt w:val="lowerRoman"/>
      <w:lvlText w:val="%3."/>
      <w:lvlJc w:val="right"/>
      <w:pPr>
        <w:ind w:left="2858" w:hanging="180"/>
      </w:pPr>
    </w:lvl>
    <w:lvl w:ilvl="3" w:tplc="126292DE">
      <w:start w:val="1"/>
      <w:numFmt w:val="decimal"/>
      <w:lvlText w:val="%4."/>
      <w:lvlJc w:val="left"/>
      <w:pPr>
        <w:ind w:left="3578" w:hanging="360"/>
      </w:pPr>
    </w:lvl>
    <w:lvl w:ilvl="4" w:tplc="E3EC7F34">
      <w:start w:val="1"/>
      <w:numFmt w:val="lowerLetter"/>
      <w:lvlText w:val="%5."/>
      <w:lvlJc w:val="left"/>
      <w:pPr>
        <w:ind w:left="4298" w:hanging="360"/>
      </w:pPr>
    </w:lvl>
    <w:lvl w:ilvl="5" w:tplc="8758CB6E">
      <w:start w:val="1"/>
      <w:numFmt w:val="lowerRoman"/>
      <w:lvlText w:val="%6."/>
      <w:lvlJc w:val="right"/>
      <w:pPr>
        <w:ind w:left="5018" w:hanging="180"/>
      </w:pPr>
    </w:lvl>
    <w:lvl w:ilvl="6" w:tplc="C544697A">
      <w:start w:val="1"/>
      <w:numFmt w:val="decimal"/>
      <w:lvlText w:val="%7."/>
      <w:lvlJc w:val="left"/>
      <w:pPr>
        <w:ind w:left="5738" w:hanging="360"/>
      </w:pPr>
    </w:lvl>
    <w:lvl w:ilvl="7" w:tplc="F24CCF02">
      <w:start w:val="1"/>
      <w:numFmt w:val="lowerLetter"/>
      <w:lvlText w:val="%8."/>
      <w:lvlJc w:val="left"/>
      <w:pPr>
        <w:ind w:left="6458" w:hanging="360"/>
      </w:pPr>
    </w:lvl>
    <w:lvl w:ilvl="8" w:tplc="3DA2CF6A">
      <w:start w:val="1"/>
      <w:numFmt w:val="lowerRoman"/>
      <w:lvlText w:val="%9."/>
      <w:lvlJc w:val="right"/>
      <w:pPr>
        <w:ind w:left="7178" w:hanging="180"/>
      </w:pPr>
    </w:lvl>
  </w:abstractNum>
  <w:abstractNum w:abstractNumId="3" w15:restartNumberingAfterBreak="0">
    <w:nsid w:val="672548C3"/>
    <w:multiLevelType w:val="hybridMultilevel"/>
    <w:tmpl w:val="503208A2"/>
    <w:lvl w:ilvl="0" w:tplc="8A3A3FF8">
      <w:start w:val="1"/>
      <w:numFmt w:val="decimal"/>
      <w:lvlText w:val="%1."/>
      <w:lvlJc w:val="left"/>
      <w:pPr>
        <w:ind w:left="709" w:hanging="360"/>
      </w:pPr>
    </w:lvl>
    <w:lvl w:ilvl="1" w:tplc="88BC0730">
      <w:start w:val="1"/>
      <w:numFmt w:val="lowerLetter"/>
      <w:lvlText w:val="%2."/>
      <w:lvlJc w:val="left"/>
      <w:pPr>
        <w:ind w:left="1429" w:hanging="360"/>
      </w:pPr>
    </w:lvl>
    <w:lvl w:ilvl="2" w:tplc="FEE2F2E6">
      <w:start w:val="1"/>
      <w:numFmt w:val="lowerRoman"/>
      <w:lvlText w:val="%3."/>
      <w:lvlJc w:val="right"/>
      <w:pPr>
        <w:ind w:left="2149" w:hanging="180"/>
      </w:pPr>
    </w:lvl>
    <w:lvl w:ilvl="3" w:tplc="25FC7A94">
      <w:start w:val="1"/>
      <w:numFmt w:val="decimal"/>
      <w:lvlText w:val="%4."/>
      <w:lvlJc w:val="left"/>
      <w:pPr>
        <w:ind w:left="2869" w:hanging="360"/>
      </w:pPr>
    </w:lvl>
    <w:lvl w:ilvl="4" w:tplc="E1C01E34">
      <w:start w:val="1"/>
      <w:numFmt w:val="lowerLetter"/>
      <w:lvlText w:val="%5."/>
      <w:lvlJc w:val="left"/>
      <w:pPr>
        <w:ind w:left="3589" w:hanging="360"/>
      </w:pPr>
    </w:lvl>
    <w:lvl w:ilvl="5" w:tplc="36F22974">
      <w:start w:val="1"/>
      <w:numFmt w:val="lowerRoman"/>
      <w:lvlText w:val="%6."/>
      <w:lvlJc w:val="right"/>
      <w:pPr>
        <w:ind w:left="4309" w:hanging="180"/>
      </w:pPr>
    </w:lvl>
    <w:lvl w:ilvl="6" w:tplc="ADEA6AA0">
      <w:start w:val="1"/>
      <w:numFmt w:val="decimal"/>
      <w:lvlText w:val="%7."/>
      <w:lvlJc w:val="left"/>
      <w:pPr>
        <w:ind w:left="5029" w:hanging="360"/>
      </w:pPr>
    </w:lvl>
    <w:lvl w:ilvl="7" w:tplc="FDD8C9C6">
      <w:start w:val="1"/>
      <w:numFmt w:val="lowerLetter"/>
      <w:lvlText w:val="%8."/>
      <w:lvlJc w:val="left"/>
      <w:pPr>
        <w:ind w:left="5749" w:hanging="360"/>
      </w:pPr>
    </w:lvl>
    <w:lvl w:ilvl="8" w:tplc="6C821D6C">
      <w:start w:val="1"/>
      <w:numFmt w:val="lowerRoman"/>
      <w:lvlText w:val="%9."/>
      <w:lvlJc w:val="right"/>
      <w:pPr>
        <w:ind w:left="646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E47"/>
    <w:rsid w:val="00027087"/>
    <w:rsid w:val="000C5498"/>
    <w:rsid w:val="000D1EE8"/>
    <w:rsid w:val="00183CB9"/>
    <w:rsid w:val="001E69A1"/>
    <w:rsid w:val="00206C51"/>
    <w:rsid w:val="002355B6"/>
    <w:rsid w:val="00264DC4"/>
    <w:rsid w:val="0029389F"/>
    <w:rsid w:val="002C49F8"/>
    <w:rsid w:val="004077EF"/>
    <w:rsid w:val="00435D8B"/>
    <w:rsid w:val="00457E09"/>
    <w:rsid w:val="0046557B"/>
    <w:rsid w:val="004D7C24"/>
    <w:rsid w:val="004F4581"/>
    <w:rsid w:val="005538E4"/>
    <w:rsid w:val="00587E63"/>
    <w:rsid w:val="006924C0"/>
    <w:rsid w:val="006E010F"/>
    <w:rsid w:val="0070287A"/>
    <w:rsid w:val="0077036A"/>
    <w:rsid w:val="00794CCE"/>
    <w:rsid w:val="007A4372"/>
    <w:rsid w:val="007E461D"/>
    <w:rsid w:val="0080172A"/>
    <w:rsid w:val="008435F2"/>
    <w:rsid w:val="008860E4"/>
    <w:rsid w:val="008B40F8"/>
    <w:rsid w:val="008D3D22"/>
    <w:rsid w:val="008E3A76"/>
    <w:rsid w:val="009121F6"/>
    <w:rsid w:val="009204E8"/>
    <w:rsid w:val="00925CAD"/>
    <w:rsid w:val="00932574"/>
    <w:rsid w:val="00943E6A"/>
    <w:rsid w:val="00950691"/>
    <w:rsid w:val="00967326"/>
    <w:rsid w:val="009A3CF7"/>
    <w:rsid w:val="009C2E47"/>
    <w:rsid w:val="009D2B09"/>
    <w:rsid w:val="009E420C"/>
    <w:rsid w:val="009E6CB5"/>
    <w:rsid w:val="00A208B6"/>
    <w:rsid w:val="00A947B4"/>
    <w:rsid w:val="00AA16BB"/>
    <w:rsid w:val="00AD6708"/>
    <w:rsid w:val="00B60316"/>
    <w:rsid w:val="00B661E5"/>
    <w:rsid w:val="00C735EF"/>
    <w:rsid w:val="00C774D1"/>
    <w:rsid w:val="00CC5B3E"/>
    <w:rsid w:val="00D6483F"/>
    <w:rsid w:val="00DA6910"/>
    <w:rsid w:val="00E40832"/>
    <w:rsid w:val="00EA5249"/>
    <w:rsid w:val="00EC4705"/>
    <w:rsid w:val="00ED12E9"/>
    <w:rsid w:val="00F23939"/>
    <w:rsid w:val="00F34676"/>
    <w:rsid w:val="00FB5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94EE3"/>
  <w15:docId w15:val="{DE1511C3-1C8E-416B-8A29-FAA279671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ampLined-Accent">
    <w:name w:val="Bordered &amp;amp;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ampLined-Accent1">
    <w:name w:val="Bordered &amp;amp;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ampLined-Accent2">
    <w:name w:val="Bordered &amp;amp;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ampLined-Accent3">
    <w:name w:val="Bordered &amp;amp;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ampLined-Accent4">
    <w:name w:val="Bordered &amp;amp;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ampLined-Accent5">
    <w:name w:val="Bordered &amp;amp;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ampLined-Accent6">
    <w:name w:val="Bordered &amp;amp;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3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basedOn w:val="a0"/>
    <w:uiPriority w:val="99"/>
    <w:unhideWhenUsed/>
    <w:qFormat/>
    <w:rPr>
      <w:vertAlign w:val="superscript"/>
    </w:rPr>
  </w:style>
  <w:style w:type="character" w:styleId="afe">
    <w:name w:val="Unresolved Mention"/>
    <w:basedOn w:val="a0"/>
    <w:uiPriority w:val="99"/>
    <w:semiHidden/>
    <w:unhideWhenUsed/>
    <w:rsid w:val="00B603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mlatysh@gmail.com" TargetMode="Externa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Лист1!$A$27:$A$41</c:f>
              <c:strCache>
                <c:ptCount val="15"/>
                <c:pt idx="0">
                  <c:v>Маркетинг, реклама, PR</c:v>
                </c:pt>
                <c:pt idx="1">
                  <c:v>Консалтинг, стратегическое развитие, управление</c:v>
                </c:pt>
                <c:pt idx="2">
                  <c:v>Электроэнергетика</c:v>
                </c:pt>
                <c:pt idx="3">
                  <c:v>Информационные технологии, телекоммуникации, связь</c:v>
                </c:pt>
                <c:pt idx="4">
                  <c:v>ЖКХ, эксплуатация</c:v>
                </c:pt>
                <c:pt idx="5">
                  <c:v>Здравоохранение и социальное обеспечение</c:v>
                </c:pt>
                <c:pt idx="6">
                  <c:v>Металлургия, металлообработка</c:v>
                </c:pt>
                <c:pt idx="7">
                  <c:v>Легкая промышленность</c:v>
                </c:pt>
                <c:pt idx="8">
                  <c:v>Машиностроение</c:v>
                </c:pt>
                <c:pt idx="9">
                  <c:v>Продажи, закупки, снабжение, торговля</c:v>
                </c:pt>
                <c:pt idx="10">
                  <c:v>Туризм, гостиницы, рестораны</c:v>
                </c:pt>
                <c:pt idx="11">
                  <c:v>Строительство, ремонт, стройматериалы, недвижимость</c:v>
                </c:pt>
                <c:pt idx="12">
                  <c:v>Транспорт, автобизнес, логистика, склад, ВЭД</c:v>
                </c:pt>
                <c:pt idx="13">
                  <c:v>Услуги населению, сервисное обслуживание</c:v>
                </c:pt>
                <c:pt idx="14">
                  <c:v>Пищевая промышленность</c:v>
                </c:pt>
              </c:strCache>
            </c:strRef>
          </c:cat>
          <c:val>
            <c:numRef>
              <c:f>Лист1!$B$27:$B$41</c:f>
              <c:numCache>
                <c:formatCode>0%</c:formatCode>
                <c:ptCount val="15"/>
                <c:pt idx="0">
                  <c:v>1.8518518518518517E-2</c:v>
                </c:pt>
                <c:pt idx="1">
                  <c:v>1.8518518518518517E-2</c:v>
                </c:pt>
                <c:pt idx="2">
                  <c:v>1.8518518518518517E-2</c:v>
                </c:pt>
                <c:pt idx="3">
                  <c:v>1.8518518518518517E-2</c:v>
                </c:pt>
                <c:pt idx="4">
                  <c:v>1.8518518518518517E-2</c:v>
                </c:pt>
                <c:pt idx="5">
                  <c:v>1.8518518518518517E-2</c:v>
                </c:pt>
                <c:pt idx="6">
                  <c:v>3.7037037037037035E-2</c:v>
                </c:pt>
                <c:pt idx="7">
                  <c:v>3.7037037037037035E-2</c:v>
                </c:pt>
                <c:pt idx="8">
                  <c:v>3.7037037037037035E-2</c:v>
                </c:pt>
                <c:pt idx="9">
                  <c:v>3.7037037037037035E-2</c:v>
                </c:pt>
                <c:pt idx="10">
                  <c:v>7.407407407407407E-2</c:v>
                </c:pt>
                <c:pt idx="11">
                  <c:v>9.2592592592592587E-2</c:v>
                </c:pt>
                <c:pt idx="12">
                  <c:v>0.12962962962962962</c:v>
                </c:pt>
                <c:pt idx="13">
                  <c:v>0.12962962962962962</c:v>
                </c:pt>
                <c:pt idx="14">
                  <c:v>0.31481481481481483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D31-4B84-948B-7309D7BF1C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35957167"/>
        <c:axId val="1614187951"/>
      </c:barChart>
      <c:catAx>
        <c:axId val="1635957167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14187951"/>
        <c:crosses val="autoZero"/>
        <c:auto val="1"/>
        <c:lblAlgn val="ctr"/>
        <c:lblOffset val="100"/>
        <c:noMultiLvlLbl val="0"/>
      </c:catAx>
      <c:valAx>
        <c:axId val="1614187951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1635957167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8142149937966022"/>
          <c:y val="3.1334530221424309E-2"/>
          <c:w val="0.48902608702773309"/>
          <c:h val="0.94233393177737879"/>
        </c:manualLayout>
      </c:layout>
      <c:barChart>
        <c:barDir val="bar"/>
        <c:grouping val="clustered"/>
        <c:varyColors val="0"/>
        <c:ser>
          <c:idx val="0"/>
          <c:order val="0"/>
          <c:spPr>
            <a:solidFill>
              <a:schemeClr val="accent1">
                <a:shade val="76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Диаграммки!$A$2:$A$6</c:f>
              <c:strCache>
                <c:ptCount val="5"/>
                <c:pt idx="0">
                  <c:v>качество проводимой работы центрами занятости по трудовым ресурсам</c:v>
                </c:pt>
                <c:pt idx="1">
                  <c:v>количество времени, затраченного на поиск трудовых ресурсов необходимой квалификации (подбор трудовых ресурсов может осуществляться не только через центры занятости)</c:v>
                </c:pt>
                <c:pt idx="2">
                  <c:v>денежная стоимость поиска трудовых ресурсов</c:v>
                </c:pt>
                <c:pt idx="3">
                  <c:v>наличие достаточного количества трудовых ресурсов необходимой квалификации в субъекте Российской Федерации</c:v>
                </c:pt>
                <c:pt idx="4">
                  <c:v>профессионализм найденных трудовых ресурсов</c:v>
                </c:pt>
              </c:strCache>
            </c:strRef>
          </c:cat>
          <c:val>
            <c:numRef>
              <c:f>Диаграммки!$D$2:$D$6</c:f>
              <c:numCache>
                <c:formatCode>0.000</c:formatCode>
                <c:ptCount val="5"/>
                <c:pt idx="0">
                  <c:v>1.7320857496876523</c:v>
                </c:pt>
                <c:pt idx="1">
                  <c:v>2.3178904678300198</c:v>
                </c:pt>
                <c:pt idx="2">
                  <c:v>2.3128554820729068</c:v>
                </c:pt>
                <c:pt idx="3">
                  <c:v>2.3690195851002933</c:v>
                </c:pt>
                <c:pt idx="4">
                  <c:v>2.8423670447245115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E86-4463-8198-0459D1664961}"/>
            </c:ext>
          </c:extLst>
        </c:ser>
        <c:ser>
          <c:idx val="1"/>
          <c:order val="1"/>
          <c:spPr>
            <a:solidFill>
              <a:schemeClr val="accent1">
                <a:tint val="77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Диаграммки!$A$2:$A$6</c:f>
              <c:strCache>
                <c:ptCount val="5"/>
                <c:pt idx="0">
                  <c:v>качество проводимой работы центрами занятости по трудовым ресурсам</c:v>
                </c:pt>
                <c:pt idx="1">
                  <c:v>количество времени, затраченного на поиск трудовых ресурсов необходимой квалификации (подбор трудовых ресурсов может осуществляться не только через центры занятости)</c:v>
                </c:pt>
                <c:pt idx="2">
                  <c:v>денежная стоимость поиска трудовых ресурсов</c:v>
                </c:pt>
                <c:pt idx="3">
                  <c:v>наличие достаточного количества трудовых ресурсов необходимой квалификации в субъекте Российской Федерации</c:v>
                </c:pt>
                <c:pt idx="4">
                  <c:v>профессионализм найденных трудовых ресурсов</c:v>
                </c:pt>
              </c:strCache>
            </c:strRef>
          </c:cat>
          <c:val>
            <c:numRef>
              <c:f>Диаграммки!$E$2:$E$6</c:f>
              <c:numCache>
                <c:formatCode>0.000</c:formatCode>
                <c:ptCount val="5"/>
                <c:pt idx="0">
                  <c:v>4.3790253614234587</c:v>
                </c:pt>
                <c:pt idx="1">
                  <c:v>4.2376650877255351</c:v>
                </c:pt>
                <c:pt idx="2">
                  <c:v>4.2797371105196857</c:v>
                </c:pt>
                <c:pt idx="3">
                  <c:v>4.4828322667515588</c:v>
                </c:pt>
                <c:pt idx="4">
                  <c:v>4.5280033256458587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E86-4463-8198-0459D166496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20008863"/>
        <c:axId val="1506201567"/>
      </c:barChart>
      <c:catAx>
        <c:axId val="1620008863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06201567"/>
        <c:crosses val="autoZero"/>
        <c:auto val="1"/>
        <c:lblAlgn val="ctr"/>
        <c:lblOffset val="100"/>
        <c:noMultiLvlLbl val="0"/>
      </c:catAx>
      <c:valAx>
        <c:axId val="1506201567"/>
        <c:scaling>
          <c:orientation val="minMax"/>
        </c:scaling>
        <c:delete val="1"/>
        <c:axPos val="b"/>
        <c:numFmt formatCode="0.000" sourceLinked="1"/>
        <c:majorTickMark val="none"/>
        <c:minorTickMark val="none"/>
        <c:tickLblPos val="nextTo"/>
        <c:crossAx val="162000886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8142149937966022"/>
          <c:y val="3.1334530221424309E-2"/>
          <c:w val="0.48902608702773309"/>
          <c:h val="0.94233393177737879"/>
        </c:manualLayout>
      </c:layout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Диаграммки!$A$8:$A$22</c:f>
              <c:strCache>
                <c:ptCount val="15"/>
                <c:pt idx="0">
                  <c:v>Легкая промышленность</c:v>
                </c:pt>
                <c:pt idx="1">
                  <c:v>Здравоохранение и социальное обеспечение</c:v>
                </c:pt>
                <c:pt idx="2">
                  <c:v>Маркетинг, реклама, PR</c:v>
                </c:pt>
                <c:pt idx="3">
                  <c:v>Строительство, ремонт, стройматериалы, недвижимость</c:v>
                </c:pt>
                <c:pt idx="4">
                  <c:v>Туризм, гостиницы, рестораны</c:v>
                </c:pt>
                <c:pt idx="5">
                  <c:v>Металлургия, металлообработка</c:v>
                </c:pt>
                <c:pt idx="6">
                  <c:v>Электроэнергетика</c:v>
                </c:pt>
                <c:pt idx="7">
                  <c:v>Услуги населению, сервисное обслуживание</c:v>
                </c:pt>
                <c:pt idx="8">
                  <c:v>Продажи, закупки, снабжение, торговля</c:v>
                </c:pt>
                <c:pt idx="9">
                  <c:v>Консалтинг, стратегическое развитие, управление</c:v>
                </c:pt>
                <c:pt idx="10">
                  <c:v>Машиностроение</c:v>
                </c:pt>
                <c:pt idx="11">
                  <c:v>Пищевая промышленность</c:v>
                </c:pt>
                <c:pt idx="12">
                  <c:v>Информационные технологии, телекоммуникации, связь</c:v>
                </c:pt>
                <c:pt idx="13">
                  <c:v>Транспорт, автобизнес, логистика, склад, ВЭД</c:v>
                </c:pt>
                <c:pt idx="14">
                  <c:v>ЖКХ, эксплуатация</c:v>
                </c:pt>
              </c:strCache>
            </c:strRef>
          </c:cat>
          <c:val>
            <c:numRef>
              <c:f>Диаграммки!$B$8:$B$22</c:f>
              <c:numCache>
                <c:formatCode>General</c:formatCode>
                <c:ptCount val="15"/>
                <c:pt idx="0">
                  <c:v>5</c:v>
                </c:pt>
                <c:pt idx="1">
                  <c:v>7</c:v>
                </c:pt>
                <c:pt idx="2">
                  <c:v>7</c:v>
                </c:pt>
                <c:pt idx="3">
                  <c:v>14</c:v>
                </c:pt>
                <c:pt idx="4">
                  <c:v>19</c:v>
                </c:pt>
                <c:pt idx="5">
                  <c:v>23</c:v>
                </c:pt>
                <c:pt idx="6">
                  <c:v>30</c:v>
                </c:pt>
                <c:pt idx="7">
                  <c:v>31</c:v>
                </c:pt>
                <c:pt idx="8">
                  <c:v>32</c:v>
                </c:pt>
                <c:pt idx="9">
                  <c:v>45</c:v>
                </c:pt>
                <c:pt idx="10">
                  <c:v>55</c:v>
                </c:pt>
                <c:pt idx="11">
                  <c:v>57</c:v>
                </c:pt>
                <c:pt idx="12">
                  <c:v>60</c:v>
                </c:pt>
                <c:pt idx="13">
                  <c:v>76</c:v>
                </c:pt>
                <c:pt idx="14">
                  <c:v>120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96-4069-8EEC-B09B9E5C850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20008863"/>
        <c:axId val="1506201567"/>
      </c:barChart>
      <c:catAx>
        <c:axId val="1620008863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06201567"/>
        <c:crosses val="autoZero"/>
        <c:auto val="1"/>
        <c:lblAlgn val="ctr"/>
        <c:lblOffset val="100"/>
        <c:noMultiLvlLbl val="0"/>
      </c:catAx>
      <c:valAx>
        <c:axId val="1506201567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62000886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3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ibliography:Sources xmlns:bibliography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02293D-6D12-4498-B2FE-669EB0213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5</Pages>
  <Words>1803</Words>
  <Characters>10280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Натиговна Нацун</dc:creator>
  <cp:keywords/>
  <dc:description/>
  <cp:lastModifiedBy>Латышев Дмитрий Михайлович</cp:lastModifiedBy>
  <cp:revision>76</cp:revision>
  <dcterms:created xsi:type="dcterms:W3CDTF">2024-02-05T06:51:00Z</dcterms:created>
  <dcterms:modified xsi:type="dcterms:W3CDTF">2026-03-27T06:29:00Z</dcterms:modified>
</cp:coreProperties>
</file>