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F991948">
      <w:pPr>
        <w:spacing w:after="0" w:line="240" w:lineRule="auto"/>
        <w:rPr>
          <w:rFonts w:hint="default" w:ascii="Arial" w:hAnsi="Arial" w:cs="Arial"/>
          <w:sz w:val="32"/>
          <w:szCs w:val="32"/>
        </w:rPr>
      </w:pPr>
      <w:r>
        <w:rPr>
          <w:rFonts w:hint="default" w:ascii="Arial" w:hAnsi="Arial" w:cs="Arial"/>
          <w:sz w:val="32"/>
          <w:szCs w:val="32"/>
        </w:rPr>
        <w:t>УДК 316.4</w:t>
      </w:r>
    </w:p>
    <w:p w14:paraId="10FDAF55">
      <w:pPr>
        <w:spacing w:after="0" w:line="240" w:lineRule="auto"/>
        <w:ind w:firstLine="709"/>
        <w:jc w:val="right"/>
        <w:rPr>
          <w:rFonts w:hint="default" w:ascii="Times New Roman" w:hAnsi="Times New Roman"/>
          <w:b/>
          <w:bCs/>
          <w:sz w:val="24"/>
          <w:lang w:val="ru-RU"/>
        </w:rPr>
      </w:pPr>
      <w:r>
        <w:rPr>
          <w:rFonts w:hint="default" w:ascii="Times New Roman" w:hAnsi="Times New Roman"/>
          <w:b/>
          <w:bCs/>
          <w:sz w:val="24"/>
        </w:rPr>
        <w:t xml:space="preserve"> Хабибуллина И.И.</w:t>
      </w:r>
      <w:r>
        <w:rPr>
          <w:rFonts w:hint="default" w:ascii="Times New Roman" w:hAnsi="Times New Roman"/>
          <w:b/>
          <w:bCs/>
          <w:sz w:val="24"/>
          <w:lang w:val="ru-RU"/>
        </w:rPr>
        <w:t>, Хакимова Э.И.</w:t>
      </w:r>
    </w:p>
    <w:p w14:paraId="323071A7">
      <w:pPr>
        <w:spacing w:after="0" w:line="240" w:lineRule="auto"/>
        <w:ind w:firstLine="709"/>
        <w:jc w:val="right"/>
        <w:rPr>
          <w:rFonts w:hint="default" w:ascii="Times New Roman" w:hAnsi="Times New Roman" w:cs="Times New Roman"/>
          <w:sz w:val="24"/>
          <w:lang w:val="ru-RU"/>
        </w:rPr>
      </w:pPr>
      <w:r>
        <w:rPr>
          <w:rFonts w:hint="default" w:ascii="Times New Roman" w:hAnsi="Times New Roman"/>
          <w:b/>
          <w:bCs/>
          <w:sz w:val="24"/>
        </w:rPr>
        <w:t xml:space="preserve">Научный руководитель: </w:t>
      </w:r>
      <w:r>
        <w:rPr>
          <w:rFonts w:hint="default" w:ascii="Times New Roman" w:hAnsi="Times New Roman"/>
          <w:b/>
          <w:bCs/>
          <w:sz w:val="24"/>
          <w:lang w:val="ru-RU"/>
        </w:rPr>
        <w:t>Даутова Т.А</w:t>
      </w:r>
      <w:r>
        <w:rPr>
          <w:rFonts w:hint="default" w:ascii="Times New Roman" w:hAnsi="Times New Roman"/>
          <w:b/>
          <w:bCs/>
          <w:sz w:val="24"/>
        </w:rPr>
        <w:t>.</w:t>
      </w:r>
      <w:r>
        <w:rPr>
          <w:rFonts w:hint="default" w:ascii="Times New Roman" w:hAnsi="Times New Roman"/>
          <w:b/>
          <w:bCs/>
          <w:sz w:val="24"/>
          <w:lang w:val="ru-RU"/>
        </w:rPr>
        <w:t>, доцент, кандидат социологических наук</w:t>
      </w:r>
    </w:p>
    <w:p w14:paraId="231CD557">
      <w:pPr>
        <w:spacing w:after="0" w:line="240" w:lineRule="auto"/>
        <w:ind w:firstLine="709"/>
        <w:jc w:val="center"/>
        <w:rPr>
          <w:rFonts w:ascii="Times New Roman" w:hAnsi="Times New Roman" w:cs="Times New Roman"/>
          <w:b/>
          <w:bCs/>
          <w:sz w:val="24"/>
        </w:rPr>
      </w:pPr>
      <w:r>
        <w:rPr>
          <w:rFonts w:hint="default" w:ascii="Times New Roman" w:hAnsi="Times New Roman"/>
          <w:b/>
          <w:bCs/>
          <w:sz w:val="24"/>
        </w:rPr>
        <w:t>ВЛИЯНИЕ ПОКОЛЕНИЙ И ПОЛА НА ВЫБОР ТРУДОВОЙ ТРАЕКТОРИИ: ЭМПИРИЧЕСКОЕ ИССЛЕДОВАНИЕ НА РОССИЙСКИХ ДАННЫХ</w:t>
      </w:r>
    </w:p>
    <w:p w14:paraId="0BF1819B">
      <w:pPr>
        <w:spacing w:after="0" w:line="240" w:lineRule="auto"/>
        <w:jc w:val="both"/>
        <w:rPr>
          <w:rFonts w:ascii="Times New Roman" w:hAnsi="Times New Roman" w:cs="Times New Roman"/>
          <w:sz w:val="24"/>
          <w:lang w:val="en-US"/>
        </w:rPr>
      </w:pPr>
    </w:p>
    <w:p w14:paraId="02F46F19">
      <w:pPr>
        <w:spacing w:after="0" w:line="240" w:lineRule="auto"/>
        <w:ind w:firstLine="709"/>
        <w:jc w:val="both"/>
        <w:rPr>
          <w:rFonts w:ascii="Times New Roman" w:hAnsi="Times New Roman" w:cs="Times New Roman"/>
          <w:b/>
          <w:bCs/>
          <w:sz w:val="24"/>
        </w:rPr>
      </w:pPr>
      <w:r>
        <w:rPr>
          <w:rFonts w:ascii="Times New Roman" w:hAnsi="Times New Roman" w:cs="Times New Roman"/>
          <w:b/>
          <w:bCs/>
          <w:sz w:val="24"/>
        </w:rPr>
        <w:t xml:space="preserve">Аннотация: </w:t>
      </w:r>
      <w:r>
        <w:rPr>
          <w:rFonts w:ascii="Times New Roman" w:hAnsi="Times New Roman" w:cs="Times New Roman"/>
          <w:sz w:val="24"/>
        </w:rPr>
        <w:t xml:space="preserve">В статье рассматривается влияние поколенческой принадлежности и гендерных стереотипов на формирование карьерных стратегий россиян. Теоретической рамкой выступает теория поколений Штрауса—Хоува, концепция прекариата Г. Стэндинга и интерсекциональный подход. Исследование выявляет значимые различия в отношении к стабильности, готовности к смене профессии и формам занятости между поколениями X, Y и Z. Особое внимание уделено пересечению поколенческих и гендерных факторов: показано, что карьерная траектория женщин даже в пределах одного поколения остается более прерывистой и подверженной влиянию «стеклянного потолка». </w:t>
      </w:r>
    </w:p>
    <w:p w14:paraId="3F63C528">
      <w:pPr>
        <w:spacing w:after="0" w:line="240" w:lineRule="auto"/>
        <w:ind w:firstLine="709"/>
        <w:jc w:val="both"/>
        <w:rPr>
          <w:rFonts w:ascii="Times New Roman" w:hAnsi="Times New Roman" w:cs="Times New Roman"/>
          <w:sz w:val="24"/>
        </w:rPr>
      </w:pPr>
      <w:r>
        <w:rPr>
          <w:rFonts w:ascii="Times New Roman" w:hAnsi="Times New Roman" w:cs="Times New Roman"/>
          <w:b/>
          <w:bCs/>
          <w:sz w:val="24"/>
        </w:rPr>
        <w:t>Ключевые слова:</w:t>
      </w:r>
      <w:r>
        <w:rPr>
          <w:rFonts w:ascii="Times New Roman" w:hAnsi="Times New Roman" w:cs="Times New Roman"/>
          <w:sz w:val="24"/>
        </w:rPr>
        <w:t> трудовые траектории, теория поколений, гендерная асимметрия, карьерные стратегии, российский рынок труда, миллениалы, зумеры.</w:t>
      </w:r>
    </w:p>
    <w:p w14:paraId="638D439E">
      <w:pPr>
        <w:spacing w:after="0" w:line="240" w:lineRule="auto"/>
        <w:ind w:firstLine="709"/>
        <w:jc w:val="both"/>
        <w:rPr>
          <w:rFonts w:ascii="Times New Roman" w:hAnsi="Times New Roman" w:cs="Times New Roman"/>
          <w:sz w:val="24"/>
          <w:lang w:val="en-US"/>
        </w:rPr>
      </w:pPr>
    </w:p>
    <w:p w14:paraId="07F3597D">
      <w:pPr>
        <w:spacing w:after="0" w:line="240" w:lineRule="auto"/>
        <w:ind w:firstLine="709"/>
        <w:jc w:val="both"/>
        <w:rPr>
          <w:rFonts w:hint="default" w:ascii="Times New Roman" w:hAnsi="Times New Roman"/>
          <w:sz w:val="24"/>
        </w:rPr>
      </w:pPr>
      <w:r>
        <w:rPr>
          <w:rFonts w:hint="default" w:ascii="Times New Roman" w:hAnsi="Times New Roman"/>
          <w:sz w:val="24"/>
        </w:rPr>
        <w:t>Современный рынок труда отличается высокой турбулентностью: автоматизация, платформенная занятость и смена ценностных парадигм вытесняют линейную модель карьеры (учёба — работа на одном предприятии — пенсия). Особенно это заметно в России, где глобальные тренды накладываются на последствия постсоветских трансформаций.</w:t>
      </w:r>
    </w:p>
    <w:p w14:paraId="16F37A57">
      <w:pPr>
        <w:spacing w:after="0" w:line="240" w:lineRule="auto"/>
        <w:ind w:firstLine="709"/>
        <w:jc w:val="both"/>
        <w:rPr>
          <w:rFonts w:ascii="Times New Roman" w:hAnsi="Times New Roman" w:cs="Times New Roman"/>
          <w:sz w:val="24"/>
        </w:rPr>
      </w:pPr>
      <w:r>
        <w:rPr>
          <w:rFonts w:ascii="Times New Roman" w:hAnsi="Times New Roman" w:cs="Times New Roman"/>
          <w:sz w:val="24"/>
        </w:rPr>
        <w:t>В фокусе внимания находятся различия в отношении к формам занятости, карьерной мобильности и факторам, ограничивающим профессиональный рост. Теоретической основой служат работы Н. Хоува и У. Штрауса, в адаптации В.В. Радаева, а также интерсекциональный анализ, который позволяет рассматривать гендер не изолированно, а в связке с возрастом и социальным классом.[5]</w:t>
      </w:r>
    </w:p>
    <w:p w14:paraId="5220D28C">
      <w:pPr>
        <w:spacing w:after="0" w:line="240" w:lineRule="auto"/>
        <w:ind w:firstLine="709"/>
        <w:jc w:val="both"/>
        <w:rPr>
          <w:rFonts w:ascii="Times New Roman" w:hAnsi="Times New Roman" w:cs="Times New Roman"/>
          <w:sz w:val="24"/>
        </w:rPr>
      </w:pPr>
      <w:r>
        <w:rPr>
          <w:rFonts w:ascii="Times New Roman" w:hAnsi="Times New Roman" w:cs="Times New Roman"/>
          <w:sz w:val="24"/>
        </w:rPr>
        <w:t>Теория поколений предполагает, что люди, родившиеся в определенный исторический период и пережившие сходные социальные события в возрасте 10–25 лет, формируют общие ценности и модели поведения. Применительно к современной России исследователи оперируют тремя активными когортами: поколение X (1969–1981 гг.р.), миллениалы или поколение Y (1982–1999 гг.р.) и зумеры или поколение Z (2000–2011 гг.р.). Согласно данным Росстата за 2024 год, распределение занятых по возрастным группам выглядит следующим образом: в возрасте 40-44 лет (преимущественно поколение X) занято 10 634 тыс. человек, в возрасте 30-34 лет (миллениалы) — 9 825 тыс. человек, в возрасте 20-24 лет (зумеры) — 3 644 тыс. человек.</w:t>
      </w:r>
    </w:p>
    <w:p w14:paraId="4DBFF927">
      <w:pPr>
        <w:spacing w:after="0" w:line="240" w:lineRule="auto"/>
        <w:ind w:firstLine="709"/>
        <w:jc w:val="both"/>
        <w:rPr>
          <w:rFonts w:ascii="Times New Roman" w:hAnsi="Times New Roman" w:cs="Times New Roman"/>
          <w:sz w:val="24"/>
        </w:rPr>
      </w:pPr>
      <w:r>
        <w:rPr>
          <w:rFonts w:ascii="Times New Roman" w:hAnsi="Times New Roman" w:cs="Times New Roman"/>
          <w:sz w:val="24"/>
        </w:rPr>
        <w:t>Для поколения X, чья социализация пришлась на перестройку и кризис 1990-х, характерна высокая адаптивность, но и стремление к стабильности</w:t>
      </w:r>
      <w:r>
        <w:rPr>
          <w:rFonts w:hint="default" w:ascii="Times New Roman" w:hAnsi="Times New Roman" w:cs="Times New Roman"/>
          <w:sz w:val="24"/>
          <w:lang w:val="ru-RU"/>
        </w:rPr>
        <w:t>.</w:t>
      </w:r>
      <w:r>
        <w:rPr>
          <w:rFonts w:ascii="Times New Roman" w:hAnsi="Times New Roman" w:cs="Times New Roman"/>
          <w:sz w:val="24"/>
        </w:rPr>
        <w:t xml:space="preserve"> Это «кризисное» поколение научилось выживать в условиях неопределенности, однако его трудовая этика базируется на понятиях долга и лояльности работодателю. В возрастной группе 50-54 лет (старшие представители поколения X) занято 8 468 тыс. человек, что демонстрирует их устойчивую вовлеченность в рынок труда. </w:t>
      </w:r>
    </w:p>
    <w:p w14:paraId="407EDED5">
      <w:pPr>
        <w:spacing w:after="0" w:line="240" w:lineRule="auto"/>
        <w:ind w:firstLine="709"/>
        <w:jc w:val="both"/>
        <w:rPr>
          <w:rFonts w:ascii="Times New Roman" w:hAnsi="Times New Roman" w:cs="Times New Roman"/>
          <w:sz w:val="24"/>
        </w:rPr>
      </w:pPr>
      <w:r>
        <w:rPr>
          <w:rFonts w:ascii="Times New Roman" w:hAnsi="Times New Roman" w:cs="Times New Roman"/>
          <w:sz w:val="24"/>
        </w:rPr>
        <w:t xml:space="preserve">Миллениалы (Y) взрослели в эпоху относительной экономической стабилизации. Им свойственно стремление к поиску баланса между работой и личной жизнью (work-life balance), они более мобильны и готовы менять работодателя ради карьерного роста, но при этом ценят корпоративные социальные гарантии. Наиболее многочисленная группа занятых в российской экономике сегодня — это возрастная когорта 35-39 лет (ядро миллениалов), насчитывающая 11 713 тыс. человек. </w:t>
      </w:r>
      <w:r>
        <w:rPr>
          <w:rStyle w:val="4"/>
          <w:rFonts w:ascii="Times New Roman" w:hAnsi="Times New Roman" w:cs="Times New Roman"/>
          <w:sz w:val="24"/>
        </w:rPr>
        <w:footnoteReference w:id="0"/>
      </w:r>
    </w:p>
    <w:p w14:paraId="0F6BF3A5">
      <w:pPr>
        <w:spacing w:after="0" w:line="240" w:lineRule="auto"/>
        <w:ind w:firstLine="709"/>
        <w:jc w:val="both"/>
        <w:rPr>
          <w:rFonts w:ascii="Times New Roman" w:hAnsi="Times New Roman" w:cs="Times New Roman"/>
          <w:sz w:val="24"/>
        </w:rPr>
      </w:pPr>
      <w:r>
        <w:rPr>
          <w:rFonts w:ascii="Times New Roman" w:hAnsi="Times New Roman" w:cs="Times New Roman"/>
          <w:sz w:val="24"/>
        </w:rPr>
        <w:t>Зумеры (Z) — первые «цифровые аборигены». Они не мыслят жизни без интернета, склонны к мультизадачности, но демонстрируют короткий горизонт планирования. Для них карьера — это набор проектов, приносящих удовлетворение «здесь и сейчас». В возрастной группе 20-24 лет занято 3 644 тыс. человек, из которых 2 074 тыс. мужчин и 1 570 тыс. женщин. Исследование ВЦИОМ 2025 года показывает, что 56% молодежи ставят трудоустройство и профессиональный рост на первое место. [1]</w:t>
      </w:r>
    </w:p>
    <w:p w14:paraId="0C9E8AC9">
      <w:pPr>
        <w:spacing w:after="0" w:line="240" w:lineRule="auto"/>
        <w:ind w:firstLine="709"/>
        <w:jc w:val="both"/>
        <w:rPr>
          <w:rFonts w:ascii="Times New Roman" w:hAnsi="Times New Roman" w:cs="Times New Roman"/>
          <w:sz w:val="24"/>
        </w:rPr>
      </w:pPr>
      <w:r>
        <w:rPr>
          <w:rFonts w:ascii="Times New Roman" w:hAnsi="Times New Roman" w:cs="Times New Roman"/>
          <w:sz w:val="24"/>
        </w:rPr>
        <w:t>Однако поколенческий анализ был бы неполным без учета гендерного фактора. И.Н. Тартаковская в своих работах подчеркивает, что карьерные стратегии рабочих и служащих в России жестко стратифицированы по полу. [7] Существует «гендерный габитус»: женщины, даже обладая карьерными амбициями, часто ориентированы на успех в приватной сфере, тогда как мужской габитус связывает успех с профессиональной реализацией. В рамках интерсекционального подхода возраст и пол образуют сложную комбинацию, порождающую специфические уязвимости. Так, молодые женщины в регионах оказываются на перекрестке дискриминаций: возрастных («нет опыта») и гендерных («пойдет в декрет»).</w:t>
      </w:r>
    </w:p>
    <w:p w14:paraId="6F539E7C">
      <w:pPr>
        <w:spacing w:after="0" w:line="240" w:lineRule="auto"/>
        <w:ind w:firstLine="709"/>
        <w:jc w:val="both"/>
        <w:rPr>
          <w:rFonts w:ascii="Times New Roman" w:hAnsi="Times New Roman" w:cs="Times New Roman"/>
          <w:sz w:val="24"/>
        </w:rPr>
      </w:pPr>
      <w:r>
        <w:rPr>
          <w:rFonts w:ascii="Times New Roman" w:hAnsi="Times New Roman" w:cs="Times New Roman"/>
          <w:sz w:val="24"/>
        </w:rPr>
        <w:t>Аналитика основана на двух типах источников. Количественные данные представлены официальным статистическим сборником Росстата «Труд и занятость в России. 2025», содержащим детализированные показатели по половозрастным группам, а также оперативными данными Росстата за октябрь 2025 года об уровне занятости и безработицы.</w:t>
      </w:r>
      <w:r>
        <w:rPr>
          <w:rStyle w:val="4"/>
          <w:rFonts w:ascii="Times New Roman" w:hAnsi="Times New Roman" w:cs="Times New Roman"/>
          <w:sz w:val="24"/>
        </w:rPr>
        <w:footnoteReference w:id="1"/>
      </w:r>
      <w:r>
        <w:rPr>
          <w:rFonts w:ascii="Times New Roman" w:hAnsi="Times New Roman" w:cs="Times New Roman"/>
          <w:sz w:val="24"/>
        </w:rPr>
        <w:t xml:space="preserve"> Дополнительно используются данные рекрутинговой компании Marksman «Карьерные стратегии поколений» (май 2025 г.), [3] в рамках которого было проанализировано 6700 резюме соискателей из городов-миллионников и региональных центров РФ. Для наглядности различий в трудовых траекториях трех поколений прив</w:t>
      </w:r>
      <w:r>
        <w:rPr>
          <w:rFonts w:ascii="Times New Roman" w:hAnsi="Times New Roman" w:cs="Times New Roman"/>
          <w:sz w:val="24"/>
          <w:lang w:val="ru-RU"/>
        </w:rPr>
        <w:t>едены</w:t>
      </w:r>
      <w:r>
        <w:rPr>
          <w:rFonts w:hint="default" w:ascii="Times New Roman" w:hAnsi="Times New Roman" w:cs="Times New Roman"/>
          <w:sz w:val="24"/>
          <w:lang w:val="ru-RU"/>
        </w:rPr>
        <w:t xml:space="preserve"> в</w:t>
      </w:r>
      <w:r>
        <w:rPr>
          <w:rFonts w:ascii="Times New Roman" w:hAnsi="Times New Roman" w:cs="Times New Roman"/>
          <w:sz w:val="24"/>
        </w:rPr>
        <w:t xml:space="preserve"> таблиц</w:t>
      </w:r>
      <w:r>
        <w:rPr>
          <w:rFonts w:ascii="Times New Roman" w:hAnsi="Times New Roman" w:cs="Times New Roman"/>
          <w:sz w:val="24"/>
          <w:lang w:val="ru-RU"/>
        </w:rPr>
        <w:t>е</w:t>
      </w:r>
      <w:r>
        <w:rPr>
          <w:rFonts w:ascii="Times New Roman" w:hAnsi="Times New Roman" w:cs="Times New Roman"/>
          <w:sz w:val="24"/>
        </w:rPr>
        <w:t xml:space="preserve"> (см.табл.1).</w:t>
      </w:r>
    </w:p>
    <w:p w14:paraId="6C527D78">
      <w:pPr>
        <w:spacing w:after="0" w:line="240" w:lineRule="auto"/>
        <w:ind w:firstLine="709"/>
        <w:jc w:val="both"/>
        <w:rPr>
          <w:rFonts w:ascii="Times New Roman" w:hAnsi="Times New Roman" w:cs="Times New Roman"/>
          <w:sz w:val="24"/>
        </w:rPr>
      </w:pPr>
    </w:p>
    <w:p w14:paraId="33C60E00">
      <w:pPr>
        <w:spacing w:after="0" w:line="240" w:lineRule="auto"/>
        <w:ind w:firstLine="709"/>
        <w:jc w:val="both"/>
        <w:rPr>
          <w:rFonts w:ascii="Times New Roman" w:hAnsi="Times New Roman" w:cs="Times New Roman"/>
          <w:sz w:val="24"/>
        </w:rPr>
      </w:pPr>
      <w:r>
        <w:rPr>
          <w:rFonts w:ascii="Times New Roman" w:hAnsi="Times New Roman" w:cs="Times New Roman"/>
          <w:bCs/>
          <w:sz w:val="24"/>
        </w:rPr>
        <w:t>Таблица 1 — Карьерные стратегии поколений X, Y и Z в России</w:t>
      </w: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962"/>
        <w:gridCol w:w="3375"/>
        <w:gridCol w:w="2149"/>
        <w:gridCol w:w="2368"/>
      </w:tblGrid>
      <w:tr w14:paraId="25A023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tcPr>
          <w:p w14:paraId="5EECC8FD">
            <w:pPr>
              <w:spacing w:after="0" w:line="240" w:lineRule="auto"/>
              <w:jc w:val="center"/>
              <w:rPr>
                <w:rFonts w:ascii="Times New Roman" w:hAnsi="Times New Roman" w:cs="Times New Roman"/>
                <w:sz w:val="24"/>
              </w:rPr>
            </w:pPr>
            <w:r>
              <w:rPr>
                <w:rFonts w:ascii="Times New Roman" w:hAnsi="Times New Roman" w:cs="Times New Roman"/>
                <w:sz w:val="24"/>
              </w:rPr>
              <w:t>Критерий</w:t>
            </w:r>
          </w:p>
        </w:tc>
        <w:tc>
          <w:tcPr>
            <w:tcW w:w="0" w:type="auto"/>
          </w:tcPr>
          <w:p w14:paraId="21A73225">
            <w:pPr>
              <w:spacing w:after="0" w:line="240" w:lineRule="auto"/>
              <w:jc w:val="center"/>
              <w:rPr>
                <w:rFonts w:ascii="Times New Roman" w:hAnsi="Times New Roman" w:cs="Times New Roman"/>
                <w:sz w:val="24"/>
              </w:rPr>
            </w:pPr>
            <w:r>
              <w:rPr>
                <w:rFonts w:ascii="Times New Roman" w:hAnsi="Times New Roman" w:cs="Times New Roman"/>
                <w:sz w:val="24"/>
              </w:rPr>
              <w:t>Поколение X (41-56 лет)</w:t>
            </w:r>
          </w:p>
        </w:tc>
        <w:tc>
          <w:tcPr>
            <w:tcW w:w="0" w:type="auto"/>
          </w:tcPr>
          <w:p w14:paraId="7B6B1A17">
            <w:pPr>
              <w:spacing w:after="0" w:line="240" w:lineRule="auto"/>
              <w:jc w:val="center"/>
              <w:rPr>
                <w:rFonts w:ascii="Times New Roman" w:hAnsi="Times New Roman" w:cs="Times New Roman"/>
                <w:sz w:val="24"/>
              </w:rPr>
            </w:pPr>
            <w:r>
              <w:rPr>
                <w:rFonts w:ascii="Times New Roman" w:hAnsi="Times New Roman" w:cs="Times New Roman"/>
                <w:sz w:val="24"/>
              </w:rPr>
              <w:t>Миллениалы / Y (25-40 лет)</w:t>
            </w:r>
          </w:p>
        </w:tc>
        <w:tc>
          <w:tcPr>
            <w:tcW w:w="0" w:type="auto"/>
          </w:tcPr>
          <w:p w14:paraId="2E38484C">
            <w:pPr>
              <w:spacing w:after="0" w:line="240" w:lineRule="auto"/>
              <w:jc w:val="center"/>
              <w:rPr>
                <w:rFonts w:ascii="Times New Roman" w:hAnsi="Times New Roman" w:cs="Times New Roman"/>
                <w:sz w:val="24"/>
              </w:rPr>
            </w:pPr>
            <w:r>
              <w:rPr>
                <w:rFonts w:ascii="Times New Roman" w:hAnsi="Times New Roman" w:cs="Times New Roman"/>
                <w:sz w:val="24"/>
              </w:rPr>
              <w:t>Зумеры / Z (18-24 года)</w:t>
            </w:r>
          </w:p>
        </w:tc>
      </w:tr>
      <w:tr w14:paraId="0E9D5C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tcPr>
          <w:p w14:paraId="3DD40A8D">
            <w:pPr>
              <w:spacing w:after="0" w:line="240" w:lineRule="auto"/>
              <w:rPr>
                <w:rFonts w:ascii="Times New Roman" w:hAnsi="Times New Roman" w:cs="Times New Roman"/>
                <w:sz w:val="24"/>
              </w:rPr>
            </w:pPr>
            <w:r>
              <w:rPr>
                <w:rFonts w:ascii="Times New Roman" w:hAnsi="Times New Roman" w:cs="Times New Roman"/>
                <w:bCs/>
                <w:sz w:val="24"/>
              </w:rPr>
              <w:t>Численность занятых (2024 г.)</w:t>
            </w:r>
          </w:p>
        </w:tc>
        <w:tc>
          <w:tcPr>
            <w:tcW w:w="0" w:type="auto"/>
          </w:tcPr>
          <w:p w14:paraId="27029C1F">
            <w:pPr>
              <w:spacing w:after="0" w:line="240" w:lineRule="auto"/>
              <w:rPr>
                <w:rFonts w:ascii="Times New Roman" w:hAnsi="Times New Roman" w:cs="Times New Roman"/>
                <w:sz w:val="24"/>
              </w:rPr>
            </w:pPr>
            <w:r>
              <w:rPr>
                <w:rFonts w:ascii="Times New Roman" w:hAnsi="Times New Roman" w:cs="Times New Roman"/>
                <w:sz w:val="24"/>
              </w:rPr>
              <w:t>40-54 лет: 28 644 тыс. чел.</w:t>
            </w:r>
          </w:p>
        </w:tc>
        <w:tc>
          <w:tcPr>
            <w:tcW w:w="0" w:type="auto"/>
          </w:tcPr>
          <w:p w14:paraId="58FB17ED">
            <w:pPr>
              <w:spacing w:after="0" w:line="240" w:lineRule="auto"/>
              <w:rPr>
                <w:rFonts w:ascii="Times New Roman" w:hAnsi="Times New Roman" w:cs="Times New Roman"/>
                <w:sz w:val="24"/>
              </w:rPr>
            </w:pPr>
            <w:r>
              <w:rPr>
                <w:rFonts w:ascii="Times New Roman" w:hAnsi="Times New Roman" w:cs="Times New Roman"/>
                <w:sz w:val="24"/>
              </w:rPr>
              <w:t>25-39 лет: 28 049 тыс. чел.</w:t>
            </w:r>
          </w:p>
        </w:tc>
        <w:tc>
          <w:tcPr>
            <w:tcW w:w="0" w:type="auto"/>
          </w:tcPr>
          <w:p w14:paraId="690138FD">
            <w:pPr>
              <w:spacing w:after="0" w:line="240" w:lineRule="auto"/>
              <w:rPr>
                <w:rFonts w:ascii="Times New Roman" w:hAnsi="Times New Roman" w:cs="Times New Roman"/>
                <w:sz w:val="24"/>
              </w:rPr>
            </w:pPr>
            <w:r>
              <w:rPr>
                <w:rFonts w:ascii="Times New Roman" w:hAnsi="Times New Roman" w:cs="Times New Roman"/>
                <w:sz w:val="24"/>
              </w:rPr>
              <w:t>20-24 лет: 3 644 тыс. чел.</w:t>
            </w:r>
          </w:p>
        </w:tc>
      </w:tr>
      <w:tr w14:paraId="47E9D4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tcPr>
          <w:p w14:paraId="2CC50FA5">
            <w:pPr>
              <w:spacing w:after="0" w:line="240" w:lineRule="auto"/>
              <w:rPr>
                <w:rFonts w:ascii="Times New Roman" w:hAnsi="Times New Roman" w:cs="Times New Roman"/>
                <w:sz w:val="24"/>
              </w:rPr>
            </w:pPr>
            <w:r>
              <w:rPr>
                <w:rFonts w:ascii="Times New Roman" w:hAnsi="Times New Roman" w:cs="Times New Roman"/>
                <w:bCs/>
                <w:sz w:val="24"/>
              </w:rPr>
              <w:t>Преобладающий формат занятости</w:t>
            </w:r>
          </w:p>
        </w:tc>
        <w:tc>
          <w:tcPr>
            <w:tcW w:w="0" w:type="auto"/>
          </w:tcPr>
          <w:p w14:paraId="660BA1B1">
            <w:pPr>
              <w:spacing w:after="0" w:line="240" w:lineRule="auto"/>
              <w:rPr>
                <w:rFonts w:ascii="Times New Roman" w:hAnsi="Times New Roman" w:cs="Times New Roman"/>
                <w:sz w:val="24"/>
              </w:rPr>
            </w:pPr>
            <w:r>
              <w:rPr>
                <w:rFonts w:ascii="Times New Roman" w:hAnsi="Times New Roman" w:cs="Times New Roman"/>
                <w:sz w:val="24"/>
              </w:rPr>
              <w:t>Смешанный: 64% — только найм, 36% совмещают найм с фрилансом/проектами</w:t>
            </w:r>
          </w:p>
        </w:tc>
        <w:tc>
          <w:tcPr>
            <w:tcW w:w="0" w:type="auto"/>
          </w:tcPr>
          <w:p w14:paraId="24BD0A61">
            <w:pPr>
              <w:spacing w:after="0" w:line="240" w:lineRule="auto"/>
              <w:rPr>
                <w:rFonts w:ascii="Times New Roman" w:hAnsi="Times New Roman" w:cs="Times New Roman"/>
                <w:sz w:val="24"/>
              </w:rPr>
            </w:pPr>
            <w:r>
              <w:rPr>
                <w:rFonts w:ascii="Times New Roman" w:hAnsi="Times New Roman" w:cs="Times New Roman"/>
                <w:sz w:val="24"/>
              </w:rPr>
              <w:t>Традиционный найм (78%)</w:t>
            </w:r>
          </w:p>
        </w:tc>
        <w:tc>
          <w:tcPr>
            <w:tcW w:w="0" w:type="auto"/>
          </w:tcPr>
          <w:p w14:paraId="2AE84C84">
            <w:pPr>
              <w:spacing w:after="0" w:line="240" w:lineRule="auto"/>
              <w:rPr>
                <w:rFonts w:ascii="Times New Roman" w:hAnsi="Times New Roman" w:cs="Times New Roman"/>
                <w:sz w:val="24"/>
              </w:rPr>
            </w:pPr>
            <w:r>
              <w:rPr>
                <w:rFonts w:ascii="Times New Roman" w:hAnsi="Times New Roman" w:cs="Times New Roman"/>
                <w:sz w:val="24"/>
              </w:rPr>
              <w:t>Традиционный найм (76%), 21% совмещают с проектами</w:t>
            </w:r>
          </w:p>
        </w:tc>
      </w:tr>
      <w:tr w14:paraId="2E5540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tcPr>
          <w:p w14:paraId="25FF7B7F">
            <w:pPr>
              <w:spacing w:after="0" w:line="240" w:lineRule="auto"/>
              <w:rPr>
                <w:rFonts w:ascii="Times New Roman" w:hAnsi="Times New Roman" w:cs="Times New Roman"/>
                <w:sz w:val="24"/>
              </w:rPr>
            </w:pPr>
            <w:r>
              <w:rPr>
                <w:rFonts w:ascii="Times New Roman" w:hAnsi="Times New Roman" w:cs="Times New Roman"/>
                <w:bCs/>
                <w:sz w:val="24"/>
              </w:rPr>
              <w:t>Лояльность работодателю</w:t>
            </w:r>
          </w:p>
        </w:tc>
        <w:tc>
          <w:tcPr>
            <w:tcW w:w="0" w:type="auto"/>
          </w:tcPr>
          <w:p w14:paraId="3F4AF09B">
            <w:pPr>
              <w:spacing w:after="0" w:line="240" w:lineRule="auto"/>
              <w:rPr>
                <w:rFonts w:ascii="Times New Roman" w:hAnsi="Times New Roman" w:cs="Times New Roman"/>
                <w:sz w:val="24"/>
              </w:rPr>
            </w:pPr>
            <w:r>
              <w:rPr>
                <w:rFonts w:ascii="Times New Roman" w:hAnsi="Times New Roman" w:cs="Times New Roman"/>
                <w:sz w:val="24"/>
              </w:rPr>
              <w:t>Высокая (в среднем 6,5 лет в компании)</w:t>
            </w:r>
          </w:p>
        </w:tc>
        <w:tc>
          <w:tcPr>
            <w:tcW w:w="0" w:type="auto"/>
          </w:tcPr>
          <w:p w14:paraId="6CBA36CE">
            <w:pPr>
              <w:spacing w:after="0" w:line="240" w:lineRule="auto"/>
              <w:rPr>
                <w:rFonts w:ascii="Times New Roman" w:hAnsi="Times New Roman" w:cs="Times New Roman"/>
                <w:sz w:val="24"/>
              </w:rPr>
            </w:pPr>
            <w:r>
              <w:rPr>
                <w:rFonts w:ascii="Times New Roman" w:hAnsi="Times New Roman" w:cs="Times New Roman"/>
                <w:sz w:val="24"/>
              </w:rPr>
              <w:t>Средняя (2,5 года)</w:t>
            </w:r>
          </w:p>
        </w:tc>
        <w:tc>
          <w:tcPr>
            <w:tcW w:w="0" w:type="auto"/>
          </w:tcPr>
          <w:p w14:paraId="0C64C939">
            <w:pPr>
              <w:spacing w:after="0" w:line="240" w:lineRule="auto"/>
              <w:rPr>
                <w:rFonts w:ascii="Times New Roman" w:hAnsi="Times New Roman" w:cs="Times New Roman"/>
                <w:sz w:val="24"/>
              </w:rPr>
            </w:pPr>
            <w:r>
              <w:rPr>
                <w:rFonts w:ascii="Times New Roman" w:hAnsi="Times New Roman" w:cs="Times New Roman"/>
                <w:sz w:val="24"/>
              </w:rPr>
              <w:t>Низкая (1–1,5 года)</w:t>
            </w:r>
          </w:p>
        </w:tc>
      </w:tr>
      <w:tr w14:paraId="574B04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tcPr>
          <w:p w14:paraId="0411C926">
            <w:pPr>
              <w:spacing w:after="0" w:line="240" w:lineRule="auto"/>
              <w:rPr>
                <w:rFonts w:ascii="Times New Roman" w:hAnsi="Times New Roman" w:cs="Times New Roman"/>
                <w:sz w:val="24"/>
              </w:rPr>
            </w:pPr>
            <w:r>
              <w:rPr>
                <w:rFonts w:ascii="Times New Roman" w:hAnsi="Times New Roman" w:cs="Times New Roman"/>
                <w:bCs/>
                <w:sz w:val="24"/>
              </w:rPr>
              <w:t>Смена профессии</w:t>
            </w:r>
          </w:p>
        </w:tc>
        <w:tc>
          <w:tcPr>
            <w:tcW w:w="0" w:type="auto"/>
          </w:tcPr>
          <w:p w14:paraId="2E354191">
            <w:pPr>
              <w:spacing w:after="0" w:line="240" w:lineRule="auto"/>
              <w:rPr>
                <w:rFonts w:ascii="Times New Roman" w:hAnsi="Times New Roman" w:cs="Times New Roman"/>
                <w:sz w:val="24"/>
              </w:rPr>
            </w:pPr>
            <w:r>
              <w:rPr>
                <w:rFonts w:ascii="Times New Roman" w:hAnsi="Times New Roman" w:cs="Times New Roman"/>
                <w:sz w:val="24"/>
              </w:rPr>
              <w:t>39% работают не по специальности</w:t>
            </w:r>
          </w:p>
        </w:tc>
        <w:tc>
          <w:tcPr>
            <w:tcW w:w="0" w:type="auto"/>
          </w:tcPr>
          <w:p w14:paraId="55816CAF">
            <w:pPr>
              <w:spacing w:after="0" w:line="240" w:lineRule="auto"/>
              <w:rPr>
                <w:rFonts w:ascii="Times New Roman" w:hAnsi="Times New Roman" w:cs="Times New Roman"/>
                <w:sz w:val="24"/>
              </w:rPr>
            </w:pPr>
            <w:r>
              <w:rPr>
                <w:rFonts w:ascii="Times New Roman" w:hAnsi="Times New Roman" w:cs="Times New Roman"/>
                <w:sz w:val="24"/>
              </w:rPr>
              <w:t>32% сменили сферу</w:t>
            </w:r>
          </w:p>
        </w:tc>
        <w:tc>
          <w:tcPr>
            <w:tcW w:w="0" w:type="auto"/>
          </w:tcPr>
          <w:p w14:paraId="143F1D8C">
            <w:pPr>
              <w:spacing w:after="0" w:line="240" w:lineRule="auto"/>
              <w:rPr>
                <w:rFonts w:ascii="Times New Roman" w:hAnsi="Times New Roman" w:cs="Times New Roman"/>
                <w:sz w:val="24"/>
              </w:rPr>
            </w:pPr>
            <w:r>
              <w:rPr>
                <w:rFonts w:ascii="Times New Roman" w:hAnsi="Times New Roman" w:cs="Times New Roman"/>
                <w:sz w:val="24"/>
              </w:rPr>
              <w:t>21% работают не по специальности</w:t>
            </w:r>
          </w:p>
        </w:tc>
      </w:tr>
      <w:tr w14:paraId="5CD3D6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tcPr>
          <w:p w14:paraId="45996086">
            <w:pPr>
              <w:spacing w:after="0" w:line="240" w:lineRule="auto"/>
              <w:rPr>
                <w:rFonts w:ascii="Times New Roman" w:hAnsi="Times New Roman" w:cs="Times New Roman"/>
                <w:sz w:val="24"/>
              </w:rPr>
            </w:pPr>
            <w:r>
              <w:rPr>
                <w:rFonts w:ascii="Times New Roman" w:hAnsi="Times New Roman" w:cs="Times New Roman"/>
                <w:bCs/>
                <w:sz w:val="24"/>
              </w:rPr>
              <w:t>Готовность к переезду</w:t>
            </w:r>
          </w:p>
        </w:tc>
        <w:tc>
          <w:tcPr>
            <w:tcW w:w="0" w:type="auto"/>
          </w:tcPr>
          <w:p w14:paraId="3BF71DF1">
            <w:pPr>
              <w:spacing w:after="0" w:line="240" w:lineRule="auto"/>
              <w:rPr>
                <w:rFonts w:ascii="Times New Roman" w:hAnsi="Times New Roman" w:cs="Times New Roman"/>
                <w:sz w:val="24"/>
              </w:rPr>
            </w:pPr>
            <w:r>
              <w:rPr>
                <w:rFonts w:ascii="Times New Roman" w:hAnsi="Times New Roman" w:cs="Times New Roman"/>
                <w:sz w:val="24"/>
              </w:rPr>
              <w:t>28% (ограничена семьей и опытом кризисов)</w:t>
            </w:r>
          </w:p>
        </w:tc>
        <w:tc>
          <w:tcPr>
            <w:tcW w:w="0" w:type="auto"/>
          </w:tcPr>
          <w:p w14:paraId="731D0781">
            <w:pPr>
              <w:spacing w:after="0" w:line="240" w:lineRule="auto"/>
              <w:rPr>
                <w:rFonts w:ascii="Times New Roman" w:hAnsi="Times New Roman" w:cs="Times New Roman"/>
                <w:sz w:val="24"/>
              </w:rPr>
            </w:pPr>
            <w:r>
              <w:rPr>
                <w:rFonts w:ascii="Times New Roman" w:hAnsi="Times New Roman" w:cs="Times New Roman"/>
                <w:sz w:val="24"/>
              </w:rPr>
              <w:t>35% (высокая мобильность)</w:t>
            </w:r>
          </w:p>
        </w:tc>
        <w:tc>
          <w:tcPr>
            <w:tcW w:w="0" w:type="auto"/>
          </w:tcPr>
          <w:p w14:paraId="6077C300">
            <w:pPr>
              <w:spacing w:after="0" w:line="240" w:lineRule="auto"/>
              <w:rPr>
                <w:rFonts w:ascii="Times New Roman" w:hAnsi="Times New Roman" w:cs="Times New Roman"/>
                <w:sz w:val="24"/>
              </w:rPr>
            </w:pPr>
            <w:r>
              <w:rPr>
                <w:rFonts w:ascii="Times New Roman" w:hAnsi="Times New Roman" w:cs="Times New Roman"/>
                <w:sz w:val="24"/>
              </w:rPr>
              <w:t>Данных недостаточно, но высокая мотивация в регионах</w:t>
            </w:r>
          </w:p>
        </w:tc>
      </w:tr>
      <w:tr w14:paraId="75A1A0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tcPr>
          <w:p w14:paraId="52C884C2">
            <w:pPr>
              <w:spacing w:after="0" w:line="240" w:lineRule="auto"/>
              <w:rPr>
                <w:rFonts w:ascii="Times New Roman" w:hAnsi="Times New Roman" w:cs="Times New Roman"/>
                <w:sz w:val="24"/>
              </w:rPr>
            </w:pPr>
            <w:r>
              <w:rPr>
                <w:rFonts w:ascii="Times New Roman" w:hAnsi="Times New Roman" w:cs="Times New Roman"/>
                <w:bCs/>
                <w:sz w:val="24"/>
              </w:rPr>
              <w:t>Приоритеты при выборе работы</w:t>
            </w:r>
          </w:p>
        </w:tc>
        <w:tc>
          <w:tcPr>
            <w:tcW w:w="0" w:type="auto"/>
          </w:tcPr>
          <w:p w14:paraId="44FC8066">
            <w:pPr>
              <w:spacing w:after="0" w:line="240" w:lineRule="auto"/>
              <w:rPr>
                <w:rFonts w:ascii="Times New Roman" w:hAnsi="Times New Roman" w:cs="Times New Roman"/>
                <w:sz w:val="24"/>
              </w:rPr>
            </w:pPr>
            <w:r>
              <w:rPr>
                <w:rFonts w:ascii="Times New Roman" w:hAnsi="Times New Roman" w:cs="Times New Roman"/>
                <w:sz w:val="24"/>
              </w:rPr>
              <w:t>Оплата труда, безопасность, стабильность</w:t>
            </w:r>
          </w:p>
        </w:tc>
        <w:tc>
          <w:tcPr>
            <w:tcW w:w="0" w:type="auto"/>
          </w:tcPr>
          <w:p w14:paraId="6046D677">
            <w:pPr>
              <w:spacing w:after="0" w:line="240" w:lineRule="auto"/>
              <w:rPr>
                <w:rFonts w:ascii="Times New Roman" w:hAnsi="Times New Roman" w:cs="Times New Roman"/>
                <w:sz w:val="24"/>
              </w:rPr>
            </w:pPr>
            <w:r>
              <w:rPr>
                <w:rFonts w:ascii="Times New Roman" w:hAnsi="Times New Roman" w:cs="Times New Roman"/>
                <w:sz w:val="24"/>
              </w:rPr>
              <w:t>Оплата, психологический комфорт, удовольствие</w:t>
            </w:r>
          </w:p>
        </w:tc>
        <w:tc>
          <w:tcPr>
            <w:tcW w:w="0" w:type="auto"/>
          </w:tcPr>
          <w:p w14:paraId="27243DA0">
            <w:pPr>
              <w:spacing w:after="0" w:line="240" w:lineRule="auto"/>
              <w:rPr>
                <w:rFonts w:ascii="Times New Roman" w:hAnsi="Times New Roman" w:cs="Times New Roman"/>
                <w:sz w:val="24"/>
              </w:rPr>
            </w:pPr>
            <w:r>
              <w:rPr>
                <w:rFonts w:ascii="Times New Roman" w:hAnsi="Times New Roman" w:cs="Times New Roman"/>
                <w:sz w:val="24"/>
              </w:rPr>
              <w:t>Оплата, удовольствие, гибкий график</w:t>
            </w:r>
          </w:p>
        </w:tc>
      </w:tr>
    </w:tbl>
    <w:p w14:paraId="5C445BCF"/>
    <w:p w14:paraId="1E739020">
      <w:pPr>
        <w:spacing w:after="0" w:line="240" w:lineRule="auto"/>
        <w:ind w:firstLine="709"/>
        <w:jc w:val="both"/>
        <w:rPr>
          <w:rFonts w:hint="default" w:ascii="Times New Roman" w:hAnsi="Times New Roman"/>
          <w:sz w:val="24"/>
        </w:rPr>
      </w:pPr>
      <w:r>
        <w:rPr>
          <w:rFonts w:hint="default" w:ascii="Times New Roman" w:hAnsi="Times New Roman"/>
          <w:sz w:val="24"/>
          <w:lang w:val="ru-RU"/>
        </w:rPr>
        <w:t>Как видно из данных, г</w:t>
      </w:r>
      <w:r>
        <w:rPr>
          <w:rFonts w:hint="default" w:ascii="Times New Roman" w:hAnsi="Times New Roman"/>
          <w:sz w:val="24"/>
        </w:rPr>
        <w:t>ипотеза о «текучем» поколении Z подтверждается лишь отчасти: зумеры реже меняют профессию (21 %), но часто работодателя, пробуя разные корпоративные культуры для накопления профессионального капитала. Поколение X, напротив, чаще меняет профессию (39 %), оставаясь у одного работодателя около 7 лет, они переучиваются внутри компании, избегая выхода на внешний рынок.</w:t>
      </w:r>
    </w:p>
    <w:p w14:paraId="20A053D4">
      <w:pPr>
        <w:spacing w:after="0" w:line="240" w:lineRule="auto"/>
        <w:ind w:firstLine="709"/>
        <w:jc w:val="both"/>
        <w:rPr>
          <w:rFonts w:ascii="Times New Roman" w:hAnsi="Times New Roman" w:cs="Times New Roman"/>
          <w:sz w:val="24"/>
        </w:rPr>
      </w:pPr>
      <w:r>
        <w:rPr>
          <w:rFonts w:ascii="Times New Roman" w:hAnsi="Times New Roman" w:cs="Times New Roman"/>
          <w:sz w:val="24"/>
        </w:rPr>
        <w:t>Важной региональной особенностью является разрыв в форматах занятости среди зумеров. В Москве и Санкт-Петербурге лишь 12% совмещают работу с подработками,</w:t>
      </w:r>
      <w:r>
        <w:rPr>
          <w:rFonts w:hint="default" w:ascii="Times New Roman" w:hAnsi="Times New Roman" w:cs="Times New Roman"/>
          <w:sz w:val="24"/>
          <w:lang w:val="ru-RU"/>
        </w:rPr>
        <w:t xml:space="preserve"> </w:t>
      </w:r>
      <w:r>
        <w:rPr>
          <w:rFonts w:ascii="Times New Roman" w:hAnsi="Times New Roman" w:cs="Times New Roman"/>
          <w:sz w:val="24"/>
          <w:lang w:val="ru-RU"/>
        </w:rPr>
        <w:t>а</w:t>
      </w:r>
      <w:r>
        <w:rPr>
          <w:rFonts w:ascii="Times New Roman" w:hAnsi="Times New Roman" w:cs="Times New Roman"/>
          <w:sz w:val="24"/>
        </w:rPr>
        <w:t xml:space="preserve"> в регионах этот показатель достигает 31%. Молодежь из регионов вынуждена компенсировать низкие стартовые зарплаты фрилансом и удаленной работой на столичные компании, что формирует гибридную занятость как вынужденную меру, а не как осознанный выбор.</w:t>
      </w:r>
    </w:p>
    <w:p w14:paraId="0477007A">
      <w:pPr>
        <w:spacing w:after="0" w:line="240" w:lineRule="auto"/>
        <w:ind w:firstLine="709"/>
        <w:jc w:val="both"/>
        <w:rPr>
          <w:rFonts w:ascii="Times New Roman" w:hAnsi="Times New Roman" w:cs="Times New Roman"/>
          <w:sz w:val="24"/>
        </w:rPr>
      </w:pPr>
      <w:r>
        <w:rPr>
          <w:rFonts w:ascii="Times New Roman" w:hAnsi="Times New Roman" w:cs="Times New Roman"/>
          <w:sz w:val="24"/>
        </w:rPr>
        <w:t xml:space="preserve">При наложении на поколенческую структуру гендерного фактора картина становится более сложной. Официальные данные Росстата за октябрь 2025 года показывают, что доля женщин среди занятых составляет 48,9%.[6] При этом средняя продолжительность поиска работы различается: женщины ищут работу в среднем 5,6 месяца, мужчины — 5,4 месяца. </w:t>
      </w:r>
      <w:r>
        <w:rPr>
          <w:rFonts w:ascii="Times New Roman" w:hAnsi="Times New Roman" w:cs="Times New Roman"/>
          <w:sz w:val="24"/>
          <w:lang w:val="ru-RU"/>
        </w:rPr>
        <w:t>Однако</w:t>
      </w:r>
      <w:r>
        <w:rPr>
          <w:rFonts w:hint="default" w:ascii="Times New Roman" w:hAnsi="Times New Roman" w:cs="Times New Roman"/>
          <w:sz w:val="24"/>
          <w:lang w:val="ru-RU"/>
        </w:rPr>
        <w:t xml:space="preserve"> </w:t>
      </w:r>
      <w:r>
        <w:rPr>
          <w:rFonts w:ascii="Times New Roman" w:hAnsi="Times New Roman" w:cs="Times New Roman"/>
          <w:sz w:val="24"/>
        </w:rPr>
        <w:t>данные за первое полугодие 2025 года, проанализированные «Известиями», показывают иную динамику: в среднем на трудоустройство у женщин уходит 5 месяцев и 3 дня, что на 4 дня меньше, чем у мужчин. Эксперты связывают это с кадровым дефицитом и готовностью женщин соглашаться на менее оплачиваемые должности в обмен на гибкий график. [2]</w:t>
      </w:r>
    </w:p>
    <w:p w14:paraId="022FCED6">
      <w:pPr>
        <w:spacing w:after="0" w:line="240" w:lineRule="auto"/>
        <w:ind w:firstLine="709"/>
        <w:jc w:val="both"/>
        <w:rPr>
          <w:rFonts w:ascii="Times New Roman" w:hAnsi="Times New Roman" w:cs="Times New Roman"/>
          <w:sz w:val="24"/>
        </w:rPr>
      </w:pPr>
      <w:r>
        <w:rPr>
          <w:rFonts w:ascii="Times New Roman" w:hAnsi="Times New Roman" w:cs="Times New Roman"/>
          <w:sz w:val="24"/>
        </w:rPr>
        <w:t>В таблице 2 представлено влияние пола на карьерные стратегии внутри поколенческих групп с использованием официальных статистических данных.</w:t>
      </w:r>
    </w:p>
    <w:p w14:paraId="58DC5751">
      <w:pPr>
        <w:spacing w:after="0" w:line="240" w:lineRule="auto"/>
        <w:ind w:firstLine="709"/>
        <w:jc w:val="both"/>
        <w:rPr>
          <w:rFonts w:ascii="Times New Roman" w:hAnsi="Times New Roman" w:cs="Times New Roman"/>
          <w:sz w:val="24"/>
        </w:rPr>
      </w:pPr>
    </w:p>
    <w:p w14:paraId="7FDA800B">
      <w:pPr>
        <w:spacing w:after="0" w:line="240" w:lineRule="auto"/>
        <w:ind w:firstLine="709"/>
        <w:jc w:val="both"/>
        <w:rPr>
          <w:rFonts w:ascii="Times New Roman" w:hAnsi="Times New Roman" w:cs="Times New Roman"/>
          <w:sz w:val="24"/>
        </w:rPr>
      </w:pPr>
      <w:r>
        <w:rPr>
          <w:rFonts w:ascii="Times New Roman" w:hAnsi="Times New Roman" w:cs="Times New Roman"/>
          <w:bCs/>
          <w:sz w:val="24"/>
        </w:rPr>
        <w:t xml:space="preserve">Таблица 2 — Интерсекциональный анализ: влияние пола на карьерные траектории </w:t>
      </w:r>
      <w:r>
        <w:rPr>
          <w:rFonts w:ascii="Times New Roman" w:hAnsi="Times New Roman" w:cs="Times New Roman"/>
          <w:sz w:val="24"/>
        </w:rPr>
        <w:t xml:space="preserve">[2] </w:t>
      </w:r>
    </w:p>
    <w:tbl>
      <w:tblPr>
        <w:tblStyle w:val="7"/>
        <w:tblW w:w="966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413"/>
        <w:gridCol w:w="3557"/>
        <w:gridCol w:w="3698"/>
      </w:tblGrid>
      <w:tr w14:paraId="29DADE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5" w:hRule="atLeast"/>
        </w:trPr>
        <w:tc>
          <w:tcPr>
            <w:tcW w:w="2413" w:type="dxa"/>
          </w:tcPr>
          <w:p w14:paraId="292FD493">
            <w:pPr>
              <w:spacing w:after="0" w:line="240" w:lineRule="auto"/>
              <w:jc w:val="center"/>
              <w:rPr>
                <w:rFonts w:ascii="Times New Roman" w:hAnsi="Times New Roman" w:cs="Times New Roman"/>
                <w:sz w:val="24"/>
              </w:rPr>
            </w:pPr>
            <w:r>
              <w:rPr>
                <w:rFonts w:ascii="Times New Roman" w:hAnsi="Times New Roman" w:cs="Times New Roman"/>
                <w:sz w:val="24"/>
              </w:rPr>
              <w:t>Параметр</w:t>
            </w:r>
          </w:p>
        </w:tc>
        <w:tc>
          <w:tcPr>
            <w:tcW w:w="3557" w:type="dxa"/>
          </w:tcPr>
          <w:p w14:paraId="0C527C55">
            <w:pPr>
              <w:spacing w:after="0" w:line="240" w:lineRule="auto"/>
              <w:jc w:val="center"/>
              <w:rPr>
                <w:rFonts w:ascii="Times New Roman" w:hAnsi="Times New Roman" w:cs="Times New Roman"/>
                <w:sz w:val="24"/>
              </w:rPr>
            </w:pPr>
            <w:r>
              <w:rPr>
                <w:rFonts w:ascii="Times New Roman" w:hAnsi="Times New Roman" w:cs="Times New Roman"/>
                <w:sz w:val="24"/>
              </w:rPr>
              <w:t>Мужчины (все поколения)</w:t>
            </w:r>
          </w:p>
        </w:tc>
        <w:tc>
          <w:tcPr>
            <w:tcW w:w="3698" w:type="dxa"/>
          </w:tcPr>
          <w:p w14:paraId="557994C4">
            <w:pPr>
              <w:spacing w:after="0" w:line="240" w:lineRule="auto"/>
              <w:jc w:val="center"/>
              <w:rPr>
                <w:rFonts w:ascii="Times New Roman" w:hAnsi="Times New Roman" w:cs="Times New Roman"/>
                <w:sz w:val="24"/>
              </w:rPr>
            </w:pPr>
            <w:r>
              <w:rPr>
                <w:rFonts w:ascii="Times New Roman" w:hAnsi="Times New Roman" w:cs="Times New Roman"/>
                <w:sz w:val="24"/>
              </w:rPr>
              <w:t>Женщины (все поколения)</w:t>
            </w:r>
          </w:p>
        </w:tc>
      </w:tr>
      <w:tr w14:paraId="3AD11F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3" w:hRule="atLeast"/>
        </w:trPr>
        <w:tc>
          <w:tcPr>
            <w:tcW w:w="2413" w:type="dxa"/>
          </w:tcPr>
          <w:p w14:paraId="7CD0CA2F">
            <w:pPr>
              <w:spacing w:after="0" w:line="240" w:lineRule="auto"/>
              <w:rPr>
                <w:rFonts w:ascii="Times New Roman" w:hAnsi="Times New Roman" w:cs="Times New Roman"/>
                <w:sz w:val="24"/>
              </w:rPr>
            </w:pPr>
            <w:r>
              <w:rPr>
                <w:rFonts w:ascii="Times New Roman" w:hAnsi="Times New Roman" w:cs="Times New Roman"/>
                <w:bCs/>
                <w:sz w:val="24"/>
              </w:rPr>
              <w:t>Численность занятых в 2024 г.</w:t>
            </w:r>
          </w:p>
        </w:tc>
        <w:tc>
          <w:tcPr>
            <w:tcW w:w="3557" w:type="dxa"/>
          </w:tcPr>
          <w:p w14:paraId="3F8B50E9">
            <w:pPr>
              <w:spacing w:after="0" w:line="240" w:lineRule="auto"/>
              <w:rPr>
                <w:rFonts w:ascii="Times New Roman" w:hAnsi="Times New Roman" w:cs="Times New Roman"/>
                <w:sz w:val="24"/>
              </w:rPr>
            </w:pPr>
            <w:r>
              <w:rPr>
                <w:rFonts w:ascii="Times New Roman" w:hAnsi="Times New Roman" w:cs="Times New Roman"/>
                <w:sz w:val="24"/>
              </w:rPr>
              <w:t>37 882 тыс. чел.</w:t>
            </w:r>
          </w:p>
        </w:tc>
        <w:tc>
          <w:tcPr>
            <w:tcW w:w="3698" w:type="dxa"/>
          </w:tcPr>
          <w:p w14:paraId="793C9091">
            <w:pPr>
              <w:spacing w:after="0" w:line="240" w:lineRule="auto"/>
              <w:rPr>
                <w:rFonts w:ascii="Times New Roman" w:hAnsi="Times New Roman" w:cs="Times New Roman"/>
                <w:sz w:val="24"/>
              </w:rPr>
            </w:pPr>
            <w:r>
              <w:rPr>
                <w:rFonts w:ascii="Times New Roman" w:hAnsi="Times New Roman" w:cs="Times New Roman"/>
                <w:sz w:val="24"/>
              </w:rPr>
              <w:t>36 307 тыс. чел.</w:t>
            </w:r>
          </w:p>
        </w:tc>
      </w:tr>
      <w:tr w14:paraId="6C78B4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9" w:hRule="atLeast"/>
        </w:trPr>
        <w:tc>
          <w:tcPr>
            <w:tcW w:w="2413" w:type="dxa"/>
          </w:tcPr>
          <w:p w14:paraId="5522246E">
            <w:pPr>
              <w:spacing w:after="0" w:line="240" w:lineRule="auto"/>
              <w:rPr>
                <w:rFonts w:ascii="Times New Roman" w:hAnsi="Times New Roman" w:cs="Times New Roman"/>
                <w:sz w:val="24"/>
              </w:rPr>
            </w:pPr>
            <w:r>
              <w:rPr>
                <w:rFonts w:ascii="Times New Roman" w:hAnsi="Times New Roman" w:cs="Times New Roman"/>
                <w:bCs/>
                <w:sz w:val="24"/>
              </w:rPr>
              <w:t xml:space="preserve">Доля в занятости </w:t>
            </w:r>
          </w:p>
        </w:tc>
        <w:tc>
          <w:tcPr>
            <w:tcW w:w="3557" w:type="dxa"/>
          </w:tcPr>
          <w:p w14:paraId="0FA628B2">
            <w:pPr>
              <w:spacing w:after="0" w:line="240" w:lineRule="auto"/>
              <w:rPr>
                <w:rFonts w:ascii="Times New Roman" w:hAnsi="Times New Roman" w:cs="Times New Roman"/>
                <w:sz w:val="24"/>
              </w:rPr>
            </w:pPr>
            <w:r>
              <w:rPr>
                <w:rFonts w:ascii="Times New Roman" w:hAnsi="Times New Roman" w:cs="Times New Roman"/>
                <w:sz w:val="24"/>
              </w:rPr>
              <w:t>51,1%</w:t>
            </w:r>
          </w:p>
        </w:tc>
        <w:tc>
          <w:tcPr>
            <w:tcW w:w="3698" w:type="dxa"/>
          </w:tcPr>
          <w:p w14:paraId="19E74786">
            <w:pPr>
              <w:spacing w:after="0" w:line="240" w:lineRule="auto"/>
              <w:rPr>
                <w:rFonts w:ascii="Times New Roman" w:hAnsi="Times New Roman" w:cs="Times New Roman"/>
                <w:sz w:val="24"/>
              </w:rPr>
            </w:pPr>
            <w:r>
              <w:rPr>
                <w:rFonts w:ascii="Times New Roman" w:hAnsi="Times New Roman" w:cs="Times New Roman"/>
                <w:sz w:val="24"/>
              </w:rPr>
              <w:t>48,9%</w:t>
            </w:r>
          </w:p>
        </w:tc>
      </w:tr>
      <w:tr w14:paraId="7392F3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3" w:hRule="atLeast"/>
        </w:trPr>
        <w:tc>
          <w:tcPr>
            <w:tcW w:w="2413" w:type="dxa"/>
          </w:tcPr>
          <w:p w14:paraId="0A29593A">
            <w:pPr>
              <w:spacing w:after="0" w:line="240" w:lineRule="auto"/>
              <w:rPr>
                <w:rFonts w:ascii="Times New Roman" w:hAnsi="Times New Roman" w:cs="Times New Roman"/>
                <w:sz w:val="24"/>
              </w:rPr>
            </w:pPr>
            <w:r>
              <w:rPr>
                <w:rFonts w:ascii="Times New Roman" w:hAnsi="Times New Roman" w:cs="Times New Roman"/>
                <w:bCs/>
                <w:sz w:val="24"/>
              </w:rPr>
              <w:t xml:space="preserve">Среднее время поиска работы </w:t>
            </w:r>
          </w:p>
        </w:tc>
        <w:tc>
          <w:tcPr>
            <w:tcW w:w="3557" w:type="dxa"/>
          </w:tcPr>
          <w:p w14:paraId="1D9AFE1B">
            <w:pPr>
              <w:spacing w:after="0" w:line="240" w:lineRule="auto"/>
              <w:rPr>
                <w:rFonts w:ascii="Times New Roman" w:hAnsi="Times New Roman" w:cs="Times New Roman"/>
                <w:sz w:val="24"/>
              </w:rPr>
            </w:pPr>
            <w:r>
              <w:rPr>
                <w:rFonts w:ascii="Times New Roman" w:hAnsi="Times New Roman" w:cs="Times New Roman"/>
                <w:sz w:val="24"/>
              </w:rPr>
              <w:t>5,4 месяца</w:t>
            </w:r>
          </w:p>
        </w:tc>
        <w:tc>
          <w:tcPr>
            <w:tcW w:w="3698" w:type="dxa"/>
          </w:tcPr>
          <w:p w14:paraId="10C3B114">
            <w:pPr>
              <w:spacing w:after="0" w:line="240" w:lineRule="auto"/>
              <w:rPr>
                <w:rFonts w:ascii="Times New Roman" w:hAnsi="Times New Roman" w:cs="Times New Roman"/>
                <w:sz w:val="24"/>
              </w:rPr>
            </w:pPr>
            <w:r>
              <w:rPr>
                <w:rFonts w:ascii="Times New Roman" w:hAnsi="Times New Roman" w:cs="Times New Roman"/>
                <w:sz w:val="24"/>
              </w:rPr>
              <w:t>5,6 месяца</w:t>
            </w:r>
          </w:p>
        </w:tc>
      </w:tr>
      <w:tr w14:paraId="6EE2CC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9" w:hRule="atLeast"/>
        </w:trPr>
        <w:tc>
          <w:tcPr>
            <w:tcW w:w="2413" w:type="dxa"/>
          </w:tcPr>
          <w:p w14:paraId="63880D90">
            <w:pPr>
              <w:spacing w:after="0" w:line="240" w:lineRule="auto"/>
              <w:rPr>
                <w:rFonts w:ascii="Times New Roman" w:hAnsi="Times New Roman" w:cs="Times New Roman"/>
                <w:sz w:val="24"/>
              </w:rPr>
            </w:pPr>
            <w:r>
              <w:rPr>
                <w:rFonts w:ascii="Times New Roman" w:hAnsi="Times New Roman" w:cs="Times New Roman"/>
                <w:bCs/>
                <w:sz w:val="24"/>
              </w:rPr>
              <w:t xml:space="preserve">Среднее время поиска работы </w:t>
            </w:r>
            <w:r>
              <w:rPr>
                <w:rFonts w:hint="default" w:ascii="Times New Roman" w:hAnsi="Times New Roman"/>
                <w:bCs/>
                <w:sz w:val="24"/>
              </w:rPr>
              <w:t>за первое полугодие 2025 года</w:t>
            </w:r>
            <w:bookmarkStart w:id="0" w:name="_GoBack"/>
            <w:bookmarkEnd w:id="0"/>
          </w:p>
        </w:tc>
        <w:tc>
          <w:tcPr>
            <w:tcW w:w="3557" w:type="dxa"/>
          </w:tcPr>
          <w:p w14:paraId="3780D850">
            <w:pPr>
              <w:spacing w:after="0" w:line="240" w:lineRule="auto"/>
              <w:rPr>
                <w:rFonts w:ascii="Times New Roman" w:hAnsi="Times New Roman" w:cs="Times New Roman"/>
                <w:sz w:val="24"/>
              </w:rPr>
            </w:pPr>
            <w:r>
              <w:rPr>
                <w:rFonts w:ascii="Times New Roman" w:hAnsi="Times New Roman" w:cs="Times New Roman"/>
                <w:sz w:val="24"/>
              </w:rPr>
              <w:t>5 месяцев 7 дней</w:t>
            </w:r>
          </w:p>
        </w:tc>
        <w:tc>
          <w:tcPr>
            <w:tcW w:w="3698" w:type="dxa"/>
          </w:tcPr>
          <w:p w14:paraId="10B90D2E">
            <w:pPr>
              <w:spacing w:after="0" w:line="240" w:lineRule="auto"/>
              <w:rPr>
                <w:rFonts w:ascii="Times New Roman" w:hAnsi="Times New Roman" w:cs="Times New Roman"/>
                <w:sz w:val="24"/>
              </w:rPr>
            </w:pPr>
            <w:r>
              <w:rPr>
                <w:rFonts w:ascii="Times New Roman" w:hAnsi="Times New Roman" w:cs="Times New Roman"/>
                <w:sz w:val="24"/>
              </w:rPr>
              <w:t>5 месяцев 3 дня</w:t>
            </w:r>
          </w:p>
        </w:tc>
      </w:tr>
      <w:tr w14:paraId="3B355F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9" w:hRule="atLeast"/>
        </w:trPr>
        <w:tc>
          <w:tcPr>
            <w:tcW w:w="2413" w:type="dxa"/>
          </w:tcPr>
          <w:p w14:paraId="637CDB37">
            <w:pPr>
              <w:spacing w:after="0" w:line="240" w:lineRule="auto"/>
              <w:rPr>
                <w:rFonts w:ascii="Times New Roman" w:hAnsi="Times New Roman" w:cs="Times New Roman"/>
                <w:sz w:val="24"/>
              </w:rPr>
            </w:pPr>
            <w:r>
              <w:rPr>
                <w:rFonts w:ascii="Times New Roman" w:hAnsi="Times New Roman" w:cs="Times New Roman"/>
                <w:bCs/>
                <w:sz w:val="24"/>
              </w:rPr>
              <w:t>Разрыв в оплате труда</w:t>
            </w:r>
          </w:p>
        </w:tc>
        <w:tc>
          <w:tcPr>
            <w:tcW w:w="3557" w:type="dxa"/>
          </w:tcPr>
          <w:p w14:paraId="19691350">
            <w:pPr>
              <w:spacing w:after="0" w:line="240" w:lineRule="auto"/>
              <w:rPr>
                <w:rFonts w:ascii="Times New Roman" w:hAnsi="Times New Roman" w:cs="Times New Roman"/>
                <w:sz w:val="24"/>
              </w:rPr>
            </w:pPr>
            <w:r>
              <w:rPr>
                <w:rFonts w:ascii="Times New Roman" w:hAnsi="Times New Roman" w:cs="Times New Roman"/>
                <w:sz w:val="24"/>
              </w:rPr>
              <w:t>База (выше на 27%)</w:t>
            </w:r>
          </w:p>
        </w:tc>
        <w:tc>
          <w:tcPr>
            <w:tcW w:w="3698" w:type="dxa"/>
          </w:tcPr>
          <w:p w14:paraId="5E744F77">
            <w:pPr>
              <w:spacing w:after="0" w:line="240" w:lineRule="auto"/>
              <w:rPr>
                <w:rFonts w:ascii="Times New Roman" w:hAnsi="Times New Roman" w:cs="Times New Roman"/>
                <w:sz w:val="24"/>
              </w:rPr>
            </w:pPr>
            <w:r>
              <w:rPr>
                <w:rFonts w:ascii="Times New Roman" w:hAnsi="Times New Roman" w:cs="Times New Roman"/>
                <w:sz w:val="24"/>
              </w:rPr>
              <w:t>-27% от уровня мужчин</w:t>
            </w:r>
          </w:p>
        </w:tc>
      </w:tr>
      <w:tr w14:paraId="50D5AB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9" w:hRule="atLeast"/>
        </w:trPr>
        <w:tc>
          <w:tcPr>
            <w:tcW w:w="2413" w:type="dxa"/>
          </w:tcPr>
          <w:p w14:paraId="3DB3DA38">
            <w:pPr>
              <w:spacing w:after="0" w:line="240" w:lineRule="auto"/>
              <w:rPr>
                <w:rFonts w:ascii="Times New Roman" w:hAnsi="Times New Roman" w:cs="Times New Roman"/>
                <w:sz w:val="24"/>
              </w:rPr>
            </w:pPr>
            <w:r>
              <w:rPr>
                <w:rFonts w:ascii="Times New Roman" w:hAnsi="Times New Roman" w:cs="Times New Roman"/>
                <w:bCs/>
                <w:sz w:val="24"/>
              </w:rPr>
              <w:t>Горизонт планирования</w:t>
            </w:r>
          </w:p>
        </w:tc>
        <w:tc>
          <w:tcPr>
            <w:tcW w:w="3557" w:type="dxa"/>
          </w:tcPr>
          <w:p w14:paraId="016B3725">
            <w:pPr>
              <w:spacing w:after="0" w:line="240" w:lineRule="auto"/>
              <w:rPr>
                <w:rFonts w:ascii="Times New Roman" w:hAnsi="Times New Roman" w:cs="Times New Roman"/>
                <w:sz w:val="24"/>
              </w:rPr>
            </w:pPr>
            <w:r>
              <w:rPr>
                <w:rFonts w:ascii="Times New Roman" w:hAnsi="Times New Roman" w:cs="Times New Roman"/>
                <w:sz w:val="24"/>
              </w:rPr>
              <w:t>Долгосрочный, ориентированный на карьерный рост</w:t>
            </w:r>
          </w:p>
        </w:tc>
        <w:tc>
          <w:tcPr>
            <w:tcW w:w="3698" w:type="dxa"/>
          </w:tcPr>
          <w:p w14:paraId="317B93DF">
            <w:pPr>
              <w:spacing w:after="0" w:line="240" w:lineRule="auto"/>
              <w:rPr>
                <w:rFonts w:ascii="Times New Roman" w:hAnsi="Times New Roman" w:cs="Times New Roman"/>
                <w:sz w:val="24"/>
              </w:rPr>
            </w:pPr>
            <w:r>
              <w:rPr>
                <w:rFonts w:ascii="Times New Roman" w:hAnsi="Times New Roman" w:cs="Times New Roman"/>
                <w:sz w:val="24"/>
              </w:rPr>
              <w:t>Прерывистый, часто синхронизированный с семейным циклом</w:t>
            </w:r>
          </w:p>
        </w:tc>
      </w:tr>
      <w:tr w14:paraId="3D8DA4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9" w:hRule="atLeast"/>
        </w:trPr>
        <w:tc>
          <w:tcPr>
            <w:tcW w:w="2413" w:type="dxa"/>
          </w:tcPr>
          <w:p w14:paraId="22065082">
            <w:pPr>
              <w:spacing w:after="0" w:line="240" w:lineRule="auto"/>
              <w:rPr>
                <w:rFonts w:ascii="Times New Roman" w:hAnsi="Times New Roman" w:cs="Times New Roman"/>
                <w:sz w:val="24"/>
              </w:rPr>
            </w:pPr>
            <w:r>
              <w:rPr>
                <w:rFonts w:ascii="Times New Roman" w:hAnsi="Times New Roman" w:cs="Times New Roman"/>
                <w:bCs/>
                <w:sz w:val="24"/>
              </w:rPr>
              <w:t>Карьерные риски</w:t>
            </w:r>
          </w:p>
        </w:tc>
        <w:tc>
          <w:tcPr>
            <w:tcW w:w="3557" w:type="dxa"/>
          </w:tcPr>
          <w:p w14:paraId="015C3914">
            <w:pPr>
              <w:spacing w:after="0" w:line="240" w:lineRule="auto"/>
              <w:rPr>
                <w:rFonts w:ascii="Times New Roman" w:hAnsi="Times New Roman" w:cs="Times New Roman"/>
                <w:sz w:val="24"/>
              </w:rPr>
            </w:pPr>
            <w:r>
              <w:rPr>
                <w:rFonts w:ascii="Times New Roman" w:hAnsi="Times New Roman" w:cs="Times New Roman"/>
                <w:sz w:val="24"/>
              </w:rPr>
              <w:t>Готовность к вертикальному росту, в том числе через переезд</w:t>
            </w:r>
          </w:p>
        </w:tc>
        <w:tc>
          <w:tcPr>
            <w:tcW w:w="3698" w:type="dxa"/>
          </w:tcPr>
          <w:p w14:paraId="344D2706">
            <w:pPr>
              <w:spacing w:after="0" w:line="240" w:lineRule="auto"/>
              <w:rPr>
                <w:rFonts w:ascii="Times New Roman" w:hAnsi="Times New Roman" w:cs="Times New Roman"/>
                <w:sz w:val="24"/>
              </w:rPr>
            </w:pPr>
            <w:r>
              <w:rPr>
                <w:rFonts w:ascii="Times New Roman" w:hAnsi="Times New Roman" w:cs="Times New Roman"/>
                <w:sz w:val="24"/>
              </w:rPr>
              <w:t>Склонность к горизонтальной мобильности или «застреванию» на позиции</w:t>
            </w:r>
          </w:p>
        </w:tc>
      </w:tr>
      <w:tr w14:paraId="2D2157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3" w:hRule="atLeast"/>
        </w:trPr>
        <w:tc>
          <w:tcPr>
            <w:tcW w:w="2413" w:type="dxa"/>
          </w:tcPr>
          <w:p w14:paraId="14BDA2CD">
            <w:pPr>
              <w:spacing w:after="0" w:line="240" w:lineRule="auto"/>
              <w:rPr>
                <w:rFonts w:ascii="Times New Roman" w:hAnsi="Times New Roman" w:cs="Times New Roman"/>
                <w:sz w:val="24"/>
              </w:rPr>
            </w:pPr>
            <w:r>
              <w:rPr>
                <w:rFonts w:ascii="Times New Roman" w:hAnsi="Times New Roman" w:cs="Times New Roman"/>
                <w:bCs/>
                <w:sz w:val="24"/>
              </w:rPr>
              <w:t>Специфика рабочего класса</w:t>
            </w:r>
          </w:p>
        </w:tc>
        <w:tc>
          <w:tcPr>
            <w:tcW w:w="3557" w:type="dxa"/>
          </w:tcPr>
          <w:p w14:paraId="49B7D103">
            <w:pPr>
              <w:spacing w:after="0" w:line="240" w:lineRule="auto"/>
              <w:rPr>
                <w:rFonts w:ascii="Times New Roman" w:hAnsi="Times New Roman" w:cs="Times New Roman"/>
                <w:sz w:val="24"/>
              </w:rPr>
            </w:pPr>
            <w:r>
              <w:rPr>
                <w:rFonts w:ascii="Times New Roman" w:hAnsi="Times New Roman" w:cs="Times New Roman"/>
                <w:sz w:val="24"/>
              </w:rPr>
              <w:t>Успех связан с качеством жизни и зарплатой (мужской габитус)</w:t>
            </w:r>
          </w:p>
        </w:tc>
        <w:tc>
          <w:tcPr>
            <w:tcW w:w="3698" w:type="dxa"/>
          </w:tcPr>
          <w:p w14:paraId="6A61C039">
            <w:pPr>
              <w:spacing w:after="0" w:line="240" w:lineRule="auto"/>
              <w:rPr>
                <w:rFonts w:ascii="Times New Roman" w:hAnsi="Times New Roman" w:cs="Times New Roman"/>
                <w:sz w:val="24"/>
              </w:rPr>
            </w:pPr>
            <w:r>
              <w:rPr>
                <w:rFonts w:ascii="Times New Roman" w:hAnsi="Times New Roman" w:cs="Times New Roman"/>
                <w:sz w:val="24"/>
              </w:rPr>
              <w:t>Ориентация на приватную сферу, работа как "второстепенная" роль (женский габитус)</w:t>
            </w:r>
          </w:p>
        </w:tc>
      </w:tr>
    </w:tbl>
    <w:p w14:paraId="0FFD330B"/>
    <w:p w14:paraId="64712DFE">
      <w:pPr>
        <w:spacing w:after="0" w:line="240" w:lineRule="auto"/>
        <w:ind w:firstLine="709"/>
        <w:jc w:val="both"/>
        <w:rPr>
          <w:rFonts w:hint="default" w:ascii="Times New Roman" w:hAnsi="Times New Roman" w:cs="Times New Roman"/>
          <w:sz w:val="24"/>
          <w:szCs w:val="24"/>
          <w:lang w:val="ru-RU"/>
        </w:rPr>
      </w:pPr>
      <w:r>
        <w:rPr>
          <w:rFonts w:ascii="Times New Roman" w:hAnsi="Times New Roman" w:cs="Times New Roman"/>
          <w:sz w:val="24"/>
          <w:szCs w:val="24"/>
        </w:rPr>
        <w:t>Детальный анализ возрастных групп показывает существенные различия в занятости мужчин и женщин. В молодых возрастах (20-24 года) занято 2 074 тыс. мужчин и 1 570 тыс. женщин, что отражает более ранний выход мужчин на рынок труда. В репродуктивных возрастах (30-34 года) разрыв сокращается: 5 195 тыс. мужчин против 4 630 тыс. женщин. В старших возрастах (50-54 года) занято 4 029 тыс. мужчин и 4 439 тыс. женщин — более высокая занятость женщин в предпенсионном возрасте</w:t>
      </w:r>
      <w:r>
        <w:rPr>
          <w:rFonts w:hint="default" w:ascii="Times New Roman" w:hAnsi="Times New Roman" w:cs="Times New Roman"/>
          <w:sz w:val="24"/>
          <w:szCs w:val="24"/>
          <w:lang w:val="ru-RU"/>
        </w:rPr>
        <w:t>.</w:t>
      </w:r>
    </w:p>
    <w:p w14:paraId="5EDF750D">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Исследования показывают, что даже высокообразованные миллениалы и зумеры воспроизводят традиционные гендерные контра</w:t>
      </w:r>
      <w:r>
        <w:rPr>
          <w:rFonts w:ascii="Times New Roman" w:hAnsi="Times New Roman" w:cs="Times New Roman"/>
          <w:sz w:val="24"/>
          <w:szCs w:val="24"/>
          <w:lang w:val="ru-RU"/>
        </w:rPr>
        <w:t>сты</w:t>
      </w:r>
      <w:r>
        <w:rPr>
          <w:rFonts w:ascii="Times New Roman" w:hAnsi="Times New Roman" w:cs="Times New Roman"/>
          <w:sz w:val="24"/>
          <w:szCs w:val="24"/>
        </w:rPr>
        <w:t>. Для женщин-рабочих характерен короткий горизонт планирования: они реже строят долгосрочные образовательные стратегии, так как их трудовая траектория воспринимается как второстепенная по отношению к семейной жизни. У мужчин того же класса кризисные ситуации (потеря работы) часто ведут к маргинализации, тогда как женщины мобилизуют социальные сети и находят новые источники дохода, пусть и с более низким статусом.</w:t>
      </w:r>
    </w:p>
    <w:p w14:paraId="21D5CF04">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Таким образом, если зумеры-мужчины готовы рисковать и строить карьеру в стартапах, то их сверстницы чаще ищут гарантии занятости, опасаясь, что фриланс и проектная работа не смогут обеспечить им социальную защиту в случае рождения ребенка.</w:t>
      </w:r>
    </w:p>
    <w:p w14:paraId="0A5F26D6">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Проведенный анализ позволяет сделать следующие выводы. Во-первых, поколенческая принадлежность является значимым предиктором трудовой траектории: поколение X делает ставку на стабильность и вторичную профессиональную социализацию, миллениалы — на баланс интересов и корпоративный комфорт, а зумеры — на быструю смену ролей и накопление разнообразного опыта. Официальные данные подтверждают значительную долю поколения X (28,6 млн занятых) и миллениалов (28,0 млн занятых) в структуре занятости, тогда как зумеры только входят на рынок труда (3,6 млн занятых).</w:t>
      </w:r>
    </w:p>
    <w:p w14:paraId="035B6229">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Во-вторых, региональный фактор усиливает поколенческие различия. Молодежь регионов вынуждена осваивать гибридные формы занятости раньше и активнее столичных сверстников. Общий дефицит кадров на российском рынке труда, достигший 1,8 млн вакансий при 1,7 млн безработных,</w:t>
      </w:r>
      <w:r>
        <w:rPr>
          <w:rFonts w:ascii="Times New Roman" w:hAnsi="Times New Roman" w:cs="Times New Roman"/>
          <w:sz w:val="24"/>
        </w:rPr>
        <w:t xml:space="preserve"> [4]</w:t>
      </w:r>
      <w:r>
        <w:rPr>
          <w:rFonts w:ascii="Times New Roman" w:hAnsi="Times New Roman" w:cs="Times New Roman"/>
          <w:sz w:val="24"/>
          <w:szCs w:val="24"/>
        </w:rPr>
        <w:t xml:space="preserve"> создает предпосылки для дальнейшей трансформации трудовых траекторий всех поколений.</w:t>
      </w:r>
    </w:p>
    <w:p w14:paraId="197068C4">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В-третьих,</w:t>
      </w:r>
      <w:r>
        <w:rPr>
          <w:rFonts w:hint="default" w:ascii="Times New Roman" w:hAnsi="Times New Roman" w:cs="Times New Roman"/>
          <w:sz w:val="24"/>
          <w:szCs w:val="24"/>
          <w:lang w:val="ru-RU"/>
        </w:rPr>
        <w:t xml:space="preserve"> п</w:t>
      </w:r>
      <w:r>
        <w:rPr>
          <w:rFonts w:hint="default" w:ascii="Times New Roman" w:hAnsi="Times New Roman"/>
          <w:sz w:val="24"/>
          <w:szCs w:val="24"/>
        </w:rPr>
        <w:t>ол остаётся устойчивой стратифицирующей переменной: гендерный габитус влияет на поколенческие тренды. Карьерные траектории женщин менее линейны и сильнее зависят от семейных обстоятельств, а при сохранении 27‑процентного разрыва в оплате труда женщины впервые за пять лет находят работу быстрее мужчин. Игнорирование этих факторов ведёт к воспроизводству неравенства.</w:t>
      </w:r>
    </w:p>
    <w:p w14:paraId="51FB2FEB">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Для бизнеса и государства это означает необходимость разработки адресных мер: создание внутрикорпоративных «лифтов» для поколения X, гибких графиков для родителей-миллениалов (особенно женщин) и проектных стажировок для зумеров из регионов.</w:t>
      </w:r>
    </w:p>
    <w:p w14:paraId="1B8272A3">
      <w:pPr>
        <w:spacing w:after="0" w:line="240" w:lineRule="auto"/>
        <w:ind w:firstLine="709"/>
        <w:jc w:val="center"/>
        <w:rPr>
          <w:rFonts w:ascii="Times New Roman" w:hAnsi="Times New Roman" w:cs="Times New Roman"/>
          <w:sz w:val="24"/>
          <w:szCs w:val="24"/>
        </w:rPr>
      </w:pPr>
    </w:p>
    <w:p w14:paraId="7C4B9A7E">
      <w:pPr>
        <w:spacing w:after="0" w:line="240" w:lineRule="auto"/>
        <w:ind w:firstLine="709"/>
        <w:jc w:val="center"/>
        <w:rPr>
          <w:rFonts w:ascii="Times New Roman" w:hAnsi="Times New Roman" w:cs="Times New Roman"/>
          <w:b/>
          <w:sz w:val="24"/>
          <w:szCs w:val="24"/>
        </w:rPr>
      </w:pPr>
      <w:r>
        <w:rPr>
          <w:rFonts w:hint="default" w:ascii="Times New Roman" w:hAnsi="Times New Roman"/>
          <w:b/>
          <w:sz w:val="24"/>
          <w:szCs w:val="24"/>
        </w:rPr>
        <w:t>Библиографический список</w:t>
      </w:r>
      <w:r>
        <w:rPr>
          <w:rFonts w:ascii="Times New Roman" w:hAnsi="Times New Roman" w:cs="Times New Roman"/>
          <w:b/>
          <w:sz w:val="24"/>
          <w:szCs w:val="24"/>
        </w:rPr>
        <w:t>:</w:t>
      </w:r>
    </w:p>
    <w:p w14:paraId="4C2E8AEA">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1. ВЦИОМ: 56% молодёжи выбирают трудоустройство своим приоритетом. – URL: </w:t>
      </w:r>
      <w:r>
        <w:fldChar w:fldCharType="begin"/>
      </w:r>
      <w:r>
        <w:instrText xml:space="preserve"> HYPERLINK "https://obltv.ru/news/vciom-56-molodezi-staviat-trudoustroistvo-na-pervyi-plan-26511" </w:instrText>
      </w:r>
      <w:r>
        <w:fldChar w:fldCharType="separate"/>
      </w:r>
      <w:r>
        <w:rPr>
          <w:rStyle w:val="5"/>
          <w:rFonts w:ascii="Times New Roman" w:hAnsi="Times New Roman" w:cs="Times New Roman"/>
          <w:sz w:val="24"/>
          <w:szCs w:val="24"/>
        </w:rPr>
        <w:t>https://obltv.ru/news/vciom-56-molodezi-staviat-trudoustroistvo-na-pervyi-plan-26511</w:t>
      </w:r>
      <w:r>
        <w:rPr>
          <w:rStyle w:val="5"/>
          <w:rFonts w:ascii="Times New Roman" w:hAnsi="Times New Roman" w:cs="Times New Roman"/>
          <w:sz w:val="24"/>
          <w:szCs w:val="24"/>
        </w:rPr>
        <w:fldChar w:fldCharType="end"/>
      </w:r>
    </w:p>
    <w:p w14:paraId="7647C29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2. Женщины в России стали трудоустраиваться быстрее мужчин впервые за пять лет. – URL: https://ti71.ru/n154770.html</w:t>
      </w:r>
    </w:p>
    <w:p w14:paraId="158FE4E2">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3. Карьерные стратегии поколений: как меняются приоритеты на рынке труда. – URL: </w:t>
      </w:r>
      <w:r>
        <w:fldChar w:fldCharType="begin"/>
      </w:r>
      <w:r>
        <w:instrText xml:space="preserve"> HYPERLINK "https://www.marksmans.ru/expertise/karernye-strategii-pokoleniy-kak-menyayutsya-prioritety-na-rynke-truda1/" </w:instrText>
      </w:r>
      <w:r>
        <w:fldChar w:fldCharType="separate"/>
      </w:r>
      <w:r>
        <w:rPr>
          <w:rStyle w:val="5"/>
          <w:rFonts w:ascii="Times New Roman" w:hAnsi="Times New Roman" w:cs="Times New Roman"/>
          <w:sz w:val="24"/>
          <w:szCs w:val="24"/>
        </w:rPr>
        <w:t>https://www.marksmans.ru/expertise/karernye-strategii-pokoleniy-kak-menyayutsya-prioritety-na-rynke-truda1/</w:t>
      </w:r>
      <w:r>
        <w:rPr>
          <w:rStyle w:val="5"/>
          <w:rFonts w:ascii="Times New Roman" w:hAnsi="Times New Roman" w:cs="Times New Roman"/>
          <w:sz w:val="24"/>
          <w:szCs w:val="24"/>
        </w:rPr>
        <w:fldChar w:fldCharType="end"/>
      </w:r>
    </w:p>
    <w:p w14:paraId="30C00394">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4. Количество вакансий на рынке труда превысило число безработных // Центр занятости населения. - URL: </w:t>
      </w:r>
      <w:r>
        <w:fldChar w:fldCharType="begin"/>
      </w:r>
      <w:r>
        <w:instrText xml:space="preserve"> HYPERLINK "https://czn.mos.ru/EE/News/NewsCard/1059" </w:instrText>
      </w:r>
      <w:r>
        <w:fldChar w:fldCharType="separate"/>
      </w:r>
      <w:r>
        <w:rPr>
          <w:rStyle w:val="5"/>
          <w:rFonts w:ascii="Times New Roman" w:hAnsi="Times New Roman" w:cs="Times New Roman"/>
          <w:sz w:val="24"/>
          <w:szCs w:val="24"/>
        </w:rPr>
        <w:t>https://czn.mos.ru/EE/News/NewsCard/1059</w:t>
      </w:r>
      <w:r>
        <w:rPr>
          <w:rStyle w:val="5"/>
          <w:rFonts w:ascii="Times New Roman" w:hAnsi="Times New Roman" w:cs="Times New Roman"/>
          <w:sz w:val="24"/>
          <w:szCs w:val="24"/>
        </w:rPr>
        <w:fldChar w:fldCharType="end"/>
      </w:r>
    </w:p>
    <w:p w14:paraId="7BF6A4D6">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5. Новикова, В.С. Теоретико-методологические подходы к исследованию поколений: сравнительный анализ // Вестник Майкопского государственного технологического университета. - 2024. - №4. - URL: https://cyberleninka.ru/article/n/teoretiko-metodologicheskie-podhody-k-issledovaniyu-pokoleniy-sravnitelnyy-analiz</w:t>
      </w:r>
    </w:p>
    <w:p w14:paraId="19225DA7">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6. Росстат: в РФ трудоустроено более 60% населения старше 15 лет. – URL: </w:t>
      </w:r>
      <w:r>
        <w:fldChar w:fldCharType="begin"/>
      </w:r>
      <w:r>
        <w:instrText xml:space="preserve"> HYPERLINK "https://nbj.ru/news/rosstat-v-rf-trudoustroeno-bolee-60-nase/71409/" </w:instrText>
      </w:r>
      <w:r>
        <w:fldChar w:fldCharType="separate"/>
      </w:r>
      <w:r>
        <w:rPr>
          <w:rStyle w:val="5"/>
          <w:rFonts w:ascii="Times New Roman" w:hAnsi="Times New Roman" w:cs="Times New Roman"/>
          <w:sz w:val="24"/>
          <w:szCs w:val="24"/>
        </w:rPr>
        <w:t>https://nbj.ru/news/rosstat-v-rf-trudoustroeno-bolee-60-nase/71409/</w:t>
      </w:r>
      <w:r>
        <w:rPr>
          <w:rStyle w:val="5"/>
          <w:rFonts w:ascii="Times New Roman" w:hAnsi="Times New Roman" w:cs="Times New Roman"/>
          <w:sz w:val="24"/>
          <w:szCs w:val="24"/>
        </w:rPr>
        <w:fldChar w:fldCharType="end"/>
      </w:r>
    </w:p>
    <w:p w14:paraId="7FCEEA5D">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7. Тартаковская И.Н. Гендерные аспекты социальной мобильности рабочего и среднего классов // Социальная мобильность в России: поколенческий аспект / Отв. ред. В.В. Семенова. М.: Институт социологии РАН, 2017. С. 237-271.</w:t>
      </w:r>
    </w:p>
    <w:p w14:paraId="4EB4417F">
      <w:pPr>
        <w:spacing w:after="0" w:line="240" w:lineRule="auto"/>
        <w:ind w:firstLine="709"/>
        <w:jc w:val="both"/>
        <w:rPr>
          <w:rFonts w:ascii="Times New Roman" w:hAnsi="Times New Roman" w:cs="Times New Roman"/>
          <w:sz w:val="24"/>
          <w:szCs w:val="24"/>
        </w:rPr>
      </w:pPr>
    </w:p>
    <w:p w14:paraId="0FAE22E2">
      <w:pPr>
        <w:spacing w:after="0" w:line="240" w:lineRule="auto"/>
        <w:ind w:firstLine="709"/>
        <w:jc w:val="center"/>
        <w:rPr>
          <w:rFonts w:hint="default" w:ascii="Times New Roman" w:hAnsi="Times New Roman" w:cs="Times New Roman"/>
          <w:b/>
          <w:bCs/>
          <w:sz w:val="24"/>
          <w:szCs w:val="24"/>
          <w:lang w:val="ru-RU"/>
        </w:rPr>
      </w:pPr>
      <w:r>
        <w:rPr>
          <w:rFonts w:hint="default" w:ascii="Times New Roman" w:hAnsi="Times New Roman" w:cs="Times New Roman"/>
          <w:b/>
          <w:bCs/>
          <w:sz w:val="24"/>
          <w:szCs w:val="24"/>
          <w:lang w:val="ru-RU"/>
        </w:rPr>
        <w:t>Информация об авторах</w:t>
      </w:r>
    </w:p>
    <w:p w14:paraId="6562688A">
      <w:pPr>
        <w:spacing w:after="0" w:line="240" w:lineRule="auto"/>
        <w:ind w:firstLine="709"/>
        <w:jc w:val="both"/>
        <w:rPr>
          <w:rFonts w:hint="default" w:ascii="Times New Roman" w:hAnsi="Times New Roman"/>
          <w:b w:val="0"/>
          <w:bCs w:val="0"/>
          <w:sz w:val="24"/>
          <w:szCs w:val="24"/>
          <w:lang w:val="ru-RU"/>
        </w:rPr>
      </w:pPr>
      <w:r>
        <w:rPr>
          <w:rFonts w:hint="default" w:ascii="Times New Roman" w:hAnsi="Times New Roman"/>
          <w:b w:val="0"/>
          <w:bCs w:val="0"/>
          <w:sz w:val="24"/>
          <w:szCs w:val="24"/>
          <w:lang w:val="ru-RU"/>
        </w:rPr>
        <w:t>Хабибуллина Илиза Ильдаровна (Россия, Уфа) – студент направления «Государственное и муниципальное управление», Уфимский университет науки и технологий (450076, г. Уфа, ул. Карла Маркса ,3/4 e‑mail: iliza.khabibullina.14@mail.ru)</w:t>
      </w:r>
    </w:p>
    <w:p w14:paraId="6368FB6B">
      <w:pPr>
        <w:spacing w:after="0" w:line="240" w:lineRule="auto"/>
        <w:ind w:firstLine="709"/>
        <w:jc w:val="both"/>
        <w:rPr>
          <w:rFonts w:hint="default" w:ascii="Times New Roman" w:hAnsi="Times New Roman"/>
          <w:b w:val="0"/>
          <w:bCs w:val="0"/>
          <w:sz w:val="24"/>
          <w:szCs w:val="24"/>
          <w:lang w:val="ru-RU"/>
        </w:rPr>
      </w:pPr>
      <w:r>
        <w:rPr>
          <w:rFonts w:hint="default" w:ascii="Times New Roman" w:hAnsi="Times New Roman"/>
          <w:b w:val="0"/>
          <w:bCs w:val="0"/>
          <w:sz w:val="24"/>
          <w:szCs w:val="24"/>
          <w:lang w:val="ru-RU"/>
        </w:rPr>
        <w:t>Хакимова Элиза Ильгизовна (Россия, Уфа) – студент направления «Государственное и муниципальное управление», Уфимский университет науки и технологий (450076, г. Уфа, ул. Карла Маркса ,3/4 e‑mail: eliza.khakimova.06@mail.ru)</w:t>
      </w:r>
    </w:p>
    <w:p w14:paraId="75D4297E">
      <w:pPr>
        <w:spacing w:after="0" w:line="240" w:lineRule="auto"/>
        <w:ind w:firstLine="709"/>
        <w:jc w:val="both"/>
        <w:rPr>
          <w:rFonts w:hint="default" w:ascii="Times New Roman" w:hAnsi="Times New Roman"/>
          <w:b w:val="0"/>
          <w:bCs w:val="0"/>
          <w:sz w:val="24"/>
          <w:szCs w:val="24"/>
          <w:lang w:val="ru-RU"/>
        </w:rPr>
      </w:pPr>
      <w:r>
        <w:rPr>
          <w:rFonts w:hint="default" w:ascii="Times New Roman" w:hAnsi="Times New Roman"/>
          <w:b w:val="0"/>
          <w:bCs w:val="0"/>
          <w:sz w:val="24"/>
          <w:szCs w:val="24"/>
          <w:lang w:val="ru-RU"/>
        </w:rPr>
        <w:t xml:space="preserve">Научный руководитель: Даутова Танзиля Ахтямовна (Россия, Уфа) – доцент, кандидат социологических наук, доцент кафедры государственного управления, Уфимский университет науки и технологий (450076, г. Уфа, ул. Карла Маркса ,3/4  e-mail: </w:t>
      </w:r>
      <w:r>
        <w:rPr>
          <w:rFonts w:hint="default" w:ascii="Times New Roman" w:hAnsi="Times New Roman"/>
          <w:b w:val="0"/>
          <w:bCs w:val="0"/>
          <w:sz w:val="24"/>
          <w:szCs w:val="24"/>
          <w:lang w:val="ru-RU"/>
        </w:rPr>
        <w:fldChar w:fldCharType="begin"/>
      </w:r>
      <w:r>
        <w:rPr>
          <w:rFonts w:hint="default" w:ascii="Times New Roman" w:hAnsi="Times New Roman"/>
          <w:b w:val="0"/>
          <w:bCs w:val="0"/>
          <w:sz w:val="24"/>
          <w:szCs w:val="24"/>
          <w:lang w:val="ru-RU"/>
        </w:rPr>
        <w:instrText xml:space="preserve"> HYPERLINK "mailto:dautova_07@mail.ru)" </w:instrText>
      </w:r>
      <w:r>
        <w:rPr>
          <w:rFonts w:hint="default" w:ascii="Times New Roman" w:hAnsi="Times New Roman"/>
          <w:b w:val="0"/>
          <w:bCs w:val="0"/>
          <w:sz w:val="24"/>
          <w:szCs w:val="24"/>
          <w:lang w:val="ru-RU"/>
        </w:rPr>
        <w:fldChar w:fldCharType="separate"/>
      </w:r>
      <w:r>
        <w:rPr>
          <w:rStyle w:val="5"/>
          <w:rFonts w:hint="default" w:ascii="Times New Roman" w:hAnsi="Times New Roman"/>
          <w:b w:val="0"/>
          <w:bCs w:val="0"/>
          <w:sz w:val="24"/>
          <w:szCs w:val="24"/>
          <w:lang w:val="ru-RU"/>
        </w:rPr>
        <w:t>dautova_07@mail.ru)</w:t>
      </w:r>
      <w:r>
        <w:rPr>
          <w:rFonts w:hint="default" w:ascii="Times New Roman" w:hAnsi="Times New Roman"/>
          <w:b w:val="0"/>
          <w:bCs w:val="0"/>
          <w:sz w:val="24"/>
          <w:szCs w:val="24"/>
          <w:lang w:val="ru-RU"/>
        </w:rPr>
        <w:fldChar w:fldCharType="end"/>
      </w:r>
    </w:p>
    <w:p w14:paraId="21EF37C2">
      <w:pPr>
        <w:spacing w:after="0" w:line="240" w:lineRule="auto"/>
        <w:ind w:firstLine="709"/>
        <w:jc w:val="right"/>
        <w:rPr>
          <w:rFonts w:hint="default" w:ascii="Times New Roman" w:hAnsi="Times New Roman"/>
          <w:b/>
          <w:bCs/>
          <w:sz w:val="24"/>
          <w:szCs w:val="24"/>
          <w:lang w:val="ru-RU"/>
        </w:rPr>
      </w:pPr>
      <w:r>
        <w:rPr>
          <w:rFonts w:hint="default" w:ascii="Times New Roman" w:hAnsi="Times New Roman"/>
          <w:b/>
          <w:bCs/>
          <w:sz w:val="24"/>
          <w:szCs w:val="24"/>
          <w:lang w:val="ru-RU"/>
        </w:rPr>
        <w:t>Khakimova E.I., Khabibullina I.I.</w:t>
      </w:r>
    </w:p>
    <w:p w14:paraId="266EEE78">
      <w:pPr>
        <w:spacing w:after="0" w:line="240" w:lineRule="auto"/>
        <w:ind w:firstLine="709"/>
        <w:jc w:val="right"/>
        <w:rPr>
          <w:rFonts w:hint="default" w:ascii="Times New Roman" w:hAnsi="Times New Roman" w:cs="Times New Roman"/>
          <w:b/>
          <w:bCs/>
          <w:sz w:val="24"/>
          <w:szCs w:val="24"/>
          <w:lang w:val="ru-RU"/>
        </w:rPr>
      </w:pPr>
      <w:r>
        <w:rPr>
          <w:rFonts w:hint="default" w:ascii="Times New Roman" w:hAnsi="Times New Roman"/>
          <w:b/>
          <w:bCs/>
          <w:sz w:val="24"/>
          <w:szCs w:val="24"/>
          <w:lang w:val="ru-RU"/>
        </w:rPr>
        <w:t>Scientific supervisor: Dautova T.A., Associate Professor, Candidate of Sociological Sciences</w:t>
      </w:r>
    </w:p>
    <w:p w14:paraId="2A2F7330">
      <w:pPr>
        <w:spacing w:after="0" w:line="240" w:lineRule="auto"/>
        <w:ind w:firstLine="709"/>
        <w:jc w:val="both"/>
        <w:rPr>
          <w:rFonts w:hint="default" w:ascii="Times New Roman" w:hAnsi="Times New Roman"/>
          <w:b/>
          <w:bCs/>
          <w:sz w:val="24"/>
          <w:szCs w:val="24"/>
          <w:lang w:val="ru-RU"/>
        </w:rPr>
      </w:pPr>
      <w:r>
        <w:rPr>
          <w:rFonts w:hint="default" w:ascii="Times New Roman" w:hAnsi="Times New Roman"/>
          <w:b/>
          <w:bCs/>
          <w:sz w:val="24"/>
          <w:szCs w:val="24"/>
          <w:lang w:val="ru-RU"/>
        </w:rPr>
        <w:t>THE INFLUENCE OF GENERATIONS AND GENDER ON THE CHOICE OF A WORKING TRACK: AN EMPIRICAL STUDY BASED ON RUSSIAN DATA</w:t>
      </w:r>
    </w:p>
    <w:p w14:paraId="54D7BCCE">
      <w:pPr>
        <w:spacing w:after="0" w:line="240" w:lineRule="auto"/>
        <w:ind w:firstLine="709"/>
        <w:jc w:val="both"/>
        <w:rPr>
          <w:rFonts w:hint="default" w:ascii="Times New Roman" w:hAnsi="Times New Roman"/>
          <w:b/>
          <w:bCs/>
          <w:sz w:val="24"/>
          <w:szCs w:val="24"/>
          <w:lang w:val="ru-RU"/>
        </w:rPr>
      </w:pPr>
    </w:p>
    <w:p w14:paraId="4776513C">
      <w:pPr>
        <w:spacing w:after="0" w:line="240" w:lineRule="auto"/>
        <w:ind w:firstLine="709"/>
        <w:jc w:val="both"/>
        <w:rPr>
          <w:rFonts w:hint="default" w:ascii="Times New Roman" w:hAnsi="Times New Roman"/>
          <w:b w:val="0"/>
          <w:bCs w:val="0"/>
          <w:sz w:val="24"/>
          <w:szCs w:val="24"/>
          <w:lang w:val="ru-RU"/>
        </w:rPr>
      </w:pPr>
      <w:r>
        <w:rPr>
          <w:rFonts w:hint="default" w:ascii="Times New Roman" w:hAnsi="Times New Roman"/>
          <w:b/>
          <w:bCs/>
          <w:sz w:val="24"/>
          <w:szCs w:val="24"/>
          <w:lang w:val="ru-RU"/>
        </w:rPr>
        <w:t>Abstract:</w:t>
      </w:r>
      <w:r>
        <w:rPr>
          <w:rFonts w:hint="default" w:ascii="Times New Roman" w:hAnsi="Times New Roman"/>
          <w:b w:val="0"/>
          <w:bCs w:val="0"/>
          <w:sz w:val="24"/>
          <w:szCs w:val="24"/>
          <w:lang w:val="ru-RU"/>
        </w:rPr>
        <w:t xml:space="preserve"> The article examines the influence of generational affiliation and gender stereotypes on the formation of career strategies among Russians. The theoretical framework is based on the Strauss-Howe theory of generations, the concept of the precariat by G. Standing, and the intersectional approach. The study reveals significant differences in attitudes towards stability, readiness to change professions, and employment forms between generations X, Y, and Z. Special attention is paid to the intersection of generational and gender factors: it is shown that women's career trajectories remain more discontinuous and influenced by the "glass ceiling" even within the same generation.</w:t>
      </w:r>
    </w:p>
    <w:p w14:paraId="083A57BF">
      <w:pPr>
        <w:spacing w:after="0" w:line="240" w:lineRule="auto"/>
        <w:ind w:firstLine="709"/>
        <w:jc w:val="both"/>
        <w:rPr>
          <w:rFonts w:hint="default" w:ascii="Times New Roman" w:hAnsi="Times New Roman"/>
          <w:b w:val="0"/>
          <w:bCs w:val="0"/>
          <w:sz w:val="24"/>
          <w:szCs w:val="24"/>
          <w:lang w:val="ru-RU"/>
        </w:rPr>
      </w:pPr>
      <w:r>
        <w:rPr>
          <w:rFonts w:hint="default" w:ascii="Times New Roman" w:hAnsi="Times New Roman"/>
          <w:b/>
          <w:bCs/>
          <w:sz w:val="24"/>
          <w:szCs w:val="24"/>
          <w:lang w:val="ru-RU"/>
        </w:rPr>
        <w:t>Keywords:</w:t>
      </w:r>
      <w:r>
        <w:rPr>
          <w:rFonts w:hint="default" w:ascii="Times New Roman" w:hAnsi="Times New Roman"/>
          <w:b w:val="0"/>
          <w:bCs w:val="0"/>
          <w:sz w:val="24"/>
          <w:szCs w:val="24"/>
          <w:lang w:val="ru-RU"/>
        </w:rPr>
        <w:t xml:space="preserve"> labor trajectories, generational theory, gender asymmetry, career strategies, Russian labor market, millennials, zomers.</w:t>
      </w:r>
    </w:p>
    <w:p w14:paraId="50D46CF5">
      <w:pPr>
        <w:spacing w:after="0" w:line="240" w:lineRule="auto"/>
        <w:ind w:firstLine="709"/>
        <w:jc w:val="both"/>
        <w:rPr>
          <w:rFonts w:hint="default" w:ascii="Times New Roman" w:hAnsi="Times New Roman"/>
          <w:b w:val="0"/>
          <w:bCs w:val="0"/>
          <w:sz w:val="24"/>
          <w:szCs w:val="24"/>
          <w:lang w:val="ru-RU"/>
        </w:rPr>
      </w:pPr>
    </w:p>
    <w:p w14:paraId="760940A0">
      <w:pPr>
        <w:spacing w:after="0" w:line="240" w:lineRule="auto"/>
        <w:ind w:firstLine="709"/>
        <w:jc w:val="center"/>
        <w:rPr>
          <w:rFonts w:hint="default" w:ascii="Times New Roman" w:hAnsi="Times New Roman"/>
          <w:b/>
          <w:bCs/>
          <w:sz w:val="24"/>
          <w:szCs w:val="24"/>
          <w:lang w:val="ru-RU"/>
        </w:rPr>
      </w:pPr>
      <w:r>
        <w:rPr>
          <w:rFonts w:hint="default" w:ascii="Times New Roman" w:hAnsi="Times New Roman"/>
          <w:b/>
          <w:bCs/>
          <w:sz w:val="24"/>
          <w:szCs w:val="24"/>
          <w:lang w:val="ru-RU"/>
        </w:rPr>
        <w:t>About the author</w:t>
      </w:r>
    </w:p>
    <w:p w14:paraId="7444FE97">
      <w:pPr>
        <w:spacing w:after="0" w:line="240" w:lineRule="auto"/>
        <w:ind w:firstLine="709"/>
        <w:jc w:val="both"/>
        <w:rPr>
          <w:rFonts w:hint="default" w:ascii="Times New Roman" w:hAnsi="Times New Roman"/>
          <w:b w:val="0"/>
          <w:bCs w:val="0"/>
          <w:sz w:val="24"/>
          <w:szCs w:val="24"/>
          <w:lang w:val="ru-RU"/>
        </w:rPr>
      </w:pPr>
      <w:r>
        <w:rPr>
          <w:rFonts w:hint="default" w:ascii="Times New Roman" w:hAnsi="Times New Roman"/>
          <w:b w:val="0"/>
          <w:bCs w:val="0"/>
          <w:sz w:val="24"/>
          <w:szCs w:val="24"/>
          <w:lang w:val="ru-RU"/>
        </w:rPr>
        <w:t>Khabibullina Iliza Ildarovna (Russia, Ufa) is a student of the Department of State and Municipal Administration at the Ufa University of Science and Technology (450076, Ufa, Karl Marks Street, 3/4, e-mail: iliza.khabibullina.14@mail.ru)</w:t>
      </w:r>
    </w:p>
    <w:p w14:paraId="67986A83">
      <w:pPr>
        <w:spacing w:after="0" w:line="240" w:lineRule="auto"/>
        <w:ind w:firstLine="709"/>
        <w:jc w:val="both"/>
        <w:rPr>
          <w:rFonts w:hint="default" w:ascii="Times New Roman" w:hAnsi="Times New Roman"/>
          <w:b w:val="0"/>
          <w:bCs w:val="0"/>
          <w:sz w:val="24"/>
          <w:szCs w:val="24"/>
          <w:lang w:val="ru-RU"/>
        </w:rPr>
      </w:pPr>
      <w:r>
        <w:rPr>
          <w:rFonts w:hint="default" w:ascii="Times New Roman" w:hAnsi="Times New Roman"/>
          <w:b w:val="0"/>
          <w:bCs w:val="0"/>
          <w:sz w:val="24"/>
          <w:szCs w:val="24"/>
          <w:lang w:val="ru-RU"/>
        </w:rPr>
        <w:t>Khakimova Eliza Ilgizovna (Russia, Ufa) – student of the Department of State and Municipal Administration, Ufa University of Science and Technology (450076, Ufa, Karl Marks Street, 3/4 e‑mail: eliza.khakimova.06@mail.ru)</w:t>
      </w:r>
    </w:p>
    <w:p w14:paraId="3F5C99CD">
      <w:pPr>
        <w:spacing w:after="0" w:line="240" w:lineRule="auto"/>
        <w:ind w:firstLine="709"/>
        <w:jc w:val="both"/>
        <w:rPr>
          <w:rFonts w:hint="default" w:ascii="Times New Roman" w:hAnsi="Times New Roman"/>
          <w:b w:val="0"/>
          <w:bCs w:val="0"/>
          <w:sz w:val="24"/>
          <w:szCs w:val="24"/>
          <w:lang w:val="ru-RU"/>
        </w:rPr>
      </w:pPr>
      <w:r>
        <w:rPr>
          <w:rFonts w:hint="default" w:ascii="Times New Roman" w:hAnsi="Times New Roman"/>
          <w:b w:val="0"/>
          <w:bCs w:val="0"/>
          <w:sz w:val="24"/>
          <w:szCs w:val="24"/>
          <w:lang w:val="ru-RU"/>
        </w:rPr>
        <w:t>Scientific supervisor: Dautova Tanzilya Akhtyamovna (Russia, Ufa) – Associate Professor, Candidate of Sociological Sciences, Associate Professor of the Department of Public Administration, Ufa University of Science and Technology (450076, Ufa, Karl Marks Street, 3/4 e-mail: dautova_07@mail.ru)</w:t>
      </w:r>
    </w:p>
    <w:p w14:paraId="570ED37B">
      <w:pPr>
        <w:spacing w:after="0" w:line="240" w:lineRule="auto"/>
        <w:ind w:firstLine="709"/>
        <w:jc w:val="both"/>
        <w:rPr>
          <w:rFonts w:hint="default" w:ascii="Times New Roman" w:hAnsi="Times New Roman"/>
          <w:b w:val="0"/>
          <w:bCs w:val="0"/>
          <w:sz w:val="24"/>
          <w:szCs w:val="24"/>
          <w:lang w:val="ru-RU"/>
        </w:rPr>
      </w:pPr>
    </w:p>
    <w:p w14:paraId="78BED060">
      <w:pPr>
        <w:spacing w:after="0" w:line="240" w:lineRule="auto"/>
        <w:ind w:firstLine="709"/>
        <w:jc w:val="center"/>
        <w:rPr>
          <w:rFonts w:hint="default" w:ascii="Times New Roman" w:hAnsi="Times New Roman"/>
          <w:b/>
          <w:bCs/>
          <w:sz w:val="24"/>
          <w:szCs w:val="24"/>
          <w:lang w:val="ru-RU"/>
        </w:rPr>
      </w:pPr>
      <w:r>
        <w:rPr>
          <w:rFonts w:hint="default" w:ascii="Times New Roman" w:hAnsi="Times New Roman"/>
          <w:b/>
          <w:bCs/>
          <w:sz w:val="24"/>
          <w:szCs w:val="24"/>
          <w:lang w:val="ru-RU"/>
        </w:rPr>
        <w:t>References</w:t>
      </w:r>
    </w:p>
    <w:p w14:paraId="3568BC54">
      <w:pPr>
        <w:spacing w:after="0" w:line="240" w:lineRule="auto"/>
        <w:ind w:firstLine="709"/>
        <w:jc w:val="both"/>
        <w:rPr>
          <w:rFonts w:hint="default" w:ascii="Times New Roman" w:hAnsi="Times New Roman"/>
          <w:b w:val="0"/>
          <w:bCs w:val="0"/>
          <w:sz w:val="24"/>
          <w:szCs w:val="24"/>
          <w:lang w:val="ru-RU"/>
        </w:rPr>
      </w:pPr>
      <w:r>
        <w:rPr>
          <w:rFonts w:hint="default" w:ascii="Times New Roman" w:hAnsi="Times New Roman"/>
          <w:b w:val="0"/>
          <w:bCs w:val="0"/>
          <w:sz w:val="24"/>
          <w:szCs w:val="24"/>
          <w:lang w:val="ru-RU"/>
        </w:rPr>
        <w:t>1. VTsIOM: 56% of young people choose employment as their priority. – URL: https://obltv.ru/news/vciom-56-molodezi-staviat-trudoustroistvo-na-pervyi-plan-26511</w:t>
      </w:r>
    </w:p>
    <w:p w14:paraId="0743CD95">
      <w:pPr>
        <w:spacing w:after="0" w:line="240" w:lineRule="auto"/>
        <w:ind w:firstLine="709"/>
        <w:jc w:val="both"/>
        <w:rPr>
          <w:rFonts w:hint="default" w:ascii="Times New Roman" w:hAnsi="Times New Roman"/>
          <w:b w:val="0"/>
          <w:bCs w:val="0"/>
          <w:sz w:val="24"/>
          <w:szCs w:val="24"/>
          <w:lang w:val="ru-RU"/>
        </w:rPr>
      </w:pPr>
      <w:r>
        <w:rPr>
          <w:rFonts w:hint="default" w:ascii="Times New Roman" w:hAnsi="Times New Roman"/>
          <w:b w:val="0"/>
          <w:bCs w:val="0"/>
          <w:sz w:val="24"/>
          <w:szCs w:val="24"/>
          <w:lang w:val="ru-RU"/>
        </w:rPr>
        <w:t>2. For the first time in five years, women in Russia have started to find employment faster than men. – URL: https://ti71.ru/n154770.html</w:t>
      </w:r>
    </w:p>
    <w:p w14:paraId="0A4E1641">
      <w:pPr>
        <w:spacing w:after="0" w:line="240" w:lineRule="auto"/>
        <w:ind w:firstLine="709"/>
        <w:jc w:val="both"/>
        <w:rPr>
          <w:rFonts w:hint="default" w:ascii="Times New Roman" w:hAnsi="Times New Roman"/>
          <w:b w:val="0"/>
          <w:bCs w:val="0"/>
          <w:sz w:val="24"/>
          <w:szCs w:val="24"/>
          <w:lang w:val="ru-RU"/>
        </w:rPr>
      </w:pPr>
      <w:r>
        <w:rPr>
          <w:rFonts w:hint="default" w:ascii="Times New Roman" w:hAnsi="Times New Roman"/>
          <w:b w:val="0"/>
          <w:bCs w:val="0"/>
          <w:sz w:val="24"/>
          <w:szCs w:val="24"/>
          <w:lang w:val="ru-RU"/>
        </w:rPr>
        <w:t>3. Career strategies of generations: how priorities in the labor market are changing. – URL: https://www.marksmans.ru/expertise/karernye-strategii-pokoleniy-kak-menyayutsya-prioritety-na-rynke-truda1/</w:t>
      </w:r>
    </w:p>
    <w:p w14:paraId="3D776068">
      <w:pPr>
        <w:spacing w:after="0" w:line="240" w:lineRule="auto"/>
        <w:ind w:firstLine="709"/>
        <w:jc w:val="both"/>
        <w:rPr>
          <w:rFonts w:hint="default" w:ascii="Times New Roman" w:hAnsi="Times New Roman"/>
          <w:b w:val="0"/>
          <w:bCs w:val="0"/>
          <w:sz w:val="24"/>
          <w:szCs w:val="24"/>
          <w:lang w:val="ru-RU"/>
        </w:rPr>
      </w:pPr>
      <w:r>
        <w:rPr>
          <w:rFonts w:hint="default" w:ascii="Times New Roman" w:hAnsi="Times New Roman"/>
          <w:b w:val="0"/>
          <w:bCs w:val="0"/>
          <w:sz w:val="24"/>
          <w:szCs w:val="24"/>
          <w:lang w:val="ru-RU"/>
        </w:rPr>
        <w:t>4. The number of vacancies in the labor market exceeded the number of unemployed // Center for Employment of the Population. - URL: https://czn.mos.ru/EE/News/NewsCard/1059</w:t>
      </w:r>
    </w:p>
    <w:p w14:paraId="46307853">
      <w:pPr>
        <w:spacing w:after="0" w:line="240" w:lineRule="auto"/>
        <w:ind w:firstLine="709"/>
        <w:jc w:val="both"/>
        <w:rPr>
          <w:rFonts w:hint="default" w:ascii="Times New Roman" w:hAnsi="Times New Roman"/>
          <w:b w:val="0"/>
          <w:bCs w:val="0"/>
          <w:sz w:val="24"/>
          <w:szCs w:val="24"/>
          <w:lang w:val="ru-RU"/>
        </w:rPr>
      </w:pPr>
      <w:r>
        <w:rPr>
          <w:rFonts w:hint="default" w:ascii="Times New Roman" w:hAnsi="Times New Roman"/>
          <w:b w:val="0"/>
          <w:bCs w:val="0"/>
          <w:sz w:val="24"/>
          <w:szCs w:val="24"/>
          <w:lang w:val="ru-RU"/>
        </w:rPr>
        <w:t>5. Novikova, V.S. Theoretical and Methodological Approaches to the Study of Generations: A Comparative Analysis // Bulletin of Maikop State Technological University. - 2024. - No. 4. - URL: https://cyberleninka.ru/article/n/teoretiko-metodologicheskie-podhody-k-issledovaniyu-pokoleniy-sravnitelnyy-analiz</w:t>
      </w:r>
    </w:p>
    <w:p w14:paraId="54169319">
      <w:pPr>
        <w:spacing w:after="0" w:line="240" w:lineRule="auto"/>
        <w:ind w:firstLine="709"/>
        <w:jc w:val="both"/>
        <w:rPr>
          <w:rFonts w:hint="default" w:ascii="Times New Roman" w:hAnsi="Times New Roman"/>
          <w:b w:val="0"/>
          <w:bCs w:val="0"/>
          <w:sz w:val="24"/>
          <w:szCs w:val="24"/>
          <w:lang w:val="ru-RU"/>
        </w:rPr>
      </w:pPr>
      <w:r>
        <w:rPr>
          <w:rFonts w:hint="default" w:ascii="Times New Roman" w:hAnsi="Times New Roman"/>
          <w:b w:val="0"/>
          <w:bCs w:val="0"/>
          <w:sz w:val="24"/>
          <w:szCs w:val="24"/>
          <w:lang w:val="ru-RU"/>
        </w:rPr>
        <w:t xml:space="preserve">6. Rosstat: More than 60% of the population over the age of 15 is employed in the Russian Federation. – URL: </w:t>
      </w:r>
      <w:r>
        <w:rPr>
          <w:rFonts w:hint="default" w:ascii="Times New Roman" w:hAnsi="Times New Roman"/>
          <w:b w:val="0"/>
          <w:bCs w:val="0"/>
          <w:sz w:val="24"/>
          <w:szCs w:val="24"/>
          <w:lang w:val="ru-RU"/>
        </w:rPr>
        <w:fldChar w:fldCharType="begin"/>
      </w:r>
      <w:r>
        <w:rPr>
          <w:rFonts w:hint="default" w:ascii="Times New Roman" w:hAnsi="Times New Roman"/>
          <w:b w:val="0"/>
          <w:bCs w:val="0"/>
          <w:sz w:val="24"/>
          <w:szCs w:val="24"/>
          <w:lang w:val="ru-RU"/>
        </w:rPr>
        <w:instrText xml:space="preserve"> HYPERLINK "https://nbj.ru/news/rosstat-v-rf-trudoustroeno-bolee-60-nase/71409/" </w:instrText>
      </w:r>
      <w:r>
        <w:rPr>
          <w:rFonts w:hint="default" w:ascii="Times New Roman" w:hAnsi="Times New Roman"/>
          <w:b w:val="0"/>
          <w:bCs w:val="0"/>
          <w:sz w:val="24"/>
          <w:szCs w:val="24"/>
          <w:lang w:val="ru-RU"/>
        </w:rPr>
        <w:fldChar w:fldCharType="separate"/>
      </w:r>
      <w:r>
        <w:rPr>
          <w:rStyle w:val="5"/>
          <w:rFonts w:hint="default" w:ascii="Times New Roman" w:hAnsi="Times New Roman"/>
          <w:b w:val="0"/>
          <w:bCs w:val="0"/>
          <w:sz w:val="24"/>
          <w:szCs w:val="24"/>
          <w:lang w:val="ru-RU"/>
        </w:rPr>
        <w:t>https://nbj.ru/news/rosstat-v-rf-trudoustroeno-bolee-60-nase/71409/</w:t>
      </w:r>
      <w:r>
        <w:rPr>
          <w:rFonts w:hint="default" w:ascii="Times New Roman" w:hAnsi="Times New Roman"/>
          <w:b w:val="0"/>
          <w:bCs w:val="0"/>
          <w:sz w:val="24"/>
          <w:szCs w:val="24"/>
          <w:lang w:val="ru-RU"/>
        </w:rPr>
        <w:fldChar w:fldCharType="end"/>
      </w:r>
    </w:p>
    <w:p w14:paraId="7CC28799">
      <w:pPr>
        <w:spacing w:after="0" w:line="240" w:lineRule="auto"/>
        <w:ind w:firstLine="709"/>
        <w:jc w:val="both"/>
        <w:rPr>
          <w:rFonts w:hint="default" w:ascii="Times New Roman" w:hAnsi="Times New Roman"/>
          <w:b w:val="0"/>
          <w:bCs w:val="0"/>
          <w:sz w:val="24"/>
          <w:szCs w:val="24"/>
          <w:lang w:val="ru-RU"/>
        </w:rPr>
      </w:pPr>
      <w:r>
        <w:rPr>
          <w:rFonts w:hint="default" w:ascii="Times New Roman" w:hAnsi="Times New Roman"/>
          <w:b w:val="0"/>
          <w:bCs w:val="0"/>
          <w:sz w:val="24"/>
          <w:szCs w:val="24"/>
          <w:lang w:val="ru-RU"/>
        </w:rPr>
        <w:t>7. Tartakovskaya I.N. Gender Aspects of Social Mobility in the Working and Middle Classes // Social Mobility in Russia: The Generational Aspect / Ed. by V.V. Semenova. Moscow: Institute of Sociology of the Russian Academy of Sciences, 2017, pp. 237-271.</w:t>
      </w:r>
    </w:p>
    <w:sectPr>
      <w:pgSz w:w="11906" w:h="16838"/>
      <w:pgMar w:top="1134" w:right="1134" w:bottom="1134" w:left="1134" w:header="709" w:footer="709" w:gutter="0"/>
      <w:cols w:space="708"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Courier New">
    <w:panose1 w:val="02070309020205020404"/>
    <w:charset w:val="00"/>
    <w:family w:val="modern"/>
    <w:pitch w:val="default"/>
    <w:sig w:usb0="E0002EFF" w:usb1="C0007843" w:usb2="00000009" w:usb3="00000000" w:csb0="400001FF" w:csb1="FFFF0000"/>
  </w:font>
  <w:font w:name="黑体">
    <w:altName w:val="SimSun"/>
    <w:panose1 w:val="02010609060101010101"/>
    <w:charset w:val="86"/>
    <w:family w:val="modern"/>
    <w:pitch w:val="default"/>
    <w:sig w:usb0="800002BF" w:usb1="38CF7CFA" w:usb2="00000016" w:usb3="00000000" w:csb0="00040001" w:csb1="00000000"/>
  </w:font>
  <w:font w:name="Wingdings">
    <w:panose1 w:val="05000000000000000000"/>
    <w:charset w:val="02"/>
    <w:family w:val="auto"/>
    <w:pitch w:val="default"/>
    <w:sig w:usb0="00000000" w:usb1="00000000" w:usb2="00000000" w:usb3="00000000" w:csb0="80000000" w:csb1="00000000"/>
  </w:font>
  <w:font w:name="Calibri">
    <w:panose1 w:val="020F0502020204030204"/>
    <w:charset w:val="86"/>
    <w:family w:val="swiss"/>
    <w:pitch w:val="default"/>
    <w:sig w:usb0="E4002EFF" w:usb1="C200247B" w:usb2="00000009" w:usb3="00000000" w:csb0="200001FF" w:csb1="00000000"/>
  </w:font>
  <w:font w:name="Calibri">
    <w:panose1 w:val="020F0502020204030204"/>
    <w:charset w:val="86"/>
    <w:family w:val="swiss"/>
    <w:pitch w:val="default"/>
    <w:sig w:usb0="E4002EFF" w:usb1="C200247B" w:usb2="00000009" w:usb3="00000000" w:csb0="200001FF" w:csb1="00000000"/>
  </w:font>
  <w:font w:name="Calibri">
    <w:panose1 w:val="020F0502020204030204"/>
    <w:charset w:val="00"/>
    <w:family w:val="auto"/>
    <w:pitch w:val="default"/>
    <w:sig w:usb0="E4002EFF" w:usb1="C200247B" w:usb2="00000009" w:usb3="00000000" w:csb0="200001FF" w:csb1="00000000"/>
  </w:font>
  <w:font w:name="Segoe UI">
    <w:panose1 w:val="020B0502040204020203"/>
    <w:charset w:val="00"/>
    <w:family w:val="auto"/>
    <w:pitch w:val="default"/>
    <w:sig w:usb0="E4002EFF" w:usb1="C000E47F" w:usb2="00000009" w:usb3="00000000" w:csb0="200001FF" w:csb1="00000000"/>
  </w:font>
  <w:font w:name="Tahoma">
    <w:panose1 w:val="020B0604030504040204"/>
    <w:charset w:val="00"/>
    <w:family w:val="auto"/>
    <w:pitch w:val="default"/>
    <w:sig w:usb0="E1002EFF" w:usb1="C000605B" w:usb2="00000029" w:usb3="00000000" w:csb0="200101FF" w:csb1="2028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4">
    <w:p>
      <w:pPr>
        <w:spacing w:before="0" w:after="0" w:line="259" w:lineRule="auto"/>
      </w:pPr>
      <w:r>
        <w:separator/>
      </w:r>
    </w:p>
  </w:footnote>
  <w:footnote w:type="continuationSeparator" w:id="5">
    <w:p>
      <w:pPr>
        <w:spacing w:before="0" w:after="0" w:line="259" w:lineRule="auto"/>
      </w:pPr>
      <w:r>
        <w:continuationSeparator/>
      </w:r>
    </w:p>
  </w:footnote>
  <w:footnote w:id="0">
    <w:p w14:paraId="14E7A84A">
      <w:pPr>
        <w:pStyle w:val="6"/>
        <w:snapToGrid w:val="0"/>
      </w:pPr>
      <w:r>
        <w:rPr>
          <w:rStyle w:val="4"/>
        </w:rPr>
        <w:footnoteRef/>
      </w:r>
      <w:r>
        <w:rPr>
          <w:rFonts w:hint="default" w:ascii="Times New Roman" w:hAnsi="Times New Roman" w:cs="Times New Roman"/>
        </w:rPr>
        <w:t xml:space="preserve">  Труд и занятость в России. 2025 // Статистический сборник. – URL: https://www.demoscope.ru/weekly/2026/01105/biblio01.php</w:t>
      </w:r>
    </w:p>
  </w:footnote>
  <w:footnote w:id="1">
    <w:p w14:paraId="09C13294">
      <w:pPr>
        <w:pStyle w:val="6"/>
        <w:snapToGrid w:val="0"/>
      </w:pPr>
      <w:r>
        <w:rPr>
          <w:rStyle w:val="4"/>
        </w:rPr>
        <w:footnoteRef/>
      </w:r>
      <w:r>
        <w:rPr>
          <w:rFonts w:hint="default" w:ascii="Times New Roman" w:hAnsi="Times New Roman" w:cs="Times New Roman"/>
        </w:rPr>
        <w:t xml:space="preserve"> Федеральная служба государственной статистики // Рынок труда, занятость и заработная плата. – URL: https://rosstat.gov.ru/labor_market_employment_salaries</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7"/>
  <w:documentProtection w:enforcement="0"/>
  <w:defaultTabStop w:val="708"/>
  <w:characterSpacingControl w:val="doNotCompress"/>
  <w:footnotePr>
    <w:footnote w:id="4"/>
    <w:footnote w:id="5"/>
  </w:footnotePr>
  <w:endnotePr>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3E8D"/>
    <w:rsid w:val="00103E8D"/>
    <w:rsid w:val="00221D2F"/>
    <w:rsid w:val="006B1D1A"/>
    <w:rsid w:val="008B5CF4"/>
    <w:rsid w:val="009C63D5"/>
    <w:rsid w:val="00A126F1"/>
    <w:rsid w:val="00DA195D"/>
    <w:rsid w:val="00F2316B"/>
    <w:rsid w:val="1AEE0CC1"/>
    <w:rsid w:val="295420F4"/>
    <w:rsid w:val="3F8925F1"/>
    <w:rsid w:val="6A3C3206"/>
  </w:rsids>
  <m:mathPr>
    <m:mathFont m:val="Cambria Math"/>
    <m:brkBin m:val="before"/>
    <m:brkBinSub m:val="--"/>
    <m:smallFrac m:val="0"/>
    <m:dispDef/>
    <m:lMargin m:val="0"/>
    <m:rMargin m:val="0"/>
    <m:defJc m:val="centerGroup"/>
    <m:wrapIndent m:val="1440"/>
    <m:intLim m:val="subSup"/>
    <m:naryLim m:val="undOvr"/>
  </m:mathPr>
  <w:themeFontLang w:val="ru-RU"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39" w:semiHidden="0" w:name="Table Grid"/>
    <w:lsdException w:uiPriority="99" w:name="Table Theme"/>
  </w:latentStyles>
  <w:style w:type="paragraph" w:default="1" w:styleId="1">
    <w:name w:val="Normal"/>
    <w:qFormat/>
    <w:uiPriority w:val="0"/>
    <w:pPr>
      <w:spacing w:after="160" w:line="259" w:lineRule="auto"/>
    </w:pPr>
    <w:rPr>
      <w:rFonts w:asciiTheme="minorHAnsi" w:hAnsiTheme="minorHAnsi" w:eastAsiaTheme="minorHAnsi" w:cstheme="minorBidi"/>
      <w:sz w:val="22"/>
      <w:szCs w:val="22"/>
      <w:lang w:val="ru-RU" w:eastAsia="en-US" w:bidi="ar-SA"/>
    </w:rPr>
  </w:style>
  <w:style w:type="character" w:default="1" w:styleId="2">
    <w:name w:val="Default Paragraph Font"/>
    <w:unhideWhenUsed/>
    <w:qFormat/>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character" w:styleId="4">
    <w:name w:val="footnote reference"/>
    <w:basedOn w:val="2"/>
    <w:semiHidden/>
    <w:unhideWhenUsed/>
    <w:qFormat/>
    <w:uiPriority w:val="99"/>
    <w:rPr>
      <w:vertAlign w:val="superscript"/>
    </w:rPr>
  </w:style>
  <w:style w:type="character" w:styleId="5">
    <w:name w:val="Hyperlink"/>
    <w:basedOn w:val="2"/>
    <w:unhideWhenUsed/>
    <w:qFormat/>
    <w:uiPriority w:val="99"/>
    <w:rPr>
      <w:color w:val="0563C1" w:themeColor="hyperlink"/>
      <w:u w:val="single"/>
      <w14:textFill>
        <w14:solidFill>
          <w14:schemeClr w14:val="hlink"/>
        </w14:solidFill>
      </w14:textFill>
    </w:rPr>
  </w:style>
  <w:style w:type="paragraph" w:styleId="6">
    <w:name w:val="footnote text"/>
    <w:basedOn w:val="1"/>
    <w:link w:val="8"/>
    <w:semiHidden/>
    <w:unhideWhenUsed/>
    <w:qFormat/>
    <w:uiPriority w:val="99"/>
    <w:pPr>
      <w:spacing w:after="0" w:line="240" w:lineRule="auto"/>
    </w:pPr>
    <w:rPr>
      <w:sz w:val="20"/>
      <w:szCs w:val="20"/>
    </w:rPr>
  </w:style>
  <w:style w:type="table" w:styleId="7">
    <w:name w:val="Table Grid"/>
    <w:basedOn w:val="3"/>
    <w:qFormat/>
    <w:uiPriority w:val="39"/>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8">
    <w:name w:val="Текст сноски Знак"/>
    <w:basedOn w:val="2"/>
    <w:link w:val="6"/>
    <w:semiHidden/>
    <w:qFormat/>
    <w:uiPriority w:val="99"/>
    <w:rPr>
      <w:sz w:val="20"/>
      <w:szCs w:val="20"/>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F639A85-7664-4F2A-ADC5-D779951EED0F}">
  <ds:schemaRefs/>
</ds:datastoreItem>
</file>

<file path=docProps/app.xml><?xml version="1.0" encoding="utf-8"?>
<Properties xmlns="http://schemas.openxmlformats.org/officeDocument/2006/extended-properties" xmlns:vt="http://schemas.openxmlformats.org/officeDocument/2006/docPropsVTypes">
  <Template>Normal.dotm</Template>
  <Pages>6</Pages>
  <Words>2266</Words>
  <Characters>12920</Characters>
  <Lines>107</Lines>
  <Paragraphs>30</Paragraphs>
  <TotalTime>131</TotalTime>
  <ScaleCrop>false</ScaleCrop>
  <LinksUpToDate>false</LinksUpToDate>
  <CharactersWithSpaces>15156</CharactersWithSpaces>
  <Application>WPS Office_12.2.0.23196_F1E327BC-269C-435d-A152-05C5408002CA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2026-03-19T16:32:00Z</dcterms:created>
  <dc:creator>Семья</dc:creator>
  <cp:lastModifiedBy>Элиза Хакимова</cp:lastModifiedBy>
  <dcterms:modified xsi:type="dcterms:W3CDTF">2026-03-26T13:05:27Z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1049-12.2.0.23196</vt:lpwstr>
  </property>
  <property fmtid="{D5CDD505-2E9C-101B-9397-08002B2CF9AE}" pid="3" name="ICV">
    <vt:lpwstr>26029ADCF16B484698D645B32D8D8D74_12</vt:lpwstr>
  </property>
</Properties>
</file>