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996973" w14:textId="1E5B7832" w:rsidR="00773881" w:rsidRPr="007A14C2" w:rsidRDefault="00773881" w:rsidP="007A14C2">
      <w:pPr>
        <w:spacing w:after="0" w:line="240" w:lineRule="auto"/>
        <w:rPr>
          <w:rFonts w:ascii="Times New Roman" w:hAnsi="Times New Roman" w:cs="Times New Roman"/>
          <w:sz w:val="24"/>
          <w:szCs w:val="24"/>
        </w:rPr>
      </w:pPr>
      <w:r w:rsidRPr="007A14C2">
        <w:rPr>
          <w:rFonts w:ascii="Times New Roman" w:hAnsi="Times New Roman" w:cs="Times New Roman"/>
          <w:sz w:val="24"/>
          <w:szCs w:val="24"/>
        </w:rPr>
        <w:t>УДК 316.44</w:t>
      </w:r>
    </w:p>
    <w:p w14:paraId="6BE4E4C2" w14:textId="17D2F1F8" w:rsidR="00773881" w:rsidRPr="007A14C2" w:rsidRDefault="00773881" w:rsidP="007A14C2">
      <w:pPr>
        <w:spacing w:after="0" w:line="240" w:lineRule="auto"/>
        <w:jc w:val="right"/>
        <w:rPr>
          <w:rFonts w:ascii="Times New Roman" w:hAnsi="Times New Roman" w:cs="Times New Roman"/>
          <w:b/>
          <w:bCs/>
          <w:sz w:val="24"/>
          <w:szCs w:val="24"/>
        </w:rPr>
      </w:pPr>
      <w:r w:rsidRPr="007A14C2">
        <w:rPr>
          <w:rFonts w:ascii="Times New Roman" w:hAnsi="Times New Roman" w:cs="Times New Roman"/>
          <w:b/>
          <w:bCs/>
          <w:sz w:val="24"/>
          <w:szCs w:val="24"/>
        </w:rPr>
        <w:t>Е.С. Попова</w:t>
      </w:r>
    </w:p>
    <w:p w14:paraId="69EF2E5F" w14:textId="77777777" w:rsidR="00773881" w:rsidRPr="007A14C2" w:rsidRDefault="00773881" w:rsidP="007A14C2">
      <w:pPr>
        <w:spacing w:after="0" w:line="240" w:lineRule="auto"/>
        <w:jc w:val="right"/>
        <w:rPr>
          <w:rFonts w:ascii="Times New Roman" w:hAnsi="Times New Roman" w:cs="Times New Roman"/>
          <w:b/>
          <w:bCs/>
          <w:sz w:val="24"/>
          <w:szCs w:val="24"/>
        </w:rPr>
      </w:pPr>
    </w:p>
    <w:p w14:paraId="14041D6B" w14:textId="44DB7578" w:rsidR="001F5640" w:rsidRPr="007A14C2" w:rsidRDefault="00773881" w:rsidP="007A14C2">
      <w:pPr>
        <w:spacing w:after="0" w:line="240" w:lineRule="auto"/>
        <w:jc w:val="center"/>
        <w:rPr>
          <w:rFonts w:ascii="Times New Roman" w:hAnsi="Times New Roman" w:cs="Times New Roman"/>
          <w:b/>
          <w:bCs/>
          <w:sz w:val="24"/>
          <w:szCs w:val="24"/>
        </w:rPr>
      </w:pPr>
      <w:r w:rsidRPr="007A14C2">
        <w:rPr>
          <w:rFonts w:ascii="Times New Roman" w:hAnsi="Times New Roman" w:cs="Times New Roman"/>
          <w:b/>
          <w:bCs/>
          <w:sz w:val="24"/>
          <w:szCs w:val="24"/>
        </w:rPr>
        <w:t>СУБЪЕКТИВНОЕ БЛАГОПОЛУЧИЕ: СОЦИАЛЬНАЯ МОБИЛЬНОСТЬ</w:t>
      </w:r>
      <w:r w:rsidRPr="007A14C2">
        <w:rPr>
          <w:rFonts w:ascii="Times New Roman" w:hAnsi="Times New Roman" w:cs="Times New Roman"/>
          <w:b/>
          <w:bCs/>
          <w:sz w:val="24"/>
          <w:szCs w:val="24"/>
        </w:rPr>
        <w:br/>
        <w:t>И ЛОКАЛЬНАЯ УКОРЕНЁННОСТЬ В ОБРАЗОВАНИИ И НА РЫНКЕ ТРУДА</w:t>
      </w:r>
    </w:p>
    <w:p w14:paraId="25819E37" w14:textId="77777777" w:rsidR="00CF12D9" w:rsidRPr="007A14C2" w:rsidRDefault="00CF12D9" w:rsidP="007A14C2">
      <w:pPr>
        <w:spacing w:after="0" w:line="240" w:lineRule="auto"/>
        <w:jc w:val="both"/>
        <w:rPr>
          <w:rFonts w:ascii="Times New Roman" w:hAnsi="Times New Roman" w:cs="Times New Roman"/>
          <w:sz w:val="24"/>
          <w:szCs w:val="24"/>
        </w:rPr>
      </w:pPr>
    </w:p>
    <w:p w14:paraId="133A15E3" w14:textId="1FFE37CF" w:rsidR="00195B85" w:rsidRPr="007A14C2" w:rsidRDefault="00CF12D9" w:rsidP="007A14C2">
      <w:pPr>
        <w:spacing w:after="0" w:line="240" w:lineRule="auto"/>
        <w:ind w:firstLine="708"/>
        <w:jc w:val="both"/>
        <w:rPr>
          <w:rFonts w:ascii="Times New Roman" w:hAnsi="Times New Roman" w:cs="Times New Roman"/>
          <w:sz w:val="24"/>
          <w:szCs w:val="24"/>
        </w:rPr>
      </w:pPr>
      <w:r w:rsidRPr="007A14C2">
        <w:rPr>
          <w:rFonts w:ascii="Times New Roman" w:hAnsi="Times New Roman" w:cs="Times New Roman"/>
          <w:b/>
          <w:bCs/>
          <w:sz w:val="24"/>
          <w:szCs w:val="24"/>
        </w:rPr>
        <w:t>Аннотация.</w:t>
      </w:r>
      <w:r w:rsidRPr="007A14C2">
        <w:rPr>
          <w:rFonts w:ascii="Times New Roman" w:hAnsi="Times New Roman" w:cs="Times New Roman"/>
          <w:sz w:val="24"/>
          <w:szCs w:val="24"/>
        </w:rPr>
        <w:t xml:space="preserve"> </w:t>
      </w:r>
      <w:r w:rsidR="00195B85" w:rsidRPr="007A14C2">
        <w:rPr>
          <w:rFonts w:ascii="Times New Roman" w:hAnsi="Times New Roman" w:cs="Times New Roman"/>
          <w:sz w:val="24"/>
          <w:szCs w:val="24"/>
        </w:rPr>
        <w:t>Анализируется влияние образовательной стратификации на субъективное благополучие молодёжи. Исследуются стратегии социальной мобильности и локальной укоренённости в сферах образования и занятости. Установлено, что образовательная стратификация служит не только механизмом воспроизводства неравенства, но и фактором формирования специфических типов субъективного благополучия.</w:t>
      </w:r>
    </w:p>
    <w:p w14:paraId="5A85B812" w14:textId="64B19D68" w:rsidR="00773881" w:rsidRPr="007A14C2" w:rsidRDefault="00773881" w:rsidP="007A14C2">
      <w:pPr>
        <w:spacing w:after="0" w:line="240" w:lineRule="auto"/>
        <w:ind w:firstLine="708"/>
        <w:jc w:val="both"/>
        <w:rPr>
          <w:rFonts w:ascii="Times New Roman" w:hAnsi="Times New Roman" w:cs="Times New Roman"/>
          <w:sz w:val="24"/>
          <w:szCs w:val="24"/>
        </w:rPr>
      </w:pPr>
      <w:r w:rsidRPr="007A14C2">
        <w:rPr>
          <w:rFonts w:ascii="Times New Roman" w:hAnsi="Times New Roman" w:cs="Times New Roman"/>
          <w:b/>
          <w:bCs/>
          <w:sz w:val="24"/>
          <w:szCs w:val="24"/>
        </w:rPr>
        <w:t>Ключевые слова:</w:t>
      </w:r>
      <w:r w:rsidRPr="007A14C2">
        <w:rPr>
          <w:rFonts w:ascii="Times New Roman" w:hAnsi="Times New Roman" w:cs="Times New Roman"/>
          <w:sz w:val="24"/>
          <w:szCs w:val="24"/>
        </w:rPr>
        <w:t xml:space="preserve"> </w:t>
      </w:r>
      <w:r w:rsidR="009C5415" w:rsidRPr="007A14C2">
        <w:rPr>
          <w:rFonts w:ascii="Times New Roman" w:hAnsi="Times New Roman" w:cs="Times New Roman"/>
          <w:sz w:val="24"/>
          <w:szCs w:val="24"/>
        </w:rPr>
        <w:t xml:space="preserve">образовательная стратификация, </w:t>
      </w:r>
      <w:r w:rsidR="009C5415" w:rsidRPr="007A14C2">
        <w:rPr>
          <w:rFonts w:ascii="Times New Roman" w:hAnsi="Times New Roman" w:cs="Times New Roman"/>
          <w:sz w:val="24"/>
          <w:szCs w:val="24"/>
        </w:rPr>
        <w:t>социальная мобильность</w:t>
      </w:r>
      <w:r w:rsidR="009C5415" w:rsidRPr="007A14C2">
        <w:rPr>
          <w:rFonts w:ascii="Times New Roman" w:hAnsi="Times New Roman" w:cs="Times New Roman"/>
          <w:sz w:val="24"/>
          <w:szCs w:val="24"/>
        </w:rPr>
        <w:t>, социальное неравенство, образование, социальное поведение</w:t>
      </w:r>
    </w:p>
    <w:p w14:paraId="37191A20" w14:textId="77777777" w:rsidR="001B6B47" w:rsidRPr="007A14C2" w:rsidRDefault="001B6B47" w:rsidP="007A14C2">
      <w:pPr>
        <w:spacing w:after="0" w:line="240" w:lineRule="auto"/>
        <w:ind w:firstLine="708"/>
        <w:jc w:val="both"/>
        <w:rPr>
          <w:rFonts w:ascii="Times New Roman" w:hAnsi="Times New Roman" w:cs="Times New Roman"/>
          <w:sz w:val="24"/>
          <w:szCs w:val="24"/>
        </w:rPr>
      </w:pPr>
    </w:p>
    <w:p w14:paraId="38D7A35D" w14:textId="60BE50F2" w:rsidR="00B81F15" w:rsidRPr="007A14C2" w:rsidRDefault="00B81F15" w:rsidP="007A14C2">
      <w:pPr>
        <w:spacing w:after="0" w:line="240" w:lineRule="auto"/>
        <w:ind w:firstLine="708"/>
        <w:jc w:val="both"/>
        <w:rPr>
          <w:rFonts w:ascii="Times New Roman" w:hAnsi="Times New Roman" w:cs="Times New Roman"/>
          <w:sz w:val="24"/>
          <w:szCs w:val="24"/>
        </w:rPr>
      </w:pPr>
      <w:r w:rsidRPr="007A14C2">
        <w:rPr>
          <w:rFonts w:ascii="Times New Roman" w:hAnsi="Times New Roman" w:cs="Times New Roman"/>
          <w:sz w:val="24"/>
          <w:szCs w:val="24"/>
        </w:rPr>
        <w:t xml:space="preserve">Современная российская молодёжь неизменно оказывается в центре противоречивых </w:t>
      </w:r>
      <w:r w:rsidRPr="007A14C2">
        <w:rPr>
          <w:rFonts w:ascii="Times New Roman" w:hAnsi="Times New Roman" w:cs="Times New Roman"/>
          <w:sz w:val="24"/>
          <w:szCs w:val="24"/>
        </w:rPr>
        <w:t xml:space="preserve">социальных </w:t>
      </w:r>
      <w:r w:rsidRPr="007A14C2">
        <w:rPr>
          <w:rFonts w:ascii="Times New Roman" w:hAnsi="Times New Roman" w:cs="Times New Roman"/>
          <w:sz w:val="24"/>
          <w:szCs w:val="24"/>
        </w:rPr>
        <w:t>процессов, где традиционные механизмы социального воспроизводства сосуществуют с новыми формами социальной мобильности</w:t>
      </w:r>
      <w:r w:rsidRPr="007A14C2">
        <w:rPr>
          <w:rFonts w:ascii="Times New Roman" w:hAnsi="Times New Roman" w:cs="Times New Roman"/>
          <w:sz w:val="24"/>
          <w:szCs w:val="24"/>
        </w:rPr>
        <w:t>.</w:t>
      </w:r>
      <w:r w:rsidRPr="007A14C2">
        <w:rPr>
          <w:rFonts w:ascii="Times New Roman" w:hAnsi="Times New Roman" w:cs="Times New Roman"/>
          <w:sz w:val="24"/>
          <w:szCs w:val="24"/>
        </w:rPr>
        <w:t xml:space="preserve"> </w:t>
      </w:r>
      <w:r w:rsidRPr="007A14C2">
        <w:rPr>
          <w:rFonts w:ascii="Times New Roman" w:hAnsi="Times New Roman" w:cs="Times New Roman"/>
          <w:sz w:val="24"/>
          <w:szCs w:val="24"/>
        </w:rPr>
        <w:t>Р</w:t>
      </w:r>
      <w:r w:rsidRPr="007A14C2">
        <w:rPr>
          <w:rFonts w:ascii="Times New Roman" w:hAnsi="Times New Roman" w:cs="Times New Roman"/>
          <w:sz w:val="24"/>
          <w:szCs w:val="24"/>
        </w:rPr>
        <w:t xml:space="preserve">азвитие возможностей онлайн-образования </w:t>
      </w:r>
      <w:r w:rsidRPr="007A14C2">
        <w:rPr>
          <w:rFonts w:ascii="Times New Roman" w:hAnsi="Times New Roman" w:cs="Times New Roman"/>
          <w:sz w:val="24"/>
          <w:szCs w:val="24"/>
        </w:rPr>
        <w:t xml:space="preserve">и дистанционных форматов занятости </w:t>
      </w:r>
      <w:r w:rsidRPr="007A14C2">
        <w:rPr>
          <w:rFonts w:ascii="Times New Roman" w:hAnsi="Times New Roman" w:cs="Times New Roman"/>
          <w:sz w:val="24"/>
          <w:szCs w:val="24"/>
        </w:rPr>
        <w:t>позволяет пересматривать представления о</w:t>
      </w:r>
      <w:r w:rsidRPr="007A14C2">
        <w:rPr>
          <w:rFonts w:ascii="Times New Roman" w:hAnsi="Times New Roman" w:cs="Times New Roman"/>
          <w:sz w:val="24"/>
          <w:szCs w:val="24"/>
        </w:rPr>
        <w:t xml:space="preserve"> социальной </w:t>
      </w:r>
      <w:r w:rsidRPr="007A14C2">
        <w:rPr>
          <w:rFonts w:ascii="Times New Roman" w:hAnsi="Times New Roman" w:cs="Times New Roman"/>
          <w:sz w:val="24"/>
          <w:szCs w:val="24"/>
        </w:rPr>
        <w:t>мобильности и локальной укоренённости, актуализируя целый ряд вопросов к выбор</w:t>
      </w:r>
      <w:r w:rsidRPr="007A14C2">
        <w:rPr>
          <w:rFonts w:ascii="Times New Roman" w:hAnsi="Times New Roman" w:cs="Times New Roman"/>
          <w:sz w:val="24"/>
          <w:szCs w:val="24"/>
        </w:rPr>
        <w:t>у</w:t>
      </w:r>
      <w:r w:rsidRPr="007A14C2">
        <w:rPr>
          <w:rFonts w:ascii="Times New Roman" w:hAnsi="Times New Roman" w:cs="Times New Roman"/>
          <w:sz w:val="24"/>
          <w:szCs w:val="24"/>
        </w:rPr>
        <w:t xml:space="preserve"> стратегией социального поведения молодёжью.</w:t>
      </w:r>
    </w:p>
    <w:p w14:paraId="43A30066" w14:textId="45FE6465" w:rsidR="00B81F15" w:rsidRPr="007A14C2" w:rsidRDefault="00B81F15" w:rsidP="007A14C2">
      <w:pPr>
        <w:spacing w:after="0" w:line="240" w:lineRule="auto"/>
        <w:jc w:val="both"/>
        <w:rPr>
          <w:rFonts w:ascii="Times New Roman" w:hAnsi="Times New Roman" w:cs="Times New Roman"/>
          <w:sz w:val="24"/>
          <w:szCs w:val="24"/>
        </w:rPr>
      </w:pPr>
      <w:r w:rsidRPr="007A14C2">
        <w:rPr>
          <w:rFonts w:ascii="Times New Roman" w:hAnsi="Times New Roman" w:cs="Times New Roman"/>
          <w:sz w:val="24"/>
          <w:szCs w:val="24"/>
        </w:rPr>
        <w:tab/>
        <w:t xml:space="preserve">Образовательная стратификация в подобной теоретико-методологической рамке выступает не только механизмом социального воспроизводства, но и фактором формирования </w:t>
      </w:r>
      <w:r w:rsidR="00A24A13" w:rsidRPr="007A14C2">
        <w:rPr>
          <w:rFonts w:ascii="Times New Roman" w:hAnsi="Times New Roman" w:cs="Times New Roman"/>
          <w:sz w:val="24"/>
          <w:szCs w:val="24"/>
        </w:rPr>
        <w:t xml:space="preserve">объективных и субъективных координат благополучия [1, </w:t>
      </w:r>
      <w:r w:rsidR="007A14C2" w:rsidRPr="007A14C2">
        <w:rPr>
          <w:rFonts w:ascii="Times New Roman" w:hAnsi="Times New Roman" w:cs="Times New Roman"/>
          <w:sz w:val="24"/>
          <w:szCs w:val="24"/>
        </w:rPr>
        <w:t>5, 6</w:t>
      </w:r>
      <w:r w:rsidR="00A24A13" w:rsidRPr="007A14C2">
        <w:rPr>
          <w:rFonts w:ascii="Times New Roman" w:hAnsi="Times New Roman" w:cs="Times New Roman"/>
          <w:sz w:val="24"/>
          <w:szCs w:val="24"/>
        </w:rPr>
        <w:t>]</w:t>
      </w:r>
      <w:r w:rsidRPr="007A14C2">
        <w:rPr>
          <w:rFonts w:ascii="Times New Roman" w:hAnsi="Times New Roman" w:cs="Times New Roman"/>
          <w:sz w:val="24"/>
          <w:szCs w:val="24"/>
        </w:rPr>
        <w:t>, балансирующ</w:t>
      </w:r>
      <w:r w:rsidR="00A24A13" w:rsidRPr="007A14C2">
        <w:rPr>
          <w:rFonts w:ascii="Times New Roman" w:hAnsi="Times New Roman" w:cs="Times New Roman"/>
          <w:sz w:val="24"/>
          <w:szCs w:val="24"/>
        </w:rPr>
        <w:t>его</w:t>
      </w:r>
      <w:r w:rsidRPr="007A14C2">
        <w:rPr>
          <w:rFonts w:ascii="Times New Roman" w:hAnsi="Times New Roman" w:cs="Times New Roman"/>
          <w:sz w:val="24"/>
          <w:szCs w:val="24"/>
        </w:rPr>
        <w:t xml:space="preserve"> между стремлением к социальной мобильности и локальной укоренённост</w:t>
      </w:r>
      <w:r w:rsidR="00A24A13" w:rsidRPr="007A14C2">
        <w:rPr>
          <w:rFonts w:ascii="Times New Roman" w:hAnsi="Times New Roman" w:cs="Times New Roman"/>
          <w:sz w:val="24"/>
          <w:szCs w:val="24"/>
        </w:rPr>
        <w:t>и</w:t>
      </w:r>
      <w:r w:rsidRPr="007A14C2">
        <w:rPr>
          <w:rFonts w:ascii="Times New Roman" w:hAnsi="Times New Roman" w:cs="Times New Roman"/>
          <w:sz w:val="24"/>
          <w:szCs w:val="24"/>
        </w:rPr>
        <w:t>.</w:t>
      </w:r>
    </w:p>
    <w:p w14:paraId="5F532C2F" w14:textId="79AC40F3" w:rsidR="00B81F15" w:rsidRPr="007A14C2" w:rsidRDefault="00B81F15" w:rsidP="007A14C2">
      <w:pPr>
        <w:spacing w:after="0" w:line="240" w:lineRule="auto"/>
        <w:jc w:val="both"/>
        <w:rPr>
          <w:rFonts w:ascii="Times New Roman" w:eastAsia="Calibri" w:hAnsi="Times New Roman" w:cs="Times New Roman"/>
          <w:kern w:val="0"/>
          <w:sz w:val="24"/>
          <w:szCs w:val="24"/>
          <w14:ligatures w14:val="none"/>
        </w:rPr>
      </w:pPr>
      <w:r w:rsidRPr="007A14C2">
        <w:rPr>
          <w:rFonts w:ascii="Times New Roman" w:hAnsi="Times New Roman" w:cs="Times New Roman"/>
          <w:sz w:val="24"/>
          <w:szCs w:val="24"/>
        </w:rPr>
        <w:tab/>
        <w:t xml:space="preserve">Текущие условия формирования </w:t>
      </w:r>
      <w:r w:rsidR="00A24A13" w:rsidRPr="007A14C2">
        <w:rPr>
          <w:rFonts w:ascii="Times New Roman" w:hAnsi="Times New Roman" w:cs="Times New Roman"/>
          <w:sz w:val="24"/>
          <w:szCs w:val="24"/>
        </w:rPr>
        <w:t xml:space="preserve">социального поведения </w:t>
      </w:r>
      <w:r w:rsidRPr="007A14C2">
        <w:rPr>
          <w:rFonts w:ascii="Times New Roman" w:hAnsi="Times New Roman" w:cs="Times New Roman"/>
          <w:sz w:val="24"/>
          <w:szCs w:val="24"/>
        </w:rPr>
        <w:t xml:space="preserve">молодёжи </w:t>
      </w:r>
      <w:r w:rsidR="00A24A13" w:rsidRPr="007A14C2">
        <w:rPr>
          <w:rFonts w:ascii="Times New Roman" w:hAnsi="Times New Roman" w:cs="Times New Roman"/>
          <w:sz w:val="24"/>
          <w:szCs w:val="24"/>
        </w:rPr>
        <w:t xml:space="preserve">в сферах образования и рынка труда </w:t>
      </w:r>
      <w:r w:rsidRPr="007A14C2">
        <w:rPr>
          <w:rFonts w:ascii="Times New Roman" w:hAnsi="Times New Roman" w:cs="Times New Roman"/>
          <w:sz w:val="24"/>
          <w:szCs w:val="24"/>
        </w:rPr>
        <w:t xml:space="preserve">характеризируются несколькими социальными явлениями и процессами. С одной стороны, можно говорить о сохранении образовательной экспансии при усилении стратификационных механизмов. Анализ динамики </w:t>
      </w:r>
      <w:r w:rsidRPr="007A14C2">
        <w:rPr>
          <w:rFonts w:ascii="Times New Roman" w:eastAsia="Calibri" w:hAnsi="Times New Roman" w:cs="Times New Roman"/>
          <w:kern w:val="0"/>
          <w:sz w:val="24"/>
          <w:szCs w:val="24"/>
          <w14:ligatures w14:val="none"/>
        </w:rPr>
        <w:t>уровня образования молодёжи</w:t>
      </w:r>
      <w:r w:rsidRPr="007A14C2">
        <w:rPr>
          <w:rFonts w:ascii="Times New Roman" w:eastAsia="Calibri" w:hAnsi="Times New Roman" w:cs="Times New Roman"/>
          <w:kern w:val="0"/>
          <w:sz w:val="24"/>
          <w:szCs w:val="24"/>
          <w:vertAlign w:val="superscript"/>
          <w14:ligatures w14:val="none"/>
        </w:rPr>
        <w:footnoteReference w:id="1"/>
      </w:r>
      <w:r w:rsidRPr="007A14C2">
        <w:rPr>
          <w:rFonts w:ascii="Times New Roman" w:eastAsia="Calibri" w:hAnsi="Times New Roman" w:cs="Times New Roman"/>
          <w:kern w:val="0"/>
          <w:sz w:val="24"/>
          <w:szCs w:val="24"/>
          <w14:ligatures w14:val="none"/>
        </w:rPr>
        <w:t xml:space="preserve"> по уровню урбанизации</w:t>
      </w:r>
      <w:r w:rsidRPr="007A14C2">
        <w:rPr>
          <w:rFonts w:ascii="Times New Roman" w:eastAsia="Calibri" w:hAnsi="Times New Roman" w:cs="Times New Roman"/>
          <w:kern w:val="0"/>
          <w:sz w:val="24"/>
          <w:szCs w:val="24"/>
          <w:vertAlign w:val="superscript"/>
          <w14:ligatures w14:val="none"/>
        </w:rPr>
        <w:footnoteReference w:id="2"/>
      </w:r>
      <w:r w:rsidRPr="007A14C2">
        <w:rPr>
          <w:rFonts w:ascii="Times New Roman" w:eastAsia="Calibri" w:hAnsi="Times New Roman" w:cs="Times New Roman"/>
          <w:kern w:val="0"/>
          <w:sz w:val="24"/>
          <w:szCs w:val="24"/>
          <w14:ligatures w14:val="none"/>
        </w:rPr>
        <w:t xml:space="preserve"> населённого пункта на </w:t>
      </w:r>
      <w:r w:rsidRPr="007A14C2">
        <w:rPr>
          <w:rFonts w:ascii="Times New Roman" w:hAnsi="Times New Roman" w:cs="Times New Roman"/>
          <w:sz w:val="24"/>
          <w:szCs w:val="24"/>
        </w:rPr>
        <w:t>данных Российского мониторинга экономического положения и здоровья населения НИУ ВШЭ (RLMS HSE)</w:t>
      </w:r>
      <w:r w:rsidRPr="007A14C2">
        <w:rPr>
          <w:rStyle w:val="af2"/>
          <w:rFonts w:ascii="Times New Roman" w:hAnsi="Times New Roman" w:cs="Times New Roman"/>
          <w:sz w:val="24"/>
          <w:szCs w:val="24"/>
        </w:rPr>
        <w:footnoteReference w:id="3"/>
      </w:r>
      <w:r w:rsidRPr="007A14C2">
        <w:rPr>
          <w:rFonts w:ascii="Times New Roman" w:hAnsi="Times New Roman" w:cs="Times New Roman"/>
          <w:sz w:val="24"/>
          <w:szCs w:val="24"/>
        </w:rPr>
        <w:t xml:space="preserve"> </w:t>
      </w:r>
      <w:r w:rsidRPr="007A14C2">
        <w:rPr>
          <w:rFonts w:ascii="Times New Roman" w:eastAsia="Calibri" w:hAnsi="Times New Roman" w:cs="Times New Roman"/>
          <w:kern w:val="0"/>
          <w:sz w:val="24"/>
          <w:szCs w:val="24"/>
          <w14:ligatures w14:val="none"/>
        </w:rPr>
        <w:t>подтверждает рост доли городского населения с высшим образованием. За прошедшее двадцатилетие в городах с численностью населения свыше 5 млн. чел. доля молодёжи с высшим образованием увеличилась в 4,5 раза и вдвое во всех других населённых пунктах. [</w:t>
      </w:r>
      <w:r w:rsidR="007A14C2" w:rsidRPr="007A14C2">
        <w:rPr>
          <w:rFonts w:ascii="Times New Roman" w:eastAsia="Calibri" w:hAnsi="Times New Roman" w:cs="Times New Roman"/>
          <w:kern w:val="0"/>
          <w:sz w:val="24"/>
          <w:szCs w:val="24"/>
          <w14:ligatures w14:val="none"/>
        </w:rPr>
        <w:t>2</w:t>
      </w:r>
      <w:r w:rsidRPr="007A14C2">
        <w:rPr>
          <w:rFonts w:ascii="Times New Roman" w:eastAsia="Calibri" w:hAnsi="Times New Roman" w:cs="Times New Roman"/>
          <w:kern w:val="0"/>
          <w:sz w:val="24"/>
          <w:szCs w:val="24"/>
          <w14:ligatures w14:val="none"/>
        </w:rPr>
        <w:t>, с. 296]. Однако подобная экспансия не устраняет, а трансформирует образовательную стратификацию. Формируется иерархия образовательных траекторий и стратегий молодёжи, где престижность определяется не только уровнем образования, но и его качеством, статусом учебного заведения, его местом нахождения и перспективами будущей профессиональной реализации.</w:t>
      </w:r>
    </w:p>
    <w:p w14:paraId="14D2ECD4" w14:textId="442AAF91" w:rsidR="00B81F15" w:rsidRPr="007A14C2" w:rsidRDefault="00B81F15" w:rsidP="007A14C2">
      <w:pPr>
        <w:spacing w:after="0" w:line="240" w:lineRule="auto"/>
        <w:jc w:val="both"/>
        <w:rPr>
          <w:rFonts w:ascii="Times New Roman" w:eastAsia="Calibri" w:hAnsi="Times New Roman" w:cs="Times New Roman"/>
          <w:kern w:val="0"/>
          <w:sz w:val="24"/>
          <w:szCs w:val="24"/>
          <w14:ligatures w14:val="none"/>
        </w:rPr>
      </w:pPr>
      <w:r w:rsidRPr="007A14C2">
        <w:rPr>
          <w:rFonts w:ascii="Times New Roman" w:eastAsia="Calibri" w:hAnsi="Times New Roman" w:cs="Times New Roman"/>
          <w:kern w:val="0"/>
          <w:sz w:val="24"/>
          <w:szCs w:val="24"/>
          <w14:ligatures w14:val="none"/>
        </w:rPr>
        <w:lastRenderedPageBreak/>
        <w:tab/>
        <w:t>С другой стороны, сохраняется неравенство образовательных шансов в доступе к высшему и доступе к качественному профессиональному образованию. Изменения в охвате молодёжи программами среднего профессионального образования</w:t>
      </w:r>
      <w:r w:rsidR="00A24A13" w:rsidRPr="007A14C2">
        <w:rPr>
          <w:rStyle w:val="af2"/>
          <w:rFonts w:ascii="Times New Roman" w:eastAsia="Calibri" w:hAnsi="Times New Roman" w:cs="Times New Roman"/>
          <w:kern w:val="0"/>
          <w:sz w:val="24"/>
          <w:szCs w:val="24"/>
          <w14:ligatures w14:val="none"/>
        </w:rPr>
        <w:footnoteReference w:id="4"/>
      </w:r>
      <w:r w:rsidRPr="007A14C2">
        <w:rPr>
          <w:rFonts w:ascii="Times New Roman" w:eastAsia="Calibri" w:hAnsi="Times New Roman" w:cs="Times New Roman"/>
          <w:kern w:val="0"/>
          <w:sz w:val="24"/>
          <w:szCs w:val="24"/>
          <w14:ligatures w14:val="none"/>
        </w:rPr>
        <w:t xml:space="preserve"> указывают на формирование альтернативных стратегий социальной мобильности, не связанных с традиционной образовательной иерархией [</w:t>
      </w:r>
      <w:r w:rsidR="007A14C2" w:rsidRPr="007A14C2">
        <w:rPr>
          <w:rFonts w:ascii="Times New Roman" w:eastAsia="Calibri" w:hAnsi="Times New Roman" w:cs="Times New Roman"/>
          <w:kern w:val="0"/>
          <w:sz w:val="24"/>
          <w:szCs w:val="24"/>
          <w14:ligatures w14:val="none"/>
        </w:rPr>
        <w:t>3</w:t>
      </w:r>
      <w:r w:rsidRPr="007A14C2">
        <w:rPr>
          <w:rFonts w:ascii="Times New Roman" w:eastAsia="Calibri" w:hAnsi="Times New Roman" w:cs="Times New Roman"/>
          <w:kern w:val="0"/>
          <w:sz w:val="24"/>
          <w:szCs w:val="24"/>
          <w14:ligatures w14:val="none"/>
        </w:rPr>
        <w:t>].</w:t>
      </w:r>
    </w:p>
    <w:p w14:paraId="7AD44E1D" w14:textId="454352A3" w:rsidR="00B81F15" w:rsidRPr="007A14C2" w:rsidRDefault="00B81F15" w:rsidP="007A14C2">
      <w:pPr>
        <w:spacing w:after="0" w:line="240" w:lineRule="auto"/>
        <w:jc w:val="both"/>
        <w:rPr>
          <w:rFonts w:ascii="Times New Roman" w:hAnsi="Times New Roman" w:cs="Times New Roman"/>
          <w:sz w:val="24"/>
          <w:szCs w:val="24"/>
        </w:rPr>
      </w:pPr>
      <w:r w:rsidRPr="007A14C2">
        <w:rPr>
          <w:rFonts w:ascii="Times New Roman" w:eastAsia="Calibri" w:hAnsi="Times New Roman" w:cs="Times New Roman"/>
          <w:kern w:val="0"/>
          <w:sz w:val="24"/>
          <w:szCs w:val="24"/>
          <w14:ligatures w14:val="none"/>
        </w:rPr>
        <w:tab/>
      </w:r>
      <w:r w:rsidRPr="007A14C2">
        <w:rPr>
          <w:rFonts w:ascii="Times New Roman" w:hAnsi="Times New Roman" w:cs="Times New Roman"/>
          <w:sz w:val="24"/>
          <w:szCs w:val="24"/>
        </w:rPr>
        <w:t>Результаты исследовательских проектов Отдела социологии образования ИС ФНИСЦ РАН</w:t>
      </w:r>
      <w:r w:rsidRPr="007A14C2">
        <w:rPr>
          <w:rStyle w:val="af2"/>
          <w:rFonts w:ascii="Times New Roman" w:hAnsi="Times New Roman" w:cs="Times New Roman"/>
          <w:sz w:val="24"/>
          <w:szCs w:val="24"/>
        </w:rPr>
        <w:footnoteReference w:id="5"/>
      </w:r>
      <w:r w:rsidRPr="007A14C2">
        <w:rPr>
          <w:rFonts w:ascii="Times New Roman" w:hAnsi="Times New Roman" w:cs="Times New Roman"/>
          <w:sz w:val="24"/>
          <w:szCs w:val="24"/>
        </w:rPr>
        <w:t xml:space="preserve"> позволяют выявить ключевые тенденции в контексте образовательной стратификации с помощью применения как количественной, так и качественной стратегии исследования; рассмотреть происходящие процессы в динамике.</w:t>
      </w:r>
    </w:p>
    <w:p w14:paraId="3DC5AB37" w14:textId="6357807A" w:rsidR="00B81F15" w:rsidRPr="007A14C2" w:rsidRDefault="00B81F15" w:rsidP="007A14C2">
      <w:pPr>
        <w:spacing w:after="0" w:line="240" w:lineRule="auto"/>
        <w:jc w:val="both"/>
        <w:rPr>
          <w:rFonts w:ascii="Times New Roman" w:hAnsi="Times New Roman" w:cs="Times New Roman"/>
          <w:sz w:val="24"/>
          <w:szCs w:val="24"/>
        </w:rPr>
      </w:pPr>
      <w:r w:rsidRPr="007A14C2">
        <w:rPr>
          <w:rFonts w:ascii="Times New Roman" w:hAnsi="Times New Roman" w:cs="Times New Roman"/>
          <w:sz w:val="24"/>
          <w:szCs w:val="24"/>
        </w:rPr>
        <w:tab/>
        <w:t xml:space="preserve">Образовательный капитал семьи выступает решающим фактором формирования </w:t>
      </w:r>
      <w:r w:rsidR="008779CD" w:rsidRPr="007A14C2">
        <w:rPr>
          <w:rFonts w:ascii="Times New Roman" w:hAnsi="Times New Roman" w:cs="Times New Roman"/>
          <w:sz w:val="24"/>
          <w:szCs w:val="24"/>
        </w:rPr>
        <w:t xml:space="preserve">социального поведения и выбора </w:t>
      </w:r>
      <w:r w:rsidRPr="007A14C2">
        <w:rPr>
          <w:rFonts w:ascii="Times New Roman" w:hAnsi="Times New Roman" w:cs="Times New Roman"/>
          <w:sz w:val="24"/>
          <w:szCs w:val="24"/>
        </w:rPr>
        <w:t xml:space="preserve">образовательных стратегий молодёжи: либо раскрывая потенциал преодоления условий образовательной стратификации, либо формируя гибкость адаптационного потенциала к ней. Особое значение приобретает анализ профессиональной структуры родителей: высокая доля специалистов с высшим образованием потенциально формирует культурный контекст, способствующий воспроизводству образовательных амбиций в следующем поколении. Механизм выбора образовательной организации отражает рациональность молодёжных стратегий: 62,2% респондентов руководствовались возможностью получить конкретную профессию, 28,8% — перспективами трудоустройства, 25,8% — возможностью установления социальных связей. Это свидетельствует об инструментальном отношении к образованию, где символическая ценность диплома уступает место его практической функциональности. Таким образом, социальное воспроизводство осуществляется не через прямую передачу культурного капитала, а через формирование специфических диспозиций к рациональному образовательному выбору в условиях ограниченных ресурсов, что не может не влиять на </w:t>
      </w:r>
      <w:r w:rsidR="008779CD" w:rsidRPr="007A14C2">
        <w:rPr>
          <w:rFonts w:ascii="Times New Roman" w:hAnsi="Times New Roman" w:cs="Times New Roman"/>
          <w:sz w:val="24"/>
          <w:szCs w:val="24"/>
        </w:rPr>
        <w:t xml:space="preserve">субъективное благополучие </w:t>
      </w:r>
      <w:r w:rsidRPr="007A14C2">
        <w:rPr>
          <w:rFonts w:ascii="Times New Roman" w:hAnsi="Times New Roman" w:cs="Times New Roman"/>
          <w:sz w:val="24"/>
          <w:szCs w:val="24"/>
        </w:rPr>
        <w:t>молодых людей, трансформация которо</w:t>
      </w:r>
      <w:r w:rsidR="008779CD" w:rsidRPr="007A14C2">
        <w:rPr>
          <w:rFonts w:ascii="Times New Roman" w:hAnsi="Times New Roman" w:cs="Times New Roman"/>
          <w:sz w:val="24"/>
          <w:szCs w:val="24"/>
        </w:rPr>
        <w:t>го</w:t>
      </w:r>
      <w:r w:rsidRPr="007A14C2">
        <w:rPr>
          <w:rFonts w:ascii="Times New Roman" w:hAnsi="Times New Roman" w:cs="Times New Roman"/>
          <w:sz w:val="24"/>
          <w:szCs w:val="24"/>
        </w:rPr>
        <w:t xml:space="preserve"> может рассматриваться как адаптивность ко внешним условиям.</w:t>
      </w:r>
    </w:p>
    <w:p w14:paraId="63464069" w14:textId="6173B12A" w:rsidR="00B81F15" w:rsidRPr="007A14C2" w:rsidRDefault="00B81F15" w:rsidP="007A14C2">
      <w:pPr>
        <w:spacing w:after="0" w:line="240" w:lineRule="auto"/>
        <w:ind w:firstLine="708"/>
        <w:jc w:val="both"/>
        <w:rPr>
          <w:rFonts w:ascii="Times New Roman" w:hAnsi="Times New Roman" w:cs="Times New Roman"/>
          <w:sz w:val="24"/>
          <w:szCs w:val="24"/>
        </w:rPr>
      </w:pPr>
      <w:r w:rsidRPr="007A14C2">
        <w:rPr>
          <w:rFonts w:ascii="Times New Roman" w:hAnsi="Times New Roman" w:cs="Times New Roman"/>
          <w:sz w:val="24"/>
          <w:szCs w:val="24"/>
        </w:rPr>
        <w:t>Более того, обращает на себя внимание географическое распределение респондентов</w:t>
      </w:r>
      <w:r w:rsidRPr="007A14C2">
        <w:rPr>
          <w:rStyle w:val="af2"/>
          <w:rFonts w:ascii="Times New Roman" w:hAnsi="Times New Roman" w:cs="Times New Roman"/>
          <w:sz w:val="24"/>
          <w:szCs w:val="24"/>
        </w:rPr>
        <w:footnoteReference w:id="6"/>
      </w:r>
      <w:r w:rsidRPr="007A14C2">
        <w:rPr>
          <w:rFonts w:ascii="Times New Roman" w:hAnsi="Times New Roman" w:cs="Times New Roman"/>
          <w:sz w:val="24"/>
          <w:szCs w:val="24"/>
        </w:rPr>
        <w:t xml:space="preserve"> с доминированием региональных центров над столичными университетами. Подобная региональная укоренённость образовательных</w:t>
      </w:r>
      <w:r w:rsidR="008779CD" w:rsidRPr="007A14C2">
        <w:rPr>
          <w:rFonts w:ascii="Times New Roman" w:hAnsi="Times New Roman" w:cs="Times New Roman"/>
          <w:sz w:val="24"/>
          <w:szCs w:val="24"/>
        </w:rPr>
        <w:t>, профессиональных</w:t>
      </w:r>
      <w:r w:rsidRPr="007A14C2">
        <w:rPr>
          <w:rFonts w:ascii="Times New Roman" w:hAnsi="Times New Roman" w:cs="Times New Roman"/>
          <w:sz w:val="24"/>
          <w:szCs w:val="24"/>
        </w:rPr>
        <w:t xml:space="preserve"> траекторий и профессиональных ориентаций потенциально ведёт к формированию особого типа </w:t>
      </w:r>
      <w:r w:rsidR="008779CD" w:rsidRPr="007A14C2">
        <w:rPr>
          <w:rFonts w:ascii="Times New Roman" w:hAnsi="Times New Roman" w:cs="Times New Roman"/>
          <w:sz w:val="24"/>
          <w:szCs w:val="24"/>
        </w:rPr>
        <w:t xml:space="preserve">восприятия социальной мобильности и локальной укоренённости: </w:t>
      </w:r>
      <w:r w:rsidRPr="007A14C2">
        <w:rPr>
          <w:rFonts w:ascii="Times New Roman" w:hAnsi="Times New Roman" w:cs="Times New Roman"/>
          <w:sz w:val="24"/>
          <w:szCs w:val="24"/>
        </w:rPr>
        <w:t>локальн</w:t>
      </w:r>
      <w:r w:rsidR="008779CD" w:rsidRPr="007A14C2">
        <w:rPr>
          <w:rFonts w:ascii="Times New Roman" w:hAnsi="Times New Roman" w:cs="Times New Roman"/>
          <w:sz w:val="24"/>
          <w:szCs w:val="24"/>
        </w:rPr>
        <w:t>ая</w:t>
      </w:r>
      <w:r w:rsidRPr="007A14C2">
        <w:rPr>
          <w:rFonts w:ascii="Times New Roman" w:hAnsi="Times New Roman" w:cs="Times New Roman"/>
          <w:sz w:val="24"/>
          <w:szCs w:val="24"/>
        </w:rPr>
        <w:t xml:space="preserve"> ориентированность профессиональных планов; ограниченность академической мобильности социально-экономическими факторами; адаптивность к региональному рынку труда</w:t>
      </w:r>
      <w:r w:rsidR="008779CD" w:rsidRPr="007A14C2">
        <w:rPr>
          <w:rFonts w:ascii="Times New Roman" w:hAnsi="Times New Roman" w:cs="Times New Roman"/>
          <w:sz w:val="24"/>
          <w:szCs w:val="24"/>
        </w:rPr>
        <w:t xml:space="preserve"> и др</w:t>
      </w:r>
      <w:r w:rsidRPr="007A14C2">
        <w:rPr>
          <w:rFonts w:ascii="Times New Roman" w:hAnsi="Times New Roman" w:cs="Times New Roman"/>
          <w:sz w:val="24"/>
          <w:szCs w:val="24"/>
        </w:rPr>
        <w:t>.</w:t>
      </w:r>
    </w:p>
    <w:p w14:paraId="1921D769" w14:textId="77777777" w:rsidR="00B81F15" w:rsidRPr="007A14C2" w:rsidRDefault="00B81F15" w:rsidP="007A14C2">
      <w:pPr>
        <w:spacing w:after="0" w:line="240" w:lineRule="auto"/>
        <w:ind w:firstLine="708"/>
        <w:jc w:val="both"/>
        <w:rPr>
          <w:rFonts w:ascii="Times New Roman" w:hAnsi="Times New Roman" w:cs="Times New Roman"/>
          <w:sz w:val="24"/>
          <w:szCs w:val="24"/>
        </w:rPr>
      </w:pPr>
      <w:r w:rsidRPr="007A14C2">
        <w:rPr>
          <w:rFonts w:ascii="Times New Roman" w:hAnsi="Times New Roman" w:cs="Times New Roman"/>
          <w:sz w:val="24"/>
          <w:szCs w:val="24"/>
        </w:rPr>
        <w:t>Как показывает анализ данных, такая локальная укоренённость выступает скорее не препятствием, а адаптивной стратегией молодёжи в условиях неравномерного развития образовательного пространства России (в буквальном географическом и метафорическом социально-экономическом смысле). Данный тезис подтверждается:</w:t>
      </w:r>
    </w:p>
    <w:p w14:paraId="425193C3" w14:textId="77777777" w:rsidR="00B81F15" w:rsidRPr="007A14C2" w:rsidRDefault="00B81F15" w:rsidP="007A14C2">
      <w:pPr>
        <w:pStyle w:val="a7"/>
        <w:numPr>
          <w:ilvl w:val="0"/>
          <w:numId w:val="1"/>
        </w:numPr>
        <w:spacing w:after="0" w:line="240" w:lineRule="auto"/>
        <w:ind w:left="709" w:hanging="425"/>
        <w:jc w:val="both"/>
        <w:rPr>
          <w:rFonts w:ascii="Times New Roman" w:hAnsi="Times New Roman" w:cs="Times New Roman"/>
          <w:sz w:val="24"/>
          <w:szCs w:val="24"/>
        </w:rPr>
      </w:pPr>
      <w:r w:rsidRPr="007A14C2">
        <w:rPr>
          <w:rFonts w:ascii="Times New Roman" w:hAnsi="Times New Roman" w:cs="Times New Roman"/>
          <w:sz w:val="24"/>
          <w:szCs w:val="24"/>
        </w:rPr>
        <w:lastRenderedPageBreak/>
        <w:t>Ростом показателя уверенности в правильности выбора профессии в сравнении с прошлыми исследованиями (СПО</w:t>
      </w:r>
      <w:r w:rsidRPr="007A14C2">
        <w:rPr>
          <w:rStyle w:val="af2"/>
          <w:rFonts w:ascii="Times New Roman" w:hAnsi="Times New Roman" w:cs="Times New Roman"/>
          <w:sz w:val="24"/>
          <w:szCs w:val="24"/>
        </w:rPr>
        <w:footnoteReference w:id="7"/>
      </w:r>
      <w:r w:rsidRPr="007A14C2">
        <w:rPr>
          <w:rFonts w:ascii="Times New Roman" w:hAnsi="Times New Roman" w:cs="Times New Roman"/>
          <w:sz w:val="24"/>
          <w:szCs w:val="24"/>
        </w:rPr>
        <w:t xml:space="preserve"> – 2014: 65,5%, СПО – 2022: 71,6%, ВО</w:t>
      </w:r>
      <w:r w:rsidRPr="007A14C2">
        <w:rPr>
          <w:rStyle w:val="af2"/>
          <w:rFonts w:ascii="Times New Roman" w:hAnsi="Times New Roman" w:cs="Times New Roman"/>
          <w:sz w:val="24"/>
          <w:szCs w:val="24"/>
        </w:rPr>
        <w:footnoteReference w:id="8"/>
      </w:r>
      <w:r w:rsidRPr="007A14C2">
        <w:rPr>
          <w:rFonts w:ascii="Times New Roman" w:hAnsi="Times New Roman" w:cs="Times New Roman"/>
          <w:sz w:val="24"/>
          <w:szCs w:val="24"/>
        </w:rPr>
        <w:t xml:space="preserve"> – 2014: 57,8%, ВО – 2022: 71,4%);</w:t>
      </w:r>
    </w:p>
    <w:p w14:paraId="4E9E77A8" w14:textId="77777777" w:rsidR="00B81F15" w:rsidRPr="007A14C2" w:rsidRDefault="00B81F15" w:rsidP="007A14C2">
      <w:pPr>
        <w:pStyle w:val="a7"/>
        <w:numPr>
          <w:ilvl w:val="0"/>
          <w:numId w:val="1"/>
        </w:numPr>
        <w:spacing w:after="0" w:line="240" w:lineRule="auto"/>
        <w:ind w:left="709" w:hanging="425"/>
        <w:jc w:val="both"/>
        <w:rPr>
          <w:rFonts w:ascii="Times New Roman" w:hAnsi="Times New Roman" w:cs="Times New Roman"/>
          <w:sz w:val="24"/>
          <w:szCs w:val="24"/>
        </w:rPr>
      </w:pPr>
      <w:r w:rsidRPr="007A14C2">
        <w:rPr>
          <w:rFonts w:ascii="Times New Roman" w:hAnsi="Times New Roman" w:cs="Times New Roman"/>
          <w:sz w:val="24"/>
          <w:szCs w:val="24"/>
        </w:rPr>
        <w:t>Ростом планирующих работать по специальности (СПО – 2014: 45,3%, СПО – 2022: 59,8%, ВО – 2014: 54,3%, ВО – 2022: 61,1%);</w:t>
      </w:r>
    </w:p>
    <w:p w14:paraId="30613D60" w14:textId="77777777" w:rsidR="00B81F15" w:rsidRPr="007A14C2" w:rsidRDefault="00B81F15" w:rsidP="007A14C2">
      <w:pPr>
        <w:pStyle w:val="a7"/>
        <w:numPr>
          <w:ilvl w:val="0"/>
          <w:numId w:val="1"/>
        </w:numPr>
        <w:spacing w:after="0" w:line="240" w:lineRule="auto"/>
        <w:ind w:left="709" w:hanging="425"/>
        <w:jc w:val="both"/>
        <w:rPr>
          <w:rFonts w:ascii="Times New Roman" w:hAnsi="Times New Roman" w:cs="Times New Roman"/>
          <w:sz w:val="24"/>
          <w:szCs w:val="24"/>
        </w:rPr>
      </w:pPr>
      <w:r w:rsidRPr="007A14C2">
        <w:rPr>
          <w:rFonts w:ascii="Times New Roman" w:hAnsi="Times New Roman" w:cs="Times New Roman"/>
          <w:sz w:val="24"/>
          <w:szCs w:val="24"/>
        </w:rPr>
        <w:t>Ростом показателя уверенности в осуществлении своих планов (СПО – 2014: 38%, СПО – 2022: 76%, ВО – 2014: 44%, ВО – 2022: 72%).</w:t>
      </w:r>
    </w:p>
    <w:p w14:paraId="1D7C6172" w14:textId="77777777" w:rsidR="00B81F15" w:rsidRPr="007A14C2" w:rsidRDefault="00B81F15" w:rsidP="007A14C2">
      <w:pPr>
        <w:spacing w:after="0" w:line="240" w:lineRule="auto"/>
        <w:ind w:firstLine="708"/>
        <w:jc w:val="both"/>
        <w:rPr>
          <w:rFonts w:ascii="Times New Roman" w:hAnsi="Times New Roman" w:cs="Times New Roman"/>
          <w:sz w:val="24"/>
          <w:szCs w:val="24"/>
        </w:rPr>
      </w:pPr>
      <w:r w:rsidRPr="007A14C2">
        <w:rPr>
          <w:rFonts w:ascii="Times New Roman" w:hAnsi="Times New Roman" w:cs="Times New Roman"/>
          <w:sz w:val="24"/>
          <w:szCs w:val="24"/>
        </w:rPr>
        <w:t>Однако анализ профессиональных устремлений респондентов выявляет противоречие между образовательным выбором и реальными перспективами трудоустройства. Лишь 20,6% студентов считают достаточными получаемые знания для успешного трудоустройства. Структура профессиональных предпочтений демонстрирует доминирование традиционных сфер: педагогика (24,7%), IT-сфера (9,9%), экономика (9,4%). При этом в идеально-типических профессиональных ориентациях</w:t>
      </w:r>
      <w:r w:rsidRPr="007A14C2">
        <w:rPr>
          <w:rStyle w:val="af2"/>
          <w:rFonts w:ascii="Times New Roman" w:hAnsi="Times New Roman" w:cs="Times New Roman"/>
          <w:sz w:val="24"/>
          <w:szCs w:val="24"/>
        </w:rPr>
        <w:footnoteReference w:id="9"/>
      </w:r>
      <w:r w:rsidRPr="007A14C2">
        <w:rPr>
          <w:rFonts w:ascii="Times New Roman" w:hAnsi="Times New Roman" w:cs="Times New Roman"/>
          <w:sz w:val="24"/>
          <w:szCs w:val="24"/>
        </w:rPr>
        <w:t xml:space="preserve"> лидируют IT-специальности (10,6%) и педагогика (9,9%), что свидетельствует только о частичном совпадении реальных и желаемых профессиональных траекторий.</w:t>
      </w:r>
    </w:p>
    <w:p w14:paraId="47B31686" w14:textId="3386D74E" w:rsidR="00B81F15" w:rsidRPr="007A14C2" w:rsidRDefault="00B81F15" w:rsidP="007A14C2">
      <w:pPr>
        <w:spacing w:after="0" w:line="240" w:lineRule="auto"/>
        <w:ind w:firstLine="708"/>
        <w:jc w:val="both"/>
        <w:rPr>
          <w:rFonts w:ascii="Times New Roman" w:hAnsi="Times New Roman" w:cs="Times New Roman"/>
          <w:sz w:val="24"/>
          <w:szCs w:val="24"/>
        </w:rPr>
      </w:pPr>
      <w:r w:rsidRPr="007A14C2">
        <w:rPr>
          <w:rFonts w:ascii="Times New Roman" w:hAnsi="Times New Roman" w:cs="Times New Roman"/>
          <w:sz w:val="24"/>
          <w:szCs w:val="24"/>
        </w:rPr>
        <w:t xml:space="preserve">Качественный анализ биографических интервью выявляет конструктивное осознание территориальных ограничений как важнейшую характеристику </w:t>
      </w:r>
      <w:r w:rsidR="008779CD" w:rsidRPr="007A14C2">
        <w:rPr>
          <w:rFonts w:ascii="Times New Roman" w:hAnsi="Times New Roman" w:cs="Times New Roman"/>
          <w:sz w:val="24"/>
          <w:szCs w:val="24"/>
        </w:rPr>
        <w:t>субъективного благополучия</w:t>
      </w:r>
      <w:r w:rsidRPr="007A14C2">
        <w:rPr>
          <w:rFonts w:ascii="Times New Roman" w:hAnsi="Times New Roman" w:cs="Times New Roman"/>
          <w:sz w:val="24"/>
          <w:szCs w:val="24"/>
        </w:rPr>
        <w:t xml:space="preserve"> [</w:t>
      </w:r>
      <w:r w:rsidR="007A14C2" w:rsidRPr="007A14C2">
        <w:rPr>
          <w:rFonts w:ascii="Times New Roman" w:hAnsi="Times New Roman" w:cs="Times New Roman"/>
          <w:sz w:val="24"/>
          <w:szCs w:val="24"/>
        </w:rPr>
        <w:t>3</w:t>
      </w:r>
      <w:r w:rsidRPr="007A14C2">
        <w:rPr>
          <w:rFonts w:ascii="Times New Roman" w:hAnsi="Times New Roman" w:cs="Times New Roman"/>
          <w:sz w:val="24"/>
          <w:szCs w:val="24"/>
        </w:rPr>
        <w:t xml:space="preserve">]. Респонденты не воспринимают региональную принадлежность как препятствие для самореализации, а рассматривают её как ресурс для построения устойчивых жизненных стратегий. Это указывает на формирование территориально-профессиональной идентичности, где место жительства и профессиональная деятельность образуют устойчивую конфигурацию жизненного мира. При этом профессиональная идентичность современной студенческой молодёжи характеризуется высокой степенью адаптивности и готовностью к </w:t>
      </w:r>
      <w:r w:rsidR="008779CD" w:rsidRPr="007A14C2">
        <w:rPr>
          <w:rFonts w:ascii="Times New Roman" w:hAnsi="Times New Roman" w:cs="Times New Roman"/>
          <w:sz w:val="24"/>
          <w:szCs w:val="24"/>
        </w:rPr>
        <w:t>социальной</w:t>
      </w:r>
      <w:r w:rsidRPr="007A14C2">
        <w:rPr>
          <w:rFonts w:ascii="Times New Roman" w:hAnsi="Times New Roman" w:cs="Times New Roman"/>
          <w:sz w:val="24"/>
          <w:szCs w:val="24"/>
        </w:rPr>
        <w:t xml:space="preserve"> мобильности.</w:t>
      </w:r>
    </w:p>
    <w:p w14:paraId="3C73F0CA" w14:textId="01A36611" w:rsidR="00B81F15" w:rsidRPr="007A14C2" w:rsidRDefault="00B81F15" w:rsidP="007A14C2">
      <w:pPr>
        <w:spacing w:after="0" w:line="240" w:lineRule="auto"/>
        <w:ind w:firstLine="708"/>
        <w:jc w:val="both"/>
        <w:rPr>
          <w:rFonts w:ascii="Times New Roman" w:hAnsi="Times New Roman" w:cs="Times New Roman"/>
          <w:sz w:val="24"/>
          <w:szCs w:val="24"/>
        </w:rPr>
      </w:pPr>
      <w:r w:rsidRPr="007A14C2">
        <w:rPr>
          <w:rFonts w:ascii="Times New Roman" w:hAnsi="Times New Roman" w:cs="Times New Roman"/>
          <w:sz w:val="24"/>
          <w:szCs w:val="24"/>
        </w:rPr>
        <w:t xml:space="preserve">Цифровизация сфер образования и рынка труда могла бы помочь в преодолении территориальных и институциональных барьеров в социальной мобильности. Однако как показало исследование цифровизация образования </w:t>
      </w:r>
      <w:r w:rsidR="008779CD" w:rsidRPr="007A14C2">
        <w:rPr>
          <w:rFonts w:ascii="Times New Roman" w:hAnsi="Times New Roman" w:cs="Times New Roman"/>
          <w:sz w:val="24"/>
          <w:szCs w:val="24"/>
        </w:rPr>
        <w:t xml:space="preserve">и рынка труда </w:t>
      </w:r>
      <w:r w:rsidRPr="007A14C2">
        <w:rPr>
          <w:rFonts w:ascii="Times New Roman" w:hAnsi="Times New Roman" w:cs="Times New Roman"/>
          <w:sz w:val="24"/>
          <w:szCs w:val="24"/>
        </w:rPr>
        <w:t>не заменяет традиционные формы профессиональной социализации, а создаёт гибридную модель образовательного</w:t>
      </w:r>
      <w:r w:rsidR="008779CD" w:rsidRPr="007A14C2">
        <w:rPr>
          <w:rFonts w:ascii="Times New Roman" w:hAnsi="Times New Roman" w:cs="Times New Roman"/>
          <w:sz w:val="24"/>
          <w:szCs w:val="24"/>
        </w:rPr>
        <w:t>, профессионального</w:t>
      </w:r>
      <w:r w:rsidRPr="007A14C2">
        <w:rPr>
          <w:rFonts w:ascii="Times New Roman" w:hAnsi="Times New Roman" w:cs="Times New Roman"/>
          <w:sz w:val="24"/>
          <w:szCs w:val="24"/>
        </w:rPr>
        <w:t xml:space="preserve"> взаимодействия, где технологические и межличностные компоненты дополняют друг друга, формируя новые конфигурации образовательной идентичности [</w:t>
      </w:r>
      <w:r w:rsidR="007A14C2" w:rsidRPr="007A14C2">
        <w:rPr>
          <w:rFonts w:ascii="Times New Roman" w:hAnsi="Times New Roman" w:cs="Times New Roman"/>
          <w:sz w:val="24"/>
          <w:szCs w:val="24"/>
        </w:rPr>
        <w:t>4</w:t>
      </w:r>
      <w:r w:rsidRPr="007A14C2">
        <w:rPr>
          <w:rFonts w:ascii="Times New Roman" w:hAnsi="Times New Roman" w:cs="Times New Roman"/>
          <w:sz w:val="24"/>
          <w:szCs w:val="24"/>
        </w:rPr>
        <w:t>].</w:t>
      </w:r>
    </w:p>
    <w:p w14:paraId="46E9549E" w14:textId="0630A396" w:rsidR="00B81F15" w:rsidRPr="007A14C2" w:rsidRDefault="00B81F15" w:rsidP="007A14C2">
      <w:pPr>
        <w:spacing w:after="0" w:line="240" w:lineRule="auto"/>
        <w:ind w:firstLine="708"/>
        <w:jc w:val="both"/>
        <w:rPr>
          <w:rFonts w:ascii="Times New Roman" w:hAnsi="Times New Roman" w:cs="Times New Roman"/>
          <w:sz w:val="24"/>
          <w:szCs w:val="24"/>
        </w:rPr>
      </w:pPr>
      <w:r w:rsidRPr="007A14C2">
        <w:rPr>
          <w:rFonts w:ascii="Times New Roman" w:hAnsi="Times New Roman" w:cs="Times New Roman"/>
          <w:sz w:val="24"/>
          <w:szCs w:val="24"/>
        </w:rPr>
        <w:t xml:space="preserve">Проведённый анализ позволяет переосмыслить традиционные представления о связи образовательной стратификации, </w:t>
      </w:r>
      <w:r w:rsidR="008779CD" w:rsidRPr="007A14C2">
        <w:rPr>
          <w:rFonts w:ascii="Times New Roman" w:hAnsi="Times New Roman" w:cs="Times New Roman"/>
          <w:sz w:val="24"/>
          <w:szCs w:val="24"/>
        </w:rPr>
        <w:t>субъективного благополучия</w:t>
      </w:r>
      <w:r w:rsidRPr="007A14C2">
        <w:rPr>
          <w:rFonts w:ascii="Times New Roman" w:hAnsi="Times New Roman" w:cs="Times New Roman"/>
          <w:sz w:val="24"/>
          <w:szCs w:val="24"/>
        </w:rPr>
        <w:t xml:space="preserve"> и стратегий социального поведения молодёжи в сферах образования и рынка труда. В теоретическом плане синтез структурно-институционального и деятельностного подхода к анализу образовательной стратификации позволили сформулировать некоторые положения об адаптивной стратификации, которая позволяет объяснить, каким образом в условиях образовательной экспансии не только сохраняются, но и усложняются механизмы социального воспроизводства. Комбинация количественной и качественной стратегии исследования позволила выявить не только статистические закономерности, но и субъективные смыслы, которые акторы вкладывают в свои образовательные и профессиональные выборы. Вывод о доминировании локальной укоренённости как стратегии молодёжной идентичности в условиях глобализации образовательного пространства указывает на формирование альтернативных моделей социальной мобильности и социального успеха.</w:t>
      </w:r>
    </w:p>
    <w:p w14:paraId="3FDEA28D" w14:textId="77777777" w:rsidR="001B6B47" w:rsidRDefault="001B6B47" w:rsidP="007A14C2">
      <w:pPr>
        <w:spacing w:after="0" w:line="240" w:lineRule="auto"/>
        <w:jc w:val="both"/>
        <w:rPr>
          <w:rFonts w:ascii="Times New Roman" w:hAnsi="Times New Roman" w:cs="Times New Roman"/>
          <w:sz w:val="24"/>
          <w:szCs w:val="24"/>
        </w:rPr>
      </w:pPr>
    </w:p>
    <w:p w14:paraId="01E4E582" w14:textId="77777777" w:rsidR="007A14C2" w:rsidRDefault="007A14C2" w:rsidP="007A14C2">
      <w:pPr>
        <w:spacing w:after="0" w:line="240" w:lineRule="auto"/>
        <w:jc w:val="both"/>
        <w:rPr>
          <w:rFonts w:ascii="Times New Roman" w:hAnsi="Times New Roman" w:cs="Times New Roman"/>
          <w:sz w:val="24"/>
          <w:szCs w:val="24"/>
        </w:rPr>
      </w:pPr>
    </w:p>
    <w:p w14:paraId="130D7BB4" w14:textId="77777777" w:rsidR="007A14C2" w:rsidRPr="007A14C2" w:rsidRDefault="007A14C2" w:rsidP="007A14C2">
      <w:pPr>
        <w:spacing w:after="0" w:line="240" w:lineRule="auto"/>
        <w:jc w:val="both"/>
        <w:rPr>
          <w:rFonts w:ascii="Times New Roman" w:hAnsi="Times New Roman" w:cs="Times New Roman"/>
          <w:sz w:val="24"/>
          <w:szCs w:val="24"/>
        </w:rPr>
      </w:pPr>
    </w:p>
    <w:p w14:paraId="4B1E867A" w14:textId="10C515A1" w:rsidR="007A14C2" w:rsidRPr="007A14C2" w:rsidRDefault="007A14C2" w:rsidP="007A14C2">
      <w:pPr>
        <w:spacing w:after="0" w:line="240" w:lineRule="auto"/>
        <w:jc w:val="center"/>
        <w:rPr>
          <w:rFonts w:ascii="Times New Roman" w:hAnsi="Times New Roman" w:cs="Times New Roman"/>
          <w:b/>
          <w:bCs/>
          <w:sz w:val="24"/>
          <w:szCs w:val="24"/>
        </w:rPr>
      </w:pPr>
      <w:r w:rsidRPr="007A14C2">
        <w:rPr>
          <w:rFonts w:ascii="Times New Roman" w:hAnsi="Times New Roman" w:cs="Times New Roman"/>
          <w:b/>
          <w:bCs/>
          <w:sz w:val="24"/>
          <w:szCs w:val="24"/>
        </w:rPr>
        <w:lastRenderedPageBreak/>
        <w:t>Библиографический список</w:t>
      </w:r>
    </w:p>
    <w:p w14:paraId="263111BC" w14:textId="77777777" w:rsidR="007A14C2" w:rsidRPr="007A14C2" w:rsidRDefault="007A14C2" w:rsidP="007A14C2">
      <w:pPr>
        <w:pStyle w:val="a7"/>
        <w:numPr>
          <w:ilvl w:val="0"/>
          <w:numId w:val="2"/>
        </w:numPr>
        <w:spacing w:after="0" w:line="240" w:lineRule="auto"/>
        <w:jc w:val="both"/>
        <w:rPr>
          <w:rFonts w:ascii="Times New Roman" w:hAnsi="Times New Roman" w:cs="Times New Roman"/>
          <w:sz w:val="24"/>
          <w:szCs w:val="24"/>
        </w:rPr>
      </w:pPr>
      <w:r w:rsidRPr="007A14C2">
        <w:rPr>
          <w:rFonts w:ascii="Times New Roman" w:hAnsi="Times New Roman" w:cs="Times New Roman"/>
          <w:sz w:val="24"/>
          <w:szCs w:val="24"/>
        </w:rPr>
        <w:t>Дудин И. В., Тихонова Н. Е. Субъективное благополучие россиян через призму их идентичностей: состояние и факторы // Социологическая наука и социальная практика. 2024. Том. 12. № 3. С. 6-25. DOI: https://doi.org/10.19181/snsp.2024.12.3.1. EDN: VLHCHJ</w:t>
      </w:r>
    </w:p>
    <w:p w14:paraId="43821A09" w14:textId="77777777" w:rsidR="007A14C2" w:rsidRPr="007A14C2" w:rsidRDefault="007A14C2" w:rsidP="007A14C2">
      <w:pPr>
        <w:pStyle w:val="a7"/>
        <w:numPr>
          <w:ilvl w:val="0"/>
          <w:numId w:val="2"/>
        </w:numPr>
        <w:spacing w:after="0" w:line="240" w:lineRule="auto"/>
        <w:jc w:val="both"/>
        <w:rPr>
          <w:rFonts w:ascii="Times New Roman" w:hAnsi="Times New Roman" w:cs="Times New Roman"/>
          <w:sz w:val="24"/>
          <w:szCs w:val="24"/>
        </w:rPr>
      </w:pPr>
      <w:r w:rsidRPr="007A14C2">
        <w:rPr>
          <w:rFonts w:ascii="Times New Roman" w:hAnsi="Times New Roman" w:cs="Times New Roman"/>
          <w:sz w:val="24"/>
          <w:szCs w:val="24"/>
        </w:rPr>
        <w:t xml:space="preserve">Константиновский Д.Л., Попова Е.С. Образовательная стратификация в российских городах // Городские миры России и Китая: модернизация и ее влияние: [монография] / М. К. Горшков [и др.]; отв. ред. М. К. Горшков, Ли </w:t>
      </w:r>
      <w:proofErr w:type="spellStart"/>
      <w:r w:rsidRPr="007A14C2">
        <w:rPr>
          <w:rFonts w:ascii="Times New Roman" w:hAnsi="Times New Roman" w:cs="Times New Roman"/>
          <w:sz w:val="24"/>
          <w:szCs w:val="24"/>
        </w:rPr>
        <w:t>Пэйлинь</w:t>
      </w:r>
      <w:proofErr w:type="spellEnd"/>
      <w:r w:rsidRPr="007A14C2">
        <w:rPr>
          <w:rFonts w:ascii="Times New Roman" w:hAnsi="Times New Roman" w:cs="Times New Roman"/>
          <w:sz w:val="24"/>
          <w:szCs w:val="24"/>
        </w:rPr>
        <w:t>, П. М. Козырева, М. Ф. Черныш; ФНИСЦ РАН. – М.: Издательство Новый Хронограф, 2023. С. 294-332. DOI: 10.19181/monogr.978-5-89697-415-4.2023.</w:t>
      </w:r>
    </w:p>
    <w:p w14:paraId="712DA2B5" w14:textId="77777777" w:rsidR="007A14C2" w:rsidRPr="007A14C2" w:rsidRDefault="007A14C2" w:rsidP="007A14C2">
      <w:pPr>
        <w:pStyle w:val="a7"/>
        <w:numPr>
          <w:ilvl w:val="0"/>
          <w:numId w:val="2"/>
        </w:numPr>
        <w:spacing w:after="0" w:line="240" w:lineRule="auto"/>
        <w:jc w:val="both"/>
        <w:rPr>
          <w:rFonts w:ascii="Times New Roman" w:hAnsi="Times New Roman" w:cs="Times New Roman"/>
          <w:sz w:val="24"/>
          <w:szCs w:val="24"/>
        </w:rPr>
      </w:pPr>
      <w:r w:rsidRPr="007A14C2">
        <w:rPr>
          <w:rFonts w:ascii="Times New Roman" w:hAnsi="Times New Roman" w:cs="Times New Roman"/>
          <w:sz w:val="24"/>
          <w:szCs w:val="24"/>
        </w:rPr>
        <w:t>Константиновский Д.Л., Попова Е.С. От восприятия перемен – к изменению социального поведения // Мир России. 2022. № 31(1). С. 6–24. DOI: 10.17323/1811-038X-2022-31-1-6-24.</w:t>
      </w:r>
    </w:p>
    <w:p w14:paraId="7EC7F8FB" w14:textId="3E19AF63" w:rsidR="007A14C2" w:rsidRPr="007A14C2" w:rsidRDefault="007A14C2" w:rsidP="007A14C2">
      <w:pPr>
        <w:pStyle w:val="a7"/>
        <w:numPr>
          <w:ilvl w:val="0"/>
          <w:numId w:val="2"/>
        </w:numPr>
        <w:spacing w:after="0" w:line="240" w:lineRule="auto"/>
        <w:jc w:val="both"/>
        <w:rPr>
          <w:rFonts w:ascii="Times New Roman" w:hAnsi="Times New Roman" w:cs="Times New Roman"/>
          <w:sz w:val="24"/>
          <w:szCs w:val="24"/>
        </w:rPr>
      </w:pPr>
      <w:r w:rsidRPr="007A14C2">
        <w:rPr>
          <w:rFonts w:ascii="Times New Roman" w:hAnsi="Times New Roman" w:cs="Times New Roman"/>
          <w:sz w:val="24"/>
          <w:szCs w:val="24"/>
        </w:rPr>
        <w:t>Кузнецов Р.С., Кузнецов И.С. Социальный капитал студентов в цифровой образовательной среде: аудиторный и дистанционный форматы обучения // Социологическая наука и социальная практика. 2022. Том. 10. № 3. С. 45-62. DOI: https://doi.org/10.19181/snsp.2022.10.3.9196. EDN: HQBCUU</w:t>
      </w:r>
    </w:p>
    <w:p w14:paraId="58A79F81" w14:textId="77777777" w:rsidR="007A14C2" w:rsidRPr="007A14C2" w:rsidRDefault="007A14C2" w:rsidP="007A14C2">
      <w:pPr>
        <w:pStyle w:val="a7"/>
        <w:numPr>
          <w:ilvl w:val="0"/>
          <w:numId w:val="2"/>
        </w:numPr>
        <w:spacing w:after="0" w:line="240" w:lineRule="auto"/>
        <w:jc w:val="both"/>
        <w:rPr>
          <w:rFonts w:ascii="Times New Roman" w:hAnsi="Times New Roman" w:cs="Times New Roman"/>
          <w:sz w:val="24"/>
          <w:szCs w:val="24"/>
        </w:rPr>
      </w:pPr>
      <w:r w:rsidRPr="007A14C2">
        <w:rPr>
          <w:rFonts w:ascii="Times New Roman" w:hAnsi="Times New Roman" w:cs="Times New Roman"/>
          <w:sz w:val="24"/>
          <w:szCs w:val="24"/>
        </w:rPr>
        <w:t>Сушко П. Е. Специфика субъективного благополучия россиян из разных типов поселений // Вестник Института социологии. 2024. Том 15. № 4. C. 60-81.</w:t>
      </w:r>
      <w:r w:rsidRPr="007A14C2">
        <w:rPr>
          <w:rFonts w:ascii="Times New Roman" w:hAnsi="Times New Roman" w:cs="Times New Roman"/>
          <w:sz w:val="24"/>
          <w:szCs w:val="24"/>
        </w:rPr>
        <w:t xml:space="preserve"> </w:t>
      </w:r>
      <w:r w:rsidRPr="007A14C2">
        <w:rPr>
          <w:rFonts w:ascii="Times New Roman" w:hAnsi="Times New Roman" w:cs="Times New Roman"/>
          <w:sz w:val="24"/>
          <w:szCs w:val="24"/>
          <w:lang w:val="en-US"/>
        </w:rPr>
        <w:t>DOI</w:t>
      </w:r>
      <w:r w:rsidRPr="007A14C2">
        <w:rPr>
          <w:rFonts w:ascii="Times New Roman" w:hAnsi="Times New Roman" w:cs="Times New Roman"/>
          <w:sz w:val="24"/>
          <w:szCs w:val="24"/>
        </w:rPr>
        <w:t xml:space="preserve">: </w:t>
      </w:r>
      <w:r w:rsidRPr="007A14C2">
        <w:rPr>
          <w:rFonts w:ascii="Times New Roman" w:hAnsi="Times New Roman" w:cs="Times New Roman"/>
          <w:sz w:val="24"/>
          <w:szCs w:val="24"/>
          <w:lang w:val="en-US"/>
        </w:rPr>
        <w:t>https</w:t>
      </w:r>
      <w:r w:rsidRPr="007A14C2">
        <w:rPr>
          <w:rFonts w:ascii="Times New Roman" w:hAnsi="Times New Roman" w:cs="Times New Roman"/>
          <w:sz w:val="24"/>
          <w:szCs w:val="24"/>
        </w:rPr>
        <w:t>://</w:t>
      </w:r>
      <w:proofErr w:type="spellStart"/>
      <w:r w:rsidRPr="007A14C2">
        <w:rPr>
          <w:rFonts w:ascii="Times New Roman" w:hAnsi="Times New Roman" w:cs="Times New Roman"/>
          <w:sz w:val="24"/>
          <w:szCs w:val="24"/>
          <w:lang w:val="en-US"/>
        </w:rPr>
        <w:t>doi</w:t>
      </w:r>
      <w:proofErr w:type="spellEnd"/>
      <w:r w:rsidRPr="007A14C2">
        <w:rPr>
          <w:rFonts w:ascii="Times New Roman" w:hAnsi="Times New Roman" w:cs="Times New Roman"/>
          <w:sz w:val="24"/>
          <w:szCs w:val="24"/>
        </w:rPr>
        <w:t>.</w:t>
      </w:r>
      <w:r w:rsidRPr="007A14C2">
        <w:rPr>
          <w:rFonts w:ascii="Times New Roman" w:hAnsi="Times New Roman" w:cs="Times New Roman"/>
          <w:sz w:val="24"/>
          <w:szCs w:val="24"/>
          <w:lang w:val="en-US"/>
        </w:rPr>
        <w:t>org</w:t>
      </w:r>
      <w:r w:rsidRPr="007A14C2">
        <w:rPr>
          <w:rFonts w:ascii="Times New Roman" w:hAnsi="Times New Roman" w:cs="Times New Roman"/>
          <w:sz w:val="24"/>
          <w:szCs w:val="24"/>
        </w:rPr>
        <w:t>/10.19181/</w:t>
      </w:r>
      <w:r w:rsidRPr="007A14C2">
        <w:rPr>
          <w:rFonts w:ascii="Times New Roman" w:hAnsi="Times New Roman" w:cs="Times New Roman"/>
          <w:sz w:val="24"/>
          <w:szCs w:val="24"/>
          <w:lang w:val="en-US"/>
        </w:rPr>
        <w:t>vis</w:t>
      </w:r>
      <w:r w:rsidRPr="007A14C2">
        <w:rPr>
          <w:rFonts w:ascii="Times New Roman" w:hAnsi="Times New Roman" w:cs="Times New Roman"/>
          <w:sz w:val="24"/>
          <w:szCs w:val="24"/>
        </w:rPr>
        <w:t>.2024.15.4.4. EDN: UQWQVD</w:t>
      </w:r>
    </w:p>
    <w:p w14:paraId="319F0E7A" w14:textId="77777777" w:rsidR="007A14C2" w:rsidRPr="007A14C2" w:rsidRDefault="007A14C2" w:rsidP="007A14C2">
      <w:pPr>
        <w:pStyle w:val="a7"/>
        <w:numPr>
          <w:ilvl w:val="0"/>
          <w:numId w:val="2"/>
        </w:numPr>
        <w:spacing w:after="0" w:line="240" w:lineRule="auto"/>
        <w:jc w:val="both"/>
        <w:rPr>
          <w:rFonts w:ascii="Times New Roman" w:hAnsi="Times New Roman" w:cs="Times New Roman"/>
          <w:sz w:val="24"/>
          <w:szCs w:val="24"/>
        </w:rPr>
      </w:pPr>
      <w:r w:rsidRPr="007A14C2">
        <w:rPr>
          <w:rFonts w:ascii="Times New Roman" w:hAnsi="Times New Roman" w:cs="Times New Roman"/>
          <w:sz w:val="24"/>
          <w:szCs w:val="24"/>
        </w:rPr>
        <w:t>Сушко П.Е. Структура массовых слоев российского населения по уровню субъективного благополучия // Экономические и социальные перемены: факты, тенденции, прогноз. 2025. Т. 18. № 4. С. 143-163.</w:t>
      </w:r>
      <w:r w:rsidRPr="007A14C2">
        <w:rPr>
          <w:rFonts w:ascii="Times New Roman" w:hAnsi="Times New Roman" w:cs="Times New Roman"/>
          <w:sz w:val="24"/>
          <w:szCs w:val="24"/>
        </w:rPr>
        <w:t xml:space="preserve"> </w:t>
      </w:r>
      <w:r w:rsidRPr="007A14C2">
        <w:rPr>
          <w:rFonts w:ascii="Times New Roman" w:hAnsi="Times New Roman" w:cs="Times New Roman"/>
          <w:sz w:val="24"/>
          <w:szCs w:val="24"/>
        </w:rPr>
        <w:t>DOI: 10.15838/esc.2025.4.100.8</w:t>
      </w:r>
      <w:r w:rsidRPr="007A14C2">
        <w:rPr>
          <w:rFonts w:ascii="Times New Roman" w:hAnsi="Times New Roman" w:cs="Times New Roman"/>
          <w:sz w:val="24"/>
          <w:szCs w:val="24"/>
        </w:rPr>
        <w:t xml:space="preserve"> </w:t>
      </w:r>
      <w:r w:rsidRPr="007A14C2">
        <w:rPr>
          <w:rFonts w:ascii="Times New Roman" w:hAnsi="Times New Roman" w:cs="Times New Roman"/>
          <w:sz w:val="24"/>
          <w:szCs w:val="24"/>
        </w:rPr>
        <w:t>EDN: RPFWJE</w:t>
      </w:r>
      <w:r w:rsidRPr="007A14C2">
        <w:rPr>
          <w:rFonts w:ascii="Times New Roman" w:hAnsi="Times New Roman" w:cs="Times New Roman"/>
          <w:sz w:val="24"/>
          <w:szCs w:val="24"/>
        </w:rPr>
        <w:t>.</w:t>
      </w:r>
    </w:p>
    <w:p w14:paraId="7F51231C" w14:textId="77777777" w:rsidR="007A14C2" w:rsidRDefault="007A14C2" w:rsidP="007A14C2">
      <w:pPr>
        <w:spacing w:after="0" w:line="240" w:lineRule="auto"/>
        <w:jc w:val="both"/>
        <w:rPr>
          <w:rFonts w:ascii="Times New Roman" w:hAnsi="Times New Roman" w:cs="Times New Roman"/>
          <w:sz w:val="24"/>
          <w:szCs w:val="24"/>
        </w:rPr>
      </w:pPr>
    </w:p>
    <w:p w14:paraId="0C6FAF36" w14:textId="152D7393" w:rsidR="007A14C2" w:rsidRPr="007A14C2" w:rsidRDefault="007A14C2" w:rsidP="007A14C2">
      <w:pPr>
        <w:spacing w:after="0" w:line="240" w:lineRule="auto"/>
        <w:jc w:val="center"/>
        <w:rPr>
          <w:rFonts w:ascii="Times New Roman" w:hAnsi="Times New Roman" w:cs="Times New Roman"/>
          <w:b/>
          <w:bCs/>
          <w:sz w:val="24"/>
          <w:szCs w:val="24"/>
        </w:rPr>
      </w:pPr>
      <w:r w:rsidRPr="007A14C2">
        <w:rPr>
          <w:rFonts w:ascii="Times New Roman" w:hAnsi="Times New Roman" w:cs="Times New Roman"/>
          <w:b/>
          <w:bCs/>
          <w:sz w:val="24"/>
          <w:szCs w:val="24"/>
        </w:rPr>
        <w:t>Информация об авторе</w:t>
      </w:r>
    </w:p>
    <w:p w14:paraId="478C54C0" w14:textId="359A94BE" w:rsidR="007A14C2" w:rsidRDefault="007A14C2" w:rsidP="007A14C2">
      <w:p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rPr>
        <w:tab/>
        <w:t>Попова Екатерина Сергеевна (Москва, Россия) – кандидат социологических наук, ведущий научный сотрудник, ИС ФНИСЦ РАН (</w:t>
      </w:r>
      <w:r w:rsidRPr="007A14C2">
        <w:rPr>
          <w:rFonts w:ascii="Times New Roman" w:hAnsi="Times New Roman" w:cs="Times New Roman"/>
          <w:sz w:val="24"/>
          <w:szCs w:val="24"/>
        </w:rPr>
        <w:t>117218, Москва, ул. Кржижановского, д. 24/35, к. 5</w:t>
      </w:r>
      <w:r>
        <w:rPr>
          <w:rFonts w:ascii="Times New Roman" w:hAnsi="Times New Roman" w:cs="Times New Roman"/>
          <w:sz w:val="24"/>
          <w:szCs w:val="24"/>
        </w:rPr>
        <w:t xml:space="preserve">; </w:t>
      </w:r>
      <w:r>
        <w:rPr>
          <w:rFonts w:ascii="Times New Roman" w:hAnsi="Times New Roman" w:cs="Times New Roman"/>
          <w:sz w:val="24"/>
          <w:szCs w:val="24"/>
          <w:lang w:val="en-US"/>
        </w:rPr>
        <w:t xml:space="preserve">e-mail: </w:t>
      </w:r>
      <w:hyperlink r:id="rId8" w:history="1">
        <w:r w:rsidRPr="00335E48">
          <w:rPr>
            <w:rStyle w:val="af3"/>
            <w:rFonts w:ascii="Times New Roman" w:hAnsi="Times New Roman" w:cs="Times New Roman"/>
            <w:sz w:val="24"/>
            <w:szCs w:val="24"/>
            <w:lang w:val="en-US"/>
          </w:rPr>
          <w:t>espopova@isras.ru</w:t>
        </w:r>
      </w:hyperlink>
      <w:r>
        <w:rPr>
          <w:rFonts w:ascii="Times New Roman" w:hAnsi="Times New Roman" w:cs="Times New Roman"/>
          <w:sz w:val="24"/>
          <w:szCs w:val="24"/>
          <w:lang w:val="en-US"/>
        </w:rPr>
        <w:t>).</w:t>
      </w:r>
    </w:p>
    <w:p w14:paraId="093AD14B" w14:textId="77777777" w:rsidR="007A14C2" w:rsidRDefault="007A14C2" w:rsidP="007A14C2">
      <w:pPr>
        <w:spacing w:after="0" w:line="240" w:lineRule="auto"/>
        <w:jc w:val="both"/>
        <w:rPr>
          <w:rFonts w:ascii="Times New Roman" w:hAnsi="Times New Roman" w:cs="Times New Roman"/>
          <w:sz w:val="24"/>
          <w:szCs w:val="24"/>
          <w:lang w:val="en-US"/>
        </w:rPr>
      </w:pPr>
    </w:p>
    <w:p w14:paraId="7F77B9BE" w14:textId="68B6B139" w:rsidR="007A14C2" w:rsidRPr="007A14C2" w:rsidRDefault="007A14C2" w:rsidP="007A14C2">
      <w:pPr>
        <w:spacing w:after="0" w:line="240" w:lineRule="auto"/>
        <w:jc w:val="right"/>
        <w:rPr>
          <w:rFonts w:ascii="Times New Roman" w:hAnsi="Times New Roman" w:cs="Times New Roman"/>
          <w:b/>
          <w:bCs/>
          <w:sz w:val="24"/>
          <w:szCs w:val="24"/>
          <w:lang w:val="en-US"/>
        </w:rPr>
      </w:pPr>
      <w:r w:rsidRPr="007A14C2">
        <w:rPr>
          <w:rFonts w:ascii="Times New Roman" w:hAnsi="Times New Roman" w:cs="Times New Roman"/>
          <w:b/>
          <w:bCs/>
          <w:sz w:val="24"/>
          <w:szCs w:val="24"/>
          <w:lang w:val="en-US"/>
        </w:rPr>
        <w:t>Popova E.S.</w:t>
      </w:r>
    </w:p>
    <w:p w14:paraId="7D74F855" w14:textId="49F36A75" w:rsidR="00773881" w:rsidRPr="007A14C2" w:rsidRDefault="007A14C2" w:rsidP="007A14C2">
      <w:pPr>
        <w:spacing w:after="0" w:line="240" w:lineRule="auto"/>
        <w:jc w:val="center"/>
        <w:rPr>
          <w:rFonts w:ascii="Times New Roman" w:hAnsi="Times New Roman" w:cs="Times New Roman"/>
          <w:b/>
          <w:bCs/>
          <w:sz w:val="24"/>
          <w:szCs w:val="24"/>
          <w:lang w:val="en-US"/>
        </w:rPr>
      </w:pPr>
      <w:r w:rsidRPr="007A14C2">
        <w:rPr>
          <w:rFonts w:ascii="Times New Roman" w:hAnsi="Times New Roman" w:cs="Times New Roman"/>
          <w:b/>
          <w:bCs/>
          <w:sz w:val="24"/>
          <w:szCs w:val="24"/>
          <w:lang w:val="en-US"/>
        </w:rPr>
        <w:t>SUBJECTIVE WELL-BEING: SOCIAL MOBILITY AND LOCAL ROOTEDNESS IN EDUCATION AND LABOR MARKET</w:t>
      </w:r>
    </w:p>
    <w:p w14:paraId="308F1DBF" w14:textId="77777777" w:rsidR="00773881" w:rsidRPr="007A14C2" w:rsidRDefault="00773881" w:rsidP="007A14C2">
      <w:pPr>
        <w:spacing w:after="0" w:line="240" w:lineRule="auto"/>
        <w:jc w:val="both"/>
        <w:rPr>
          <w:rFonts w:ascii="Times New Roman" w:hAnsi="Times New Roman" w:cs="Times New Roman"/>
          <w:sz w:val="24"/>
          <w:szCs w:val="24"/>
          <w:lang w:val="en-US"/>
        </w:rPr>
      </w:pPr>
    </w:p>
    <w:p w14:paraId="74BFFA42" w14:textId="77777777" w:rsidR="00773881" w:rsidRPr="007A14C2" w:rsidRDefault="00773881" w:rsidP="007A14C2">
      <w:pPr>
        <w:spacing w:after="0" w:line="240" w:lineRule="auto"/>
        <w:ind w:firstLine="708"/>
        <w:jc w:val="both"/>
        <w:rPr>
          <w:rFonts w:ascii="Times New Roman" w:hAnsi="Times New Roman" w:cs="Times New Roman"/>
          <w:sz w:val="24"/>
          <w:szCs w:val="24"/>
          <w:lang w:val="en-US"/>
        </w:rPr>
      </w:pPr>
      <w:r w:rsidRPr="007A14C2">
        <w:rPr>
          <w:rFonts w:ascii="Times New Roman" w:hAnsi="Times New Roman" w:cs="Times New Roman"/>
          <w:b/>
          <w:bCs/>
          <w:sz w:val="24"/>
          <w:szCs w:val="24"/>
          <w:lang w:val="en-US"/>
        </w:rPr>
        <w:t>Abstract.</w:t>
      </w:r>
      <w:r w:rsidRPr="007A14C2">
        <w:rPr>
          <w:rFonts w:ascii="Times New Roman" w:hAnsi="Times New Roman" w:cs="Times New Roman"/>
          <w:sz w:val="24"/>
          <w:szCs w:val="24"/>
          <w:lang w:val="en-US"/>
        </w:rPr>
        <w:t xml:space="preserve"> The paper analyzes the impact of educational stratification on the subjective well-being of youth. It examines strategies of social mobility and local embeddedness in the domains of education and employment. It is established that educational stratification serves not only as a mechanism of inequality reproduction but also as a factor shaping specific types of subjective well-being.</w:t>
      </w:r>
    </w:p>
    <w:p w14:paraId="4843B367" w14:textId="19167266" w:rsidR="007A14C2" w:rsidRPr="007A14C2" w:rsidRDefault="007A14C2" w:rsidP="007A14C2">
      <w:pPr>
        <w:spacing w:after="0" w:line="240" w:lineRule="auto"/>
        <w:ind w:firstLine="708"/>
        <w:jc w:val="both"/>
        <w:rPr>
          <w:rFonts w:ascii="Times New Roman" w:hAnsi="Times New Roman" w:cs="Times New Roman"/>
          <w:sz w:val="24"/>
          <w:szCs w:val="24"/>
          <w:lang w:val="en-US"/>
        </w:rPr>
      </w:pPr>
      <w:r>
        <w:rPr>
          <w:rFonts w:ascii="Times New Roman" w:hAnsi="Times New Roman" w:cs="Times New Roman"/>
          <w:b/>
          <w:bCs/>
          <w:sz w:val="24"/>
          <w:szCs w:val="24"/>
          <w:lang w:val="en-US"/>
        </w:rPr>
        <w:t>Key</w:t>
      </w:r>
      <w:r w:rsidRPr="007A14C2">
        <w:rPr>
          <w:rFonts w:ascii="Times New Roman" w:hAnsi="Times New Roman" w:cs="Times New Roman"/>
          <w:b/>
          <w:bCs/>
          <w:sz w:val="24"/>
          <w:szCs w:val="24"/>
          <w:lang w:val="en-US"/>
        </w:rPr>
        <w:t xml:space="preserve"> </w:t>
      </w:r>
      <w:r>
        <w:rPr>
          <w:rFonts w:ascii="Times New Roman" w:hAnsi="Times New Roman" w:cs="Times New Roman"/>
          <w:b/>
          <w:bCs/>
          <w:sz w:val="24"/>
          <w:szCs w:val="24"/>
          <w:lang w:val="en-US"/>
        </w:rPr>
        <w:t>words</w:t>
      </w:r>
      <w:r w:rsidRPr="007A14C2">
        <w:rPr>
          <w:rFonts w:ascii="Times New Roman" w:hAnsi="Times New Roman" w:cs="Times New Roman"/>
          <w:b/>
          <w:bCs/>
          <w:sz w:val="24"/>
          <w:szCs w:val="24"/>
          <w:lang w:val="en-US"/>
        </w:rPr>
        <w:t>:</w:t>
      </w:r>
      <w:r w:rsidRPr="007A14C2">
        <w:rPr>
          <w:rFonts w:ascii="Times New Roman" w:hAnsi="Times New Roman" w:cs="Times New Roman"/>
          <w:sz w:val="24"/>
          <w:szCs w:val="24"/>
          <w:lang w:val="en-US"/>
        </w:rPr>
        <w:t xml:space="preserve"> </w:t>
      </w:r>
      <w:r>
        <w:rPr>
          <w:rFonts w:ascii="Times New Roman" w:hAnsi="Times New Roman" w:cs="Times New Roman"/>
          <w:sz w:val="24"/>
          <w:szCs w:val="24"/>
          <w:lang w:val="en-US"/>
        </w:rPr>
        <w:t>educational</w:t>
      </w:r>
      <w:r w:rsidRPr="007A14C2">
        <w:rPr>
          <w:rFonts w:ascii="Times New Roman" w:hAnsi="Times New Roman" w:cs="Times New Roman"/>
          <w:sz w:val="24"/>
          <w:szCs w:val="24"/>
          <w:lang w:val="en-US"/>
        </w:rPr>
        <w:t xml:space="preserve"> </w:t>
      </w:r>
      <w:r>
        <w:rPr>
          <w:rFonts w:ascii="Times New Roman" w:hAnsi="Times New Roman" w:cs="Times New Roman"/>
          <w:sz w:val="24"/>
          <w:szCs w:val="24"/>
          <w:lang w:val="en-US"/>
        </w:rPr>
        <w:t>stratification</w:t>
      </w:r>
      <w:r w:rsidRPr="007A14C2">
        <w:rPr>
          <w:rFonts w:ascii="Times New Roman" w:hAnsi="Times New Roman" w:cs="Times New Roman"/>
          <w:sz w:val="24"/>
          <w:szCs w:val="24"/>
          <w:lang w:val="en-US"/>
        </w:rPr>
        <w:t xml:space="preserve">, </w:t>
      </w:r>
      <w:r>
        <w:rPr>
          <w:rFonts w:ascii="Times New Roman" w:hAnsi="Times New Roman" w:cs="Times New Roman"/>
          <w:sz w:val="24"/>
          <w:szCs w:val="24"/>
          <w:lang w:val="en-US"/>
        </w:rPr>
        <w:t>social</w:t>
      </w:r>
      <w:r w:rsidRPr="007A14C2">
        <w:rPr>
          <w:rFonts w:ascii="Times New Roman" w:hAnsi="Times New Roman" w:cs="Times New Roman"/>
          <w:sz w:val="24"/>
          <w:szCs w:val="24"/>
          <w:lang w:val="en-US"/>
        </w:rPr>
        <w:t xml:space="preserve"> </w:t>
      </w:r>
      <w:r>
        <w:rPr>
          <w:rFonts w:ascii="Times New Roman" w:hAnsi="Times New Roman" w:cs="Times New Roman"/>
          <w:sz w:val="24"/>
          <w:szCs w:val="24"/>
          <w:lang w:val="en-US"/>
        </w:rPr>
        <w:t>mobility</w:t>
      </w:r>
      <w:r w:rsidRPr="007A14C2">
        <w:rPr>
          <w:rFonts w:ascii="Times New Roman" w:hAnsi="Times New Roman" w:cs="Times New Roman"/>
          <w:sz w:val="24"/>
          <w:szCs w:val="24"/>
          <w:lang w:val="en-US"/>
        </w:rPr>
        <w:t xml:space="preserve">, </w:t>
      </w:r>
      <w:r>
        <w:rPr>
          <w:rFonts w:ascii="Times New Roman" w:hAnsi="Times New Roman" w:cs="Times New Roman"/>
          <w:sz w:val="24"/>
          <w:szCs w:val="24"/>
          <w:lang w:val="en-US"/>
        </w:rPr>
        <w:t>inequality</w:t>
      </w:r>
      <w:r w:rsidRPr="007A14C2">
        <w:rPr>
          <w:rFonts w:ascii="Times New Roman" w:hAnsi="Times New Roman" w:cs="Times New Roman"/>
          <w:sz w:val="24"/>
          <w:szCs w:val="24"/>
          <w:lang w:val="en-US"/>
        </w:rPr>
        <w:t xml:space="preserve">, </w:t>
      </w:r>
      <w:r>
        <w:rPr>
          <w:rFonts w:ascii="Times New Roman" w:hAnsi="Times New Roman" w:cs="Times New Roman"/>
          <w:sz w:val="24"/>
          <w:szCs w:val="24"/>
          <w:lang w:val="en-US"/>
        </w:rPr>
        <w:t>education</w:t>
      </w:r>
      <w:r w:rsidRPr="007A14C2">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social behavior </w:t>
      </w:r>
    </w:p>
    <w:p w14:paraId="669E3D1F" w14:textId="77777777" w:rsidR="00773881" w:rsidRPr="007A14C2" w:rsidRDefault="00773881" w:rsidP="007A14C2">
      <w:pPr>
        <w:spacing w:after="0" w:line="240" w:lineRule="auto"/>
        <w:jc w:val="both"/>
        <w:rPr>
          <w:rFonts w:ascii="Times New Roman" w:hAnsi="Times New Roman" w:cs="Times New Roman"/>
          <w:sz w:val="24"/>
          <w:szCs w:val="24"/>
          <w:lang w:val="en-US"/>
        </w:rPr>
      </w:pPr>
    </w:p>
    <w:sectPr w:rsidR="00773881" w:rsidRPr="007A14C2">
      <w:footerReference w:type="default" r:id="rId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C12C97" w14:textId="77777777" w:rsidR="00A726C8" w:rsidRDefault="00A726C8" w:rsidP="00CF12D9">
      <w:pPr>
        <w:spacing w:after="0" w:line="240" w:lineRule="auto"/>
      </w:pPr>
      <w:r>
        <w:separator/>
      </w:r>
    </w:p>
  </w:endnote>
  <w:endnote w:type="continuationSeparator" w:id="0">
    <w:p w14:paraId="76604999" w14:textId="77777777" w:rsidR="00A726C8" w:rsidRDefault="00A726C8" w:rsidP="00CF12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33830676"/>
      <w:docPartObj>
        <w:docPartGallery w:val="Page Numbers (Bottom of Page)"/>
        <w:docPartUnique/>
      </w:docPartObj>
    </w:sdtPr>
    <w:sdtContent>
      <w:p w14:paraId="1101D063" w14:textId="6A8AE011" w:rsidR="00CF12D9" w:rsidRDefault="00CF12D9">
        <w:pPr>
          <w:pStyle w:val="ae"/>
          <w:jc w:val="right"/>
        </w:pPr>
        <w:r>
          <w:fldChar w:fldCharType="begin"/>
        </w:r>
        <w:r>
          <w:instrText>PAGE   \* MERGEFORMAT</w:instrText>
        </w:r>
        <w:r>
          <w:fldChar w:fldCharType="separate"/>
        </w:r>
        <w:r>
          <w:t>2</w:t>
        </w:r>
        <w:r>
          <w:fldChar w:fldCharType="end"/>
        </w:r>
      </w:p>
    </w:sdtContent>
  </w:sdt>
  <w:p w14:paraId="581F2FF6" w14:textId="77777777" w:rsidR="00CF12D9" w:rsidRDefault="00CF12D9">
    <w:pPr>
      <w:pStyle w:val="a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807D84" w14:textId="77777777" w:rsidR="00A726C8" w:rsidRDefault="00A726C8" w:rsidP="00CF12D9">
      <w:pPr>
        <w:spacing w:after="0" w:line="240" w:lineRule="auto"/>
      </w:pPr>
      <w:r>
        <w:separator/>
      </w:r>
    </w:p>
  </w:footnote>
  <w:footnote w:type="continuationSeparator" w:id="0">
    <w:p w14:paraId="28D5706F" w14:textId="77777777" w:rsidR="00A726C8" w:rsidRDefault="00A726C8" w:rsidP="00CF12D9">
      <w:pPr>
        <w:spacing w:after="0" w:line="240" w:lineRule="auto"/>
      </w:pPr>
      <w:r>
        <w:continuationSeparator/>
      </w:r>
    </w:p>
  </w:footnote>
  <w:footnote w:id="1">
    <w:p w14:paraId="00600612" w14:textId="77777777" w:rsidR="00B81F15" w:rsidRPr="00074344" w:rsidRDefault="00B81F15" w:rsidP="00B81F15">
      <w:pPr>
        <w:pStyle w:val="af0"/>
        <w:jc w:val="both"/>
        <w:rPr>
          <w:rFonts w:ascii="Times New Roman" w:hAnsi="Times New Roman" w:cs="Times New Roman"/>
        </w:rPr>
      </w:pPr>
      <w:r w:rsidRPr="0018248D">
        <w:rPr>
          <w:rStyle w:val="af2"/>
          <w:rFonts w:ascii="Times New Roman" w:hAnsi="Times New Roman" w:cs="Times New Roman"/>
        </w:rPr>
        <w:footnoteRef/>
      </w:r>
      <w:r w:rsidRPr="0018248D">
        <w:rPr>
          <w:rFonts w:ascii="Times New Roman" w:hAnsi="Times New Roman" w:cs="Times New Roman"/>
        </w:rPr>
        <w:t xml:space="preserve"> </w:t>
      </w:r>
      <w:r w:rsidRPr="00074344">
        <w:rPr>
          <w:rFonts w:ascii="Times New Roman" w:hAnsi="Times New Roman" w:cs="Times New Roman"/>
        </w:rPr>
        <w:t>Для нашего исследования в материалах мониторинга из репрезентативной выборки по индивидам были отобраны респонденты в возрасте от 17 до 35 лет включительно. Этот диапазон выбран для того, чтобы охватить молодёжь от возраста, когда она выходит из сферы общего образования, до такого, когда может вполне осознавать свой человеческий капитал и своё положение в сфере труда.</w:t>
      </w:r>
    </w:p>
  </w:footnote>
  <w:footnote w:id="2">
    <w:p w14:paraId="7ED59DC1" w14:textId="77777777" w:rsidR="00B81F15" w:rsidRPr="0018248D" w:rsidRDefault="00B81F15" w:rsidP="00B81F15">
      <w:pPr>
        <w:pStyle w:val="af0"/>
        <w:jc w:val="both"/>
        <w:rPr>
          <w:rFonts w:ascii="Times New Roman" w:hAnsi="Times New Roman" w:cs="Times New Roman"/>
        </w:rPr>
      </w:pPr>
      <w:r w:rsidRPr="00074344">
        <w:rPr>
          <w:rStyle w:val="af2"/>
          <w:rFonts w:ascii="Times New Roman" w:hAnsi="Times New Roman" w:cs="Times New Roman"/>
        </w:rPr>
        <w:footnoteRef/>
      </w:r>
      <w:r w:rsidRPr="00074344">
        <w:rPr>
          <w:rFonts w:ascii="Times New Roman" w:hAnsi="Times New Roman" w:cs="Times New Roman"/>
        </w:rPr>
        <w:t xml:space="preserve"> Помимо имеющейся переменной «Тип поселения» введена дополнительная</w:t>
      </w:r>
      <w:r>
        <w:rPr>
          <w:rFonts w:ascii="Times New Roman" w:hAnsi="Times New Roman" w:cs="Times New Roman"/>
        </w:rPr>
        <w:t xml:space="preserve"> переменная «Уровень урбанизации» с кодировкой: от 5 млн. чел.; от 1 до 5 млн. чел.; от 500 тыс. до 1 млн. чел.; от 100 тыс. до 500 тыс. чел.; от 10 тыс. до 100 тыс. чел.; ПГТ/сёла/деревни.</w:t>
      </w:r>
    </w:p>
  </w:footnote>
  <w:footnote w:id="3">
    <w:p w14:paraId="6411DE50" w14:textId="77777777" w:rsidR="00B81F15" w:rsidRPr="005F1098" w:rsidRDefault="00B81F15" w:rsidP="00B81F15">
      <w:pPr>
        <w:pStyle w:val="af0"/>
        <w:jc w:val="both"/>
        <w:rPr>
          <w:rFonts w:ascii="Times New Roman" w:hAnsi="Times New Roman" w:cs="Times New Roman"/>
        </w:rPr>
      </w:pPr>
      <w:r w:rsidRPr="005F1098">
        <w:rPr>
          <w:rStyle w:val="af2"/>
          <w:rFonts w:ascii="Times New Roman" w:hAnsi="Times New Roman" w:cs="Times New Roman"/>
        </w:rPr>
        <w:footnoteRef/>
      </w:r>
      <w:r w:rsidRPr="005F1098">
        <w:rPr>
          <w:rFonts w:ascii="Times New Roman" w:hAnsi="Times New Roman" w:cs="Times New Roman"/>
        </w:rPr>
        <w:t xml:space="preserve"> «Российский мониторинг экономического положения и здоровья населения НИУ ВШЭ (RLMS HSE)», проводимый Национальным исследовательским университетом «Высшая школа экономики» и ООО «Демоскоп» при участии Центра народонаселения Университета Северной Каролины в Чапел Хилле и Института социологии Федерального научно-исследовательского социологического центра РАН. (Сайты обследования RLMS HSE: http://www.hse.ru/rlms и https://rlms-hse.cpc.unc.edu)». В анализе нами используются материалы 9, 14, 19, 24, 29 волн, годы исследования – 2000, 2005, 2010, 2010, 2020 соответственно.</w:t>
      </w:r>
    </w:p>
  </w:footnote>
  <w:footnote w:id="4">
    <w:p w14:paraId="708E447F" w14:textId="45793CEC" w:rsidR="00A24A13" w:rsidRPr="00A24A13" w:rsidRDefault="00A24A13">
      <w:pPr>
        <w:pStyle w:val="af0"/>
        <w:rPr>
          <w:rFonts w:ascii="Times New Roman" w:hAnsi="Times New Roman" w:cs="Times New Roman"/>
        </w:rPr>
      </w:pPr>
      <w:r w:rsidRPr="00A24A13">
        <w:rPr>
          <w:rStyle w:val="af2"/>
          <w:rFonts w:ascii="Times New Roman" w:hAnsi="Times New Roman" w:cs="Times New Roman"/>
        </w:rPr>
        <w:footnoteRef/>
      </w:r>
      <w:r w:rsidRPr="00A24A13">
        <w:rPr>
          <w:rFonts w:ascii="Times New Roman" w:hAnsi="Times New Roman" w:cs="Times New Roman"/>
        </w:rPr>
        <w:t xml:space="preserve"> </w:t>
      </w:r>
      <w:r w:rsidRPr="00A24A13">
        <w:rPr>
          <w:rFonts w:ascii="Times New Roman" w:hAnsi="Times New Roman" w:cs="Times New Roman"/>
        </w:rPr>
        <w:t>Индикаторы образования. 2025 г. / Национальный исследовательский университет «Высшая школа экономики». М.: НИУ ВШЭ, 2025.</w:t>
      </w:r>
      <w:r w:rsidRPr="00A24A13">
        <w:rPr>
          <w:rFonts w:ascii="Times New Roman" w:hAnsi="Times New Roman" w:cs="Times New Roman"/>
        </w:rPr>
        <w:t xml:space="preserve"> С. 240, 248.</w:t>
      </w:r>
    </w:p>
  </w:footnote>
  <w:footnote w:id="5">
    <w:p w14:paraId="1C8A8C30" w14:textId="77777777" w:rsidR="00B81F15" w:rsidRPr="005F1098" w:rsidRDefault="00B81F15" w:rsidP="00B81F15">
      <w:pPr>
        <w:pStyle w:val="af0"/>
        <w:jc w:val="both"/>
        <w:rPr>
          <w:rFonts w:ascii="Times New Roman" w:hAnsi="Times New Roman" w:cs="Times New Roman"/>
        </w:rPr>
      </w:pPr>
      <w:r w:rsidRPr="005F1098">
        <w:rPr>
          <w:rStyle w:val="af2"/>
          <w:rFonts w:ascii="Times New Roman" w:hAnsi="Times New Roman" w:cs="Times New Roman"/>
        </w:rPr>
        <w:footnoteRef/>
      </w:r>
      <w:r w:rsidRPr="005F1098">
        <w:rPr>
          <w:rFonts w:ascii="Times New Roman" w:hAnsi="Times New Roman" w:cs="Times New Roman"/>
        </w:rPr>
        <w:t xml:space="preserve"> </w:t>
      </w:r>
      <w:r w:rsidRPr="00CB274A">
        <w:rPr>
          <w:rFonts w:ascii="Times New Roman" w:hAnsi="Times New Roman" w:cs="Times New Roman"/>
        </w:rPr>
        <w:t>«Образование, рынок труда и социальное поведение молодежи в современной экономической ситуации», проект РНФ</w:t>
      </w:r>
      <w:r>
        <w:rPr>
          <w:rFonts w:ascii="Times New Roman" w:hAnsi="Times New Roman" w:cs="Times New Roman"/>
        </w:rPr>
        <w:t xml:space="preserve">. </w:t>
      </w:r>
      <w:r w:rsidRPr="00CB274A">
        <w:rPr>
          <w:rFonts w:ascii="Times New Roman" w:hAnsi="Times New Roman" w:cs="Times New Roman"/>
        </w:rPr>
        <w:t>Поле: 16 сентября – 3 октября 2014 г. Выборка ступенчатая комбинированная</w:t>
      </w:r>
      <w:r>
        <w:rPr>
          <w:rFonts w:ascii="Times New Roman" w:hAnsi="Times New Roman" w:cs="Times New Roman"/>
        </w:rPr>
        <w:t xml:space="preserve">. </w:t>
      </w:r>
      <w:r w:rsidRPr="00CB274A">
        <w:rPr>
          <w:rFonts w:ascii="Times New Roman" w:hAnsi="Times New Roman" w:cs="Times New Roman"/>
        </w:rPr>
        <w:t>7 федеральных округов, 9 городов</w:t>
      </w:r>
      <w:r>
        <w:rPr>
          <w:rFonts w:ascii="Times New Roman" w:hAnsi="Times New Roman" w:cs="Times New Roman"/>
        </w:rPr>
        <w:t xml:space="preserve">. </w:t>
      </w:r>
      <w:r w:rsidRPr="00CB274A">
        <w:rPr>
          <w:rFonts w:ascii="Times New Roman" w:hAnsi="Times New Roman" w:cs="Times New Roman"/>
        </w:rPr>
        <w:t>N = 2</w:t>
      </w:r>
      <w:r>
        <w:rPr>
          <w:rFonts w:ascii="Times New Roman" w:hAnsi="Times New Roman" w:cs="Times New Roman"/>
        </w:rPr>
        <w:t> </w:t>
      </w:r>
      <w:r w:rsidRPr="00CB274A">
        <w:rPr>
          <w:rFonts w:ascii="Times New Roman" w:hAnsi="Times New Roman" w:cs="Times New Roman"/>
        </w:rPr>
        <w:t>800</w:t>
      </w:r>
      <w:r>
        <w:rPr>
          <w:rFonts w:ascii="Times New Roman" w:hAnsi="Times New Roman" w:cs="Times New Roman"/>
        </w:rPr>
        <w:t xml:space="preserve">; </w:t>
      </w:r>
      <w:r w:rsidRPr="00627082">
        <w:rPr>
          <w:rFonts w:ascii="Times New Roman" w:hAnsi="Times New Roman" w:cs="Times New Roman"/>
        </w:rPr>
        <w:t>«Горизонтальная профессиональная мобильность</w:t>
      </w:r>
      <w:r>
        <w:rPr>
          <w:rFonts w:ascii="Times New Roman" w:hAnsi="Times New Roman" w:cs="Times New Roman"/>
        </w:rPr>
        <w:t xml:space="preserve"> </w:t>
      </w:r>
      <w:r w:rsidRPr="00627082">
        <w:rPr>
          <w:rFonts w:ascii="Times New Roman" w:hAnsi="Times New Roman" w:cs="Times New Roman"/>
        </w:rPr>
        <w:t>и образовательные стратегии населения в контексте технологического развития РФ (социологический анализ)», проект РНФ</w:t>
      </w:r>
      <w:r>
        <w:rPr>
          <w:rFonts w:ascii="Times New Roman" w:hAnsi="Times New Roman" w:cs="Times New Roman"/>
        </w:rPr>
        <w:t xml:space="preserve">. </w:t>
      </w:r>
      <w:r w:rsidRPr="00627082">
        <w:rPr>
          <w:rFonts w:ascii="Times New Roman" w:hAnsi="Times New Roman" w:cs="Times New Roman"/>
        </w:rPr>
        <w:t>Поле: октябрь – ноябрь 2018 г.</w:t>
      </w:r>
      <w:r>
        <w:rPr>
          <w:rFonts w:ascii="Times New Roman" w:hAnsi="Times New Roman" w:cs="Times New Roman"/>
        </w:rPr>
        <w:t xml:space="preserve"> Качественная стратегия исследования. </w:t>
      </w:r>
      <w:r w:rsidRPr="00627082">
        <w:rPr>
          <w:rFonts w:ascii="Times New Roman" w:hAnsi="Times New Roman" w:cs="Times New Roman"/>
        </w:rPr>
        <w:t>Выборка целевая, метод снежного кома</w:t>
      </w:r>
      <w:r>
        <w:rPr>
          <w:rFonts w:ascii="Times New Roman" w:hAnsi="Times New Roman" w:cs="Times New Roman"/>
        </w:rPr>
        <w:t xml:space="preserve">. </w:t>
      </w:r>
      <w:r w:rsidRPr="00627082">
        <w:rPr>
          <w:rFonts w:ascii="Times New Roman" w:hAnsi="Times New Roman" w:cs="Times New Roman"/>
        </w:rPr>
        <w:t>Москва, Московская область, Республика Татарстан, Красноярский край</w:t>
      </w:r>
      <w:r>
        <w:rPr>
          <w:rFonts w:ascii="Times New Roman" w:hAnsi="Times New Roman" w:cs="Times New Roman"/>
        </w:rPr>
        <w:t xml:space="preserve">. </w:t>
      </w:r>
      <w:r w:rsidRPr="00627082">
        <w:rPr>
          <w:rFonts w:ascii="Times New Roman" w:hAnsi="Times New Roman" w:cs="Times New Roman"/>
        </w:rPr>
        <w:t>N = 56</w:t>
      </w:r>
      <w:r>
        <w:rPr>
          <w:rFonts w:ascii="Times New Roman" w:hAnsi="Times New Roman" w:cs="Times New Roman"/>
        </w:rPr>
        <w:t>;</w:t>
      </w:r>
      <w:r w:rsidRPr="00627082">
        <w:rPr>
          <w:rFonts w:ascii="Times New Roman" w:hAnsi="Times New Roman" w:cs="Times New Roman"/>
        </w:rPr>
        <w:t xml:space="preserve"> </w:t>
      </w:r>
      <w:r w:rsidRPr="005F1098">
        <w:rPr>
          <w:rFonts w:ascii="Times New Roman" w:hAnsi="Times New Roman" w:cs="Times New Roman"/>
        </w:rPr>
        <w:t>«Образовательные и профессиональные траектории российской молодежи в условиях меняющейся реальности», НИР</w:t>
      </w:r>
      <w:r>
        <w:rPr>
          <w:rFonts w:ascii="Times New Roman" w:hAnsi="Times New Roman" w:cs="Times New Roman"/>
        </w:rPr>
        <w:t xml:space="preserve">. </w:t>
      </w:r>
      <w:r w:rsidRPr="005F1098">
        <w:rPr>
          <w:rFonts w:ascii="Times New Roman" w:hAnsi="Times New Roman" w:cs="Times New Roman"/>
        </w:rPr>
        <w:t>Поле: 18 марта 2022 – 02 мая 2022 г.</w:t>
      </w:r>
      <w:r>
        <w:rPr>
          <w:rFonts w:ascii="Times New Roman" w:hAnsi="Times New Roman" w:cs="Times New Roman"/>
        </w:rPr>
        <w:t xml:space="preserve"> </w:t>
      </w:r>
      <w:r w:rsidRPr="005F1098">
        <w:rPr>
          <w:rFonts w:ascii="Times New Roman" w:hAnsi="Times New Roman" w:cs="Times New Roman"/>
        </w:rPr>
        <w:t>Выборка поточная, онлайн исследование</w:t>
      </w:r>
      <w:r>
        <w:rPr>
          <w:rFonts w:ascii="Times New Roman" w:hAnsi="Times New Roman" w:cs="Times New Roman"/>
        </w:rPr>
        <w:t xml:space="preserve">. </w:t>
      </w:r>
      <w:r w:rsidRPr="005F1098">
        <w:rPr>
          <w:rFonts w:ascii="Times New Roman" w:hAnsi="Times New Roman" w:cs="Times New Roman"/>
        </w:rPr>
        <w:t>8 федеральных округов, 26 городов</w:t>
      </w:r>
      <w:r>
        <w:rPr>
          <w:rFonts w:ascii="Times New Roman" w:hAnsi="Times New Roman" w:cs="Times New Roman"/>
        </w:rPr>
        <w:t xml:space="preserve">. </w:t>
      </w:r>
      <w:r w:rsidRPr="005F1098">
        <w:rPr>
          <w:rFonts w:ascii="Times New Roman" w:hAnsi="Times New Roman" w:cs="Times New Roman"/>
        </w:rPr>
        <w:t>N = 2</w:t>
      </w:r>
      <w:r>
        <w:rPr>
          <w:rFonts w:ascii="Times New Roman" w:hAnsi="Times New Roman" w:cs="Times New Roman"/>
        </w:rPr>
        <w:t> </w:t>
      </w:r>
      <w:r w:rsidRPr="005F1098">
        <w:rPr>
          <w:rFonts w:ascii="Times New Roman" w:hAnsi="Times New Roman" w:cs="Times New Roman"/>
        </w:rPr>
        <w:t>244</w:t>
      </w:r>
      <w:r>
        <w:rPr>
          <w:rFonts w:ascii="Times New Roman" w:hAnsi="Times New Roman" w:cs="Times New Roman"/>
        </w:rPr>
        <w:t>.</w:t>
      </w:r>
    </w:p>
  </w:footnote>
  <w:footnote w:id="6">
    <w:p w14:paraId="0A30E136" w14:textId="77777777" w:rsidR="00B81F15" w:rsidRPr="0025346A" w:rsidRDefault="00B81F15" w:rsidP="00B81F15">
      <w:pPr>
        <w:pStyle w:val="af0"/>
        <w:rPr>
          <w:rFonts w:ascii="Times New Roman" w:hAnsi="Times New Roman" w:cs="Times New Roman"/>
        </w:rPr>
      </w:pPr>
      <w:r w:rsidRPr="0025346A">
        <w:rPr>
          <w:rStyle w:val="af2"/>
          <w:rFonts w:ascii="Times New Roman" w:hAnsi="Times New Roman" w:cs="Times New Roman"/>
        </w:rPr>
        <w:footnoteRef/>
      </w:r>
      <w:r w:rsidRPr="0025346A">
        <w:rPr>
          <w:rFonts w:ascii="Times New Roman" w:hAnsi="Times New Roman" w:cs="Times New Roman"/>
        </w:rPr>
        <w:t xml:space="preserve"> Что может быть отчасти обусловлено методом проведения опроса</w:t>
      </w:r>
      <w:r>
        <w:rPr>
          <w:rFonts w:ascii="Times New Roman" w:hAnsi="Times New Roman" w:cs="Times New Roman"/>
        </w:rPr>
        <w:t xml:space="preserve"> 2022 г</w:t>
      </w:r>
      <w:r w:rsidRPr="0025346A">
        <w:rPr>
          <w:rFonts w:ascii="Times New Roman" w:hAnsi="Times New Roman" w:cs="Times New Roman"/>
        </w:rPr>
        <w:t>.</w:t>
      </w:r>
    </w:p>
  </w:footnote>
  <w:footnote w:id="7">
    <w:p w14:paraId="103C8AF2" w14:textId="77777777" w:rsidR="00B81F15" w:rsidRPr="00B17ADF" w:rsidRDefault="00B81F15" w:rsidP="00B81F15">
      <w:pPr>
        <w:pStyle w:val="af0"/>
        <w:rPr>
          <w:rFonts w:ascii="Times New Roman" w:hAnsi="Times New Roman" w:cs="Times New Roman"/>
        </w:rPr>
      </w:pPr>
      <w:r w:rsidRPr="00B17ADF">
        <w:rPr>
          <w:rStyle w:val="af2"/>
          <w:rFonts w:ascii="Times New Roman" w:hAnsi="Times New Roman" w:cs="Times New Roman"/>
        </w:rPr>
        <w:footnoteRef/>
      </w:r>
      <w:r w:rsidRPr="00B17ADF">
        <w:rPr>
          <w:rFonts w:ascii="Times New Roman" w:hAnsi="Times New Roman" w:cs="Times New Roman"/>
        </w:rPr>
        <w:t xml:space="preserve"> Обучающиеся на программах по подготовке специалистов среднего звена.</w:t>
      </w:r>
    </w:p>
  </w:footnote>
  <w:footnote w:id="8">
    <w:p w14:paraId="7DAB0D79" w14:textId="77777777" w:rsidR="00B81F15" w:rsidRDefault="00B81F15" w:rsidP="00B81F15">
      <w:pPr>
        <w:pStyle w:val="af0"/>
      </w:pPr>
      <w:r w:rsidRPr="00B17ADF">
        <w:rPr>
          <w:rStyle w:val="af2"/>
          <w:rFonts w:ascii="Times New Roman" w:hAnsi="Times New Roman" w:cs="Times New Roman"/>
        </w:rPr>
        <w:footnoteRef/>
      </w:r>
      <w:r w:rsidRPr="00B17ADF">
        <w:rPr>
          <w:rFonts w:ascii="Times New Roman" w:hAnsi="Times New Roman" w:cs="Times New Roman"/>
        </w:rPr>
        <w:t xml:space="preserve"> Учащиеся в организациях высшего образования.</w:t>
      </w:r>
    </w:p>
  </w:footnote>
  <w:footnote w:id="9">
    <w:p w14:paraId="2630D791" w14:textId="77777777" w:rsidR="00B81F15" w:rsidRPr="00D16B58" w:rsidRDefault="00B81F15" w:rsidP="00B81F15">
      <w:pPr>
        <w:pStyle w:val="af0"/>
        <w:jc w:val="both"/>
        <w:rPr>
          <w:rFonts w:ascii="Times New Roman" w:hAnsi="Times New Roman" w:cs="Times New Roman"/>
        </w:rPr>
      </w:pPr>
      <w:r w:rsidRPr="00D16B58">
        <w:rPr>
          <w:rStyle w:val="af2"/>
          <w:rFonts w:ascii="Times New Roman" w:hAnsi="Times New Roman" w:cs="Times New Roman"/>
        </w:rPr>
        <w:footnoteRef/>
      </w:r>
      <w:r w:rsidRPr="00D16B58">
        <w:rPr>
          <w:rFonts w:ascii="Times New Roman" w:hAnsi="Times New Roman" w:cs="Times New Roman"/>
        </w:rPr>
        <w:t xml:space="preserve"> В исследовании задавался вопрос, какую профессию выбрали бы молодые люди, если бы у них была возможность сделать этот выбор снова</w:t>
      </w:r>
      <w:r>
        <w:rPr>
          <w:rFonts w:ascii="Times New Roman" w:hAnsi="Times New Roman" w:cs="Times New Roman"/>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CC4987"/>
    <w:multiLevelType w:val="hybridMultilevel"/>
    <w:tmpl w:val="D17E7EEA"/>
    <w:lvl w:ilvl="0" w:tplc="DE866D0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 w15:restartNumberingAfterBreak="0">
    <w:nsid w:val="54772043"/>
    <w:multiLevelType w:val="hybridMultilevel"/>
    <w:tmpl w:val="C1BCC41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992224591">
    <w:abstractNumId w:val="0"/>
  </w:num>
  <w:num w:numId="2" w16cid:durableId="43879216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1FFE"/>
    <w:rsid w:val="0011110C"/>
    <w:rsid w:val="00195B85"/>
    <w:rsid w:val="001B2CD1"/>
    <w:rsid w:val="001B6B47"/>
    <w:rsid w:val="001D0877"/>
    <w:rsid w:val="001F5640"/>
    <w:rsid w:val="002B7B29"/>
    <w:rsid w:val="00455FBC"/>
    <w:rsid w:val="004B5126"/>
    <w:rsid w:val="004F0F9A"/>
    <w:rsid w:val="00577419"/>
    <w:rsid w:val="00723C8E"/>
    <w:rsid w:val="00773881"/>
    <w:rsid w:val="007A14C2"/>
    <w:rsid w:val="008779CD"/>
    <w:rsid w:val="00963EE8"/>
    <w:rsid w:val="009A50D2"/>
    <w:rsid w:val="009C497B"/>
    <w:rsid w:val="009C5415"/>
    <w:rsid w:val="00A24A13"/>
    <w:rsid w:val="00A726C8"/>
    <w:rsid w:val="00AC3BAB"/>
    <w:rsid w:val="00AE34E0"/>
    <w:rsid w:val="00B81F15"/>
    <w:rsid w:val="00CF12D9"/>
    <w:rsid w:val="00DB085E"/>
    <w:rsid w:val="00E81FF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B0841D"/>
  <w15:chartTrackingRefBased/>
  <w15:docId w15:val="{F40B8ECC-8A2A-446B-BEAF-C286C8ADA1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A14C2"/>
  </w:style>
  <w:style w:type="paragraph" w:styleId="1">
    <w:name w:val="heading 1"/>
    <w:basedOn w:val="a"/>
    <w:next w:val="a"/>
    <w:link w:val="10"/>
    <w:uiPriority w:val="9"/>
    <w:qFormat/>
    <w:rsid w:val="00E81FFE"/>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E81FFE"/>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E81FFE"/>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E81FFE"/>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E81FFE"/>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E81FFE"/>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E81FFE"/>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E81FFE"/>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E81FFE"/>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81FFE"/>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E81FFE"/>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E81FFE"/>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E81FFE"/>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E81FFE"/>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E81FFE"/>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E81FFE"/>
    <w:rPr>
      <w:rFonts w:eastAsiaTheme="majorEastAsia" w:cstheme="majorBidi"/>
      <w:color w:val="595959" w:themeColor="text1" w:themeTint="A6"/>
    </w:rPr>
  </w:style>
  <w:style w:type="character" w:customStyle="1" w:styleId="80">
    <w:name w:val="Заголовок 8 Знак"/>
    <w:basedOn w:val="a0"/>
    <w:link w:val="8"/>
    <w:uiPriority w:val="9"/>
    <w:semiHidden/>
    <w:rsid w:val="00E81FFE"/>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E81FFE"/>
    <w:rPr>
      <w:rFonts w:eastAsiaTheme="majorEastAsia" w:cstheme="majorBidi"/>
      <w:color w:val="272727" w:themeColor="text1" w:themeTint="D8"/>
    </w:rPr>
  </w:style>
  <w:style w:type="paragraph" w:styleId="a3">
    <w:name w:val="Title"/>
    <w:basedOn w:val="a"/>
    <w:next w:val="a"/>
    <w:link w:val="a4"/>
    <w:uiPriority w:val="10"/>
    <w:qFormat/>
    <w:rsid w:val="00E81FF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E81FFE"/>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E81FFE"/>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E81FFE"/>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E81FFE"/>
    <w:pPr>
      <w:spacing w:before="160"/>
      <w:jc w:val="center"/>
    </w:pPr>
    <w:rPr>
      <w:i/>
      <w:iCs/>
      <w:color w:val="404040" w:themeColor="text1" w:themeTint="BF"/>
    </w:rPr>
  </w:style>
  <w:style w:type="character" w:customStyle="1" w:styleId="22">
    <w:name w:val="Цитата 2 Знак"/>
    <w:basedOn w:val="a0"/>
    <w:link w:val="21"/>
    <w:uiPriority w:val="29"/>
    <w:rsid w:val="00E81FFE"/>
    <w:rPr>
      <w:i/>
      <w:iCs/>
      <w:color w:val="404040" w:themeColor="text1" w:themeTint="BF"/>
    </w:rPr>
  </w:style>
  <w:style w:type="paragraph" w:styleId="a7">
    <w:name w:val="List Paragraph"/>
    <w:basedOn w:val="a"/>
    <w:uiPriority w:val="34"/>
    <w:qFormat/>
    <w:rsid w:val="00E81FFE"/>
    <w:pPr>
      <w:ind w:left="720"/>
      <w:contextualSpacing/>
    </w:pPr>
  </w:style>
  <w:style w:type="character" w:styleId="a8">
    <w:name w:val="Intense Emphasis"/>
    <w:basedOn w:val="a0"/>
    <w:uiPriority w:val="21"/>
    <w:qFormat/>
    <w:rsid w:val="00E81FFE"/>
    <w:rPr>
      <w:i/>
      <w:iCs/>
      <w:color w:val="2F5496" w:themeColor="accent1" w:themeShade="BF"/>
    </w:rPr>
  </w:style>
  <w:style w:type="paragraph" w:styleId="a9">
    <w:name w:val="Intense Quote"/>
    <w:basedOn w:val="a"/>
    <w:next w:val="a"/>
    <w:link w:val="aa"/>
    <w:uiPriority w:val="30"/>
    <w:qFormat/>
    <w:rsid w:val="00E81FFE"/>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E81FFE"/>
    <w:rPr>
      <w:i/>
      <w:iCs/>
      <w:color w:val="2F5496" w:themeColor="accent1" w:themeShade="BF"/>
    </w:rPr>
  </w:style>
  <w:style w:type="character" w:styleId="ab">
    <w:name w:val="Intense Reference"/>
    <w:basedOn w:val="a0"/>
    <w:uiPriority w:val="32"/>
    <w:qFormat/>
    <w:rsid w:val="00E81FFE"/>
    <w:rPr>
      <w:b/>
      <w:bCs/>
      <w:smallCaps/>
      <w:color w:val="2F5496" w:themeColor="accent1" w:themeShade="BF"/>
      <w:spacing w:val="5"/>
    </w:rPr>
  </w:style>
  <w:style w:type="paragraph" w:styleId="ac">
    <w:name w:val="header"/>
    <w:basedOn w:val="a"/>
    <w:link w:val="ad"/>
    <w:uiPriority w:val="99"/>
    <w:unhideWhenUsed/>
    <w:rsid w:val="00CF12D9"/>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CF12D9"/>
  </w:style>
  <w:style w:type="paragraph" w:styleId="ae">
    <w:name w:val="footer"/>
    <w:basedOn w:val="a"/>
    <w:link w:val="af"/>
    <w:uiPriority w:val="99"/>
    <w:unhideWhenUsed/>
    <w:rsid w:val="00CF12D9"/>
    <w:pPr>
      <w:tabs>
        <w:tab w:val="center" w:pos="4677"/>
        <w:tab w:val="right" w:pos="9355"/>
      </w:tabs>
      <w:spacing w:after="0" w:line="240" w:lineRule="auto"/>
    </w:pPr>
  </w:style>
  <w:style w:type="character" w:customStyle="1" w:styleId="af">
    <w:name w:val="Нижний колонтитул Знак"/>
    <w:basedOn w:val="a0"/>
    <w:link w:val="ae"/>
    <w:uiPriority w:val="99"/>
    <w:rsid w:val="00CF12D9"/>
  </w:style>
  <w:style w:type="paragraph" w:styleId="af0">
    <w:name w:val="footnote text"/>
    <w:basedOn w:val="a"/>
    <w:link w:val="af1"/>
    <w:uiPriority w:val="99"/>
    <w:semiHidden/>
    <w:unhideWhenUsed/>
    <w:rsid w:val="00B81F15"/>
    <w:pPr>
      <w:spacing w:after="0" w:line="240" w:lineRule="auto"/>
    </w:pPr>
    <w:rPr>
      <w:sz w:val="20"/>
      <w:szCs w:val="20"/>
    </w:rPr>
  </w:style>
  <w:style w:type="character" w:customStyle="1" w:styleId="af1">
    <w:name w:val="Текст сноски Знак"/>
    <w:basedOn w:val="a0"/>
    <w:link w:val="af0"/>
    <w:uiPriority w:val="99"/>
    <w:semiHidden/>
    <w:rsid w:val="00B81F15"/>
    <w:rPr>
      <w:sz w:val="20"/>
      <w:szCs w:val="20"/>
    </w:rPr>
  </w:style>
  <w:style w:type="character" w:styleId="af2">
    <w:name w:val="footnote reference"/>
    <w:basedOn w:val="a0"/>
    <w:uiPriority w:val="99"/>
    <w:semiHidden/>
    <w:unhideWhenUsed/>
    <w:rsid w:val="00B81F15"/>
    <w:rPr>
      <w:vertAlign w:val="superscript"/>
    </w:rPr>
  </w:style>
  <w:style w:type="character" w:styleId="af3">
    <w:name w:val="Hyperlink"/>
    <w:basedOn w:val="a0"/>
    <w:uiPriority w:val="99"/>
    <w:unhideWhenUsed/>
    <w:rsid w:val="007A14C2"/>
    <w:rPr>
      <w:color w:val="0563C1" w:themeColor="hyperlink"/>
      <w:u w:val="single"/>
    </w:rPr>
  </w:style>
  <w:style w:type="character" w:styleId="af4">
    <w:name w:val="Unresolved Mention"/>
    <w:basedOn w:val="a0"/>
    <w:uiPriority w:val="99"/>
    <w:semiHidden/>
    <w:unhideWhenUsed/>
    <w:rsid w:val="007A14C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spopova@isras.r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FA8C83-B8DD-47B0-BC49-3CD6C68D14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TotalTime>
  <Pages>4</Pages>
  <Words>1625</Words>
  <Characters>9267</Characters>
  <Application>Microsoft Office Word</Application>
  <DocSecurity>0</DocSecurity>
  <Lines>77</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Попова</dc:creator>
  <cp:keywords/>
  <dc:description/>
  <cp:lastModifiedBy>Екатерина Попова</cp:lastModifiedBy>
  <cp:revision>7</cp:revision>
  <dcterms:created xsi:type="dcterms:W3CDTF">2026-03-17T10:11:00Z</dcterms:created>
  <dcterms:modified xsi:type="dcterms:W3CDTF">2026-03-26T11:51:00Z</dcterms:modified>
</cp:coreProperties>
</file>