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УДК 314.02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Даутова Т.А.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Антонова В.С. Кретова Д.П.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ДЕМОГРАФИЧЕСКАЯ ДИФФЕРЕНЦИАЦИЯ НА ПОСТСОВЕТСКОМ ПРОСТРАНСТВЕ:СРАВНИТЕЛЬНЫЙ АНАЛИЗ СТРАН СНГ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Аннотация.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f1115"/>
          <w:rtl w:val="0"/>
        </w:rPr>
        <w:t xml:space="preserve">На основе анализа статистических данных и изучения релевантной литературы проведен анализ демографических показателей РФ и стран СНГ. Выявлено расхождение демографических  траекторий постсоветских республик. Выделены три группы: с депопуляцией и старением (Россия, Украина, Беларусь), с естественным приростом и молодым населением (Центральная Азия) и промежуточная (Молдова, Армения, Азербайджан). Показана роль миграции в сглаживании контрастов.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Ключевые слова: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постсоветские государства, СНГ, рождаемость, миграция, депопуляция, старение населения, демографические модели.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Демографические процессы являются ключевым индикатором социально-экономического благополучия и долгосрочного потенциала развития любой страны. Постсоветское пространство представляет собой уникальный регион для изучения трансформации демографических моделей, поскольку здесь на протяжении трёх десятилетий под влиянием общих исторических предпосылок и различных социально-экономических факторов сформировались принципиально разные типы воспроизводства населения.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Понимание демографических тенденций в странах СНГ необходимо для прогнозирования миграционных потоков и нагрузки на социальные системы. Россия демографически связана с республиками через миграционный обмен, а совокупное население СНГ составляет около 3,6% мирового.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Цель работы - сравнительный анализ демографических показателей России и стран СНГ за 1990–2023 гг., выявление общих тенденций и типологии развития.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709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u w:val="none"/>
          <w:shd w:fill="auto" w:val="clear"/>
          <w:vertAlign w:val="baseline"/>
          <w:rtl w:val="0"/>
        </w:rPr>
        <w:t xml:space="preserve">Распад СССР привёл к фрагментации единого демографического пространства. Новые независимые государства с разными стартовыми условиями сформировали различные демографические траектории.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709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u w:val="none"/>
          <w:shd w:fill="auto" w:val="clear"/>
          <w:vertAlign w:val="baseline"/>
          <w:rtl w:val="0"/>
        </w:rPr>
        <w:t xml:space="preserve">В 1990-е годы во всех республиках резко упала рождаемость. Минимумы к 2000 г. зафиксированы в европейских республиках содружества независимых государств (СНГ): Россия (1,20), Украина (1,10), Беларусь (1,31), Молдова (1,30). В Центральной Азии падение было слабее: в Таджикистане суммарный коэффициент рождаемости (СКР - число детей, рожденных в среднем одной женщиной) снизился с 5,10 до 4,00, в Узбекистане – с 3,97 до 2,70. В 2000-е годы на фоне экономического роста наблюдался подъём, но с 2015 г. рождаемость вновь снижается. К 2023 г. сформировался устойчивый разрыв: в европейских республиках СКР составляет 1,1–1,4, в центральноазиатских – выше 2,5 (табл. 1). Закавказье и Молдова занимают промежуточную позицию (1,6–1,9).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Таблица 1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Суммарный коэффициент рождаемости в странах СНГ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8.0" w:type="dxa"/>
        <w:jc w:val="left"/>
        <w:tblInd w:w="-3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376"/>
        <w:gridCol w:w="1377"/>
        <w:gridCol w:w="1377"/>
        <w:gridCol w:w="1377"/>
        <w:gridCol w:w="1377"/>
        <w:gridCol w:w="1377"/>
        <w:gridCol w:w="1377"/>
        <w:tblGridChange w:id="0">
          <w:tblGrid>
            <w:gridCol w:w="1376"/>
            <w:gridCol w:w="1377"/>
            <w:gridCol w:w="1377"/>
            <w:gridCol w:w="1377"/>
            <w:gridCol w:w="1377"/>
            <w:gridCol w:w="1377"/>
            <w:gridCol w:w="1377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Страна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1990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2020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2023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2024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Россия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1,89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1,20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1,57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1,50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1,41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Украина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1,82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1,10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1,44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1,22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1,08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Беларусь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1,91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1,31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1,49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1,10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1,1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Молдова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2,32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1,30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1,30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1,26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1,25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Казахстан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2,63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2,40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2,60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2,90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2,8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Узбекистан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3,97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2,70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2,35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2,90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3,40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3,4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Кыргызстан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3,52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2,40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3,10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3,10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2,70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2,6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Таджикистан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5,10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3,70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3,60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3,25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Азербайджан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2,62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1,76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2,30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1,80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1,60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1,4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Армения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2,60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1,30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1,50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1,76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1,90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1,7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7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Источник:  Межгосударственный статистический комитет СНГ. Население и социальные индикаторы стран СНГ и отдельных стран мира 2020–2023. М., 2024.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u w:val="none"/>
          <w:shd w:fill="auto" w:val="clear"/>
          <w:vertAlign w:val="baseline"/>
          <w:rtl w:val="0"/>
        </w:rPr>
        <w:t xml:space="preserve">Наиболее тревожной и резко выделяющейся чертой демографических изменений на постсоветском пространстве, является ситуация с показателями смертности.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В 1990-е годы наиболее драматичный рост смертности произошёл в европейских республиках и Казахстане. Общий коэффициент смертности в России достиг пика в 15,3‰ (2000 г.), на Украине - 15,3‰, в Беларуси -13,5‰. Основной вклад внесли внешние причины, сердечно-сосудистые заболевания и алкогольная сверхсмертность мужчин. В странах Центральной Азии уровень смертности оставался низким благодаря молодой возрастной структуре. В последующие десятилетия ситуация повсеместно улучшалась. Ожидаемая продолжительность жизни (ОПЖ) стала расти везде. В  2023 г. она составила: в Армении – 77,7 лет, в Таджикистане – 76,5, в Казахстане – 75,1, в России – 73,4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[5]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Гендерный разрыв максимален в России (более 10 лет) и минимален в Таджикистане (3 года).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Динамика естественного движения окончательно разделила постсоветское пространство на две зоны. В России, Украине, Беларуси и Молдове с середины 1990-х годов фиксируется устойчивая естественная убыль. В 2023 г. её величина составила отрицательные значения: –3,5‰ в РФ, – 3,9‰ в Молдове, –6,1‰ в Беларуси, по Украине данные не предоставлены. В Центральной Азии сохраняется высокий естественный прирост: Таджикистан 22,0‰, Узбекистан 20,2‰, Кыргызстан 15,0‰, Казахстан 12,9‰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[5]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В Закавказье прирост близок к нулю или слабоположительный (табл. 2).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f1115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Таблица 2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Естественный прирост населения стран СНГ (на 1000 населения, ‰)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38.000000000002" w:type="dxa"/>
        <w:jc w:val="left"/>
        <w:tblInd w:w="-3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618"/>
        <w:gridCol w:w="1135"/>
        <w:gridCol w:w="1377"/>
        <w:gridCol w:w="1377"/>
        <w:gridCol w:w="1377"/>
        <w:gridCol w:w="1377"/>
        <w:gridCol w:w="1377"/>
        <w:tblGridChange w:id="0">
          <w:tblGrid>
            <w:gridCol w:w="1618"/>
            <w:gridCol w:w="1135"/>
            <w:gridCol w:w="1377"/>
            <w:gridCol w:w="1377"/>
            <w:gridCol w:w="1377"/>
            <w:gridCol w:w="1377"/>
            <w:gridCol w:w="1377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Страна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1991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2010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2020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2023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2024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Россия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0,7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–6,6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–1,7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–4,8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–3,5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Украина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–0,8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–7,6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–4,4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–8,1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Беларусь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1,8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–4,1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–3,0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—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–6,1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 6,1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Молдова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6,0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–1,1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–0,9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-3,8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–3,9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–4,1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Казахстан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13,3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4,9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13,6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14,2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12,9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11,6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Узбекистан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28,3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15,8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17,2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19,5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21,7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20,2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Кыргызстан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21,9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12,8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17,6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16,2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15,0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Таджикистан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33,0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22,2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27,5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21,3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21,4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22,0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Азербайджан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20,4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8,8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12,5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5,2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4,2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Армения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15,1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5,5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0,1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4,1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2,7</w:t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gridSpan w:val="7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Источник:  Межгосударственный статистический комитет СНГ. Население и социальные индикаторы стран СНГ и отдельных стран мира 2020–2023. М., 2024.</w:t>
            </w:r>
          </w:p>
        </w:tc>
      </w:tr>
    </w:tbl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Ключевым фактором демографических процессов, определяющих темпы рождаемости, смертности и воспроизводства населения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a0a0a"/>
          <w:sz w:val="24"/>
          <w:szCs w:val="24"/>
          <w:highlight w:val="white"/>
          <w:u w:val="none"/>
          <w:vertAlign w:val="baseline"/>
          <w:rtl w:val="0"/>
        </w:rPr>
        <w:t xml:space="preserve"> является в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озрастная структура населения. Соотношение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a0a0a"/>
          <w:sz w:val="24"/>
          <w:szCs w:val="24"/>
          <w:highlight w:val="white"/>
          <w:u w:val="none"/>
          <w:vertAlign w:val="baseline"/>
          <w:rtl w:val="0"/>
        </w:rPr>
        <w:t xml:space="preserve">молодого нетрудоспособного, пожилого и  трудоспособного населения (демографическая нагрузка)   влияет на экономику, миграционные потоки и общий рост населения. Как правило: «молодые» республики  растут быстрее, «старые» сталкиваются с депопуляцией.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Анализ демографических данных статистического комитета СНГ показывает, что к началу 2024 г. сложились два полярных типа возрастного состава. Для России, Украины, Беларуси, Молдовы характерна регрессивная структура с долей лиц 65+ от 15 до 18% (в Украине – 18%), что по классификации ООН соответствует глубокому старению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[2]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Для Центральной Азии свойственна прогрессивная структура: дети до 15 лет составляют 29–36%, пожилые – 4–8%. Такая структура создаёт потенциал для демографического дивиденда, но требует масштабных инвестиций в образование и создание рабочих мест.</w:t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  <w:drawing>
          <wp:inline distB="114300" distT="114300" distL="114300" distR="114300">
            <wp:extent cx="3885248" cy="2395016"/>
            <wp:effectExtent b="0" l="0" r="0" t="0"/>
            <wp:docPr descr="Диаграмма" id="1" name="image1.png"/>
            <a:graphic>
              <a:graphicData uri="http://schemas.openxmlformats.org/drawingml/2006/picture">
                <pic:pic>
                  <pic:nvPicPr>
                    <pic:cNvPr descr="Диаграмма"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885248" cy="239501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spacing w:after="0" w:line="240" w:lineRule="auto"/>
        <w:ind w:firstLine="720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Рисунок 1. Распределение населения по основным возрастным группам (% от общего населения) на начало 2024 года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Источник:  Межгосударственный статистический комитет СНГ. Население и социальные индикаторы стран СНГ и отдельных стран мира 2020–2023. М., 2024.</w:t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Описанные различия в возрастной структуре во многом определяют интенсивность и направленность миграционных потоков.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Россия остаётся главным центром притяжения трудовых мигрантов из стран СНГ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 [1]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Основной поток направляется из Узбекистана, Таджикистана, Кыргызстана. Для России миграция является важным компенсаторным механизмом: в отдельные годы миграционный прирост полностью покрывал естественную убыль. Для стран-доноров денежные переводы из РФ составляют значительную долю ВВП (например, в 2024 г. из России в Узбекистан переведено около 16,7 млрд долл, однако происходит отток наиболее активной части населения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[3]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что ослабляет долгосрочный демографический потенциал.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Обобщая результаты проведенного анализа , можно выделить три группы стран:</w:t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1.Европейский тип депопуляции (Россия, Украина, Беларусь): СКР 1,1–1,4, высокая смертность (особенно мужская), естественная убыль, старение населения, миграционный приток в Россию.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2.Центральноазиатский тип роста (Казахстан, Узбекистан, Кыргызстан, Таджикистан): СКР 2,7–3,4, низкая смертность, высокий естественный прирост, молодая возрастная структура, активная эмиграция в Россию.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3.Переходный тип (Молдова, Армения, Азербайджан): рождаемость ниже уровня воспроизводства (1,2–1,9), невысокая смертность, прирост близок к нулю, высокая эмиграция.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Казахстан занимает особое место: по рождаемости и возрастной структуре он близок к центральноазиатской модели, но исторически демонстрирует повышенную смертность, сближающую его с восточнославянскими странами.</w:t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За три десятилетия постсоветские республики сформировали различные демографические модели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[4]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На одном полюсе – стареющие и сокращающиеся европейские государства, на другом – молодые и растущие центральноазиатские страны. Промежуточная группа испытывает наибольшее миграционное давление. Эта дифференциация будет определять социально-экономическую политику: для «севера» приоритетны адаптация к старению и стимулирование рождаемости, для «юга» – обеспечение занятости и эффективное использование демографического дивиденда.</w:t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Библиографический список</w:t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Архангельский В.Н., Бардакова Л.И., Безвербный В.А. и др. Демографическое развитие постсоветских стран (1991–2021): тренды, демографическая политика, перспективы / под ред. С.В. Рязанцева. М.: ИТД «Перспектива», 2021. 200 с.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Даутова Т.А. Анализ реализации национального проекта «Демография» в регионе: проблемы и перспективы (на материалах Республики Башкортостан) // Вестник БИСТ Башкирского института социальных технологий. 2023. № 3 (60). С. 76–84.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 Кашепов А.В. Демографическая динамика в странах постсоветского пространства: итоги тридцатилетия // Демис. Демографические исследования. 2023. Т. 3, № 2. С. 6–19.</w:t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4. Обедков А.П., Обедкова А.А. Тенденции демографического развития России в постсоветский период // Россия и современный мир. 2012. № 4. С. 120–135.</w:t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5. Центральный банк Российской Федерации. Статистика внешнего сектора. URL: https://cbr.ru/statistics/</w:t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Информация об авторах</w:t>
      </w:r>
    </w:p>
    <w:p w:rsidR="00000000" w:rsidDel="00000000" w:rsidP="00000000" w:rsidRDefault="00000000" w:rsidRPr="00000000" w14:paraId="000000D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Антонова Вероника Сергеевна (Россия, Уфа)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студент направления «Государственное и муниципальное управление», Уфимский университет науки и технологий (450076, г. Уфа, ул. Карла Маркса ,3/4 e-mail: va799672@gmail.com).</w:t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Кретова Дарья Павловна (Россия, Уфа)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студент направления «Государственное и муниципальное управление», Уфимский университет науки и технологий (450076, г. Уфа, ул. Карла Маркса ,3/4 e-mail: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b w:val="0"/>
            <w:bCs w:val="0"/>
            <w:i w:val="0"/>
            <w:iCs w:val="0"/>
            <w:smallCaps w:val="0"/>
            <w:strike w:val="0"/>
            <w:color w:val="1155cc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kretowadasha@yandex.ru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).</w:t>
      </w:r>
    </w:p>
    <w:p w:rsidR="00000000" w:rsidDel="00000000" w:rsidP="00000000" w:rsidRDefault="00000000" w:rsidRPr="00000000" w14:paraId="000000D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Даутова Танзиля Ахтямовна (Россия, Уфа)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кандидат социологических наук, доцент кафедры государственного управления, Уфимский университет науки и технологий (450076, г. Уфа, ул. Карла Маркса ,3/4  e-mail: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0"/>
            <w:bCs w:val="0"/>
            <w:i w:val="0"/>
            <w:iCs w:val="0"/>
            <w:smallCaps w:val="0"/>
            <w:strike w:val="0"/>
            <w:color w:val="1155cc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dautova_07@mail.ru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</w:t>
      </w:r>
    </w:p>
    <w:p w:rsidR="00000000" w:rsidDel="00000000" w:rsidP="00000000" w:rsidRDefault="00000000" w:rsidRPr="00000000" w14:paraId="000000D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Dautova T.A.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Antonova V.S., Kretova D.P.</w:t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DEMOGRAPHIC DIFFERENTIATION IN THE POST-SOVIET SPACE: COMPARATIVE ANALYSIS OF THE CIS COUNTRIES</w:t>
      </w:r>
    </w:p>
    <w:p w:rsidR="00000000" w:rsidDel="00000000" w:rsidP="00000000" w:rsidRDefault="00000000" w:rsidRPr="00000000" w14:paraId="000000E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Abstract.</w:t>
      </w:r>
      <w:r w:rsidDel="00000000" w:rsidR="00000000" w:rsidRPr="00000000">
        <w:rPr>
          <w:rFonts w:ascii="Roboto" w:cs="Roboto" w:eastAsia="Roboto" w:hAnsi="Roboto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f1115"/>
          <w:highlight w:val="white"/>
          <w:rtl w:val="0"/>
        </w:rPr>
        <w:t xml:space="preserve">Based on an analysis of statistical data and a review of the relevant literature, an analysis of demographic indicators for the Russian Federation and CIS countries was conducted. Divergences in the demographic trajectories of the post-Soviet republics were identified. Three groups were identified: those experiencing depopulation and aging (Russia, Ukraine, Belarus), those with natural population growth and a young population (Central Asia), and an intermediate group (Moldova, Armenia, Azerbaijan). The role of migration in smoothing out these contrasts was demonstrated.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Keywords: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post-Soviet states, CIS, fertility, migration, depopulation, population aging, demographic models.</w:t>
      </w:r>
    </w:p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About the authors</w:t>
      </w:r>
    </w:p>
    <w:p w:rsidR="00000000" w:rsidDel="00000000" w:rsidP="00000000" w:rsidRDefault="00000000" w:rsidRPr="00000000" w14:paraId="000000E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Antonova Veronika Sergeevna (Russia, Ufa)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 – student in the field of "State and Municipal Administration", Ufa University of Science and Technology (3/4 Karl Marx St., Ufa, 450076, Russia; e-mail: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b w:val="0"/>
            <w:bCs w:val="0"/>
            <w:i w:val="0"/>
            <w:iCs w:val="0"/>
            <w:smallCaps w:val="0"/>
            <w:strike w:val="0"/>
            <w:color w:val="1155cc"/>
            <w:sz w:val="24"/>
            <w:szCs w:val="24"/>
            <w:highlight w:val="white"/>
            <w:u w:val="single"/>
            <w:vertAlign w:val="baseline"/>
            <w:rtl w:val="0"/>
          </w:rPr>
          <w:t xml:space="preserve">va799672@gmail.com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).</w:t>
      </w:r>
    </w:p>
    <w:p w:rsidR="00000000" w:rsidDel="00000000" w:rsidP="00000000" w:rsidRDefault="00000000" w:rsidRPr="00000000" w14:paraId="000000E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Kretova Daria Pavlovna (Russia, Ufa)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 – student in the field of "State and Municipal Administration", Ufa University of Science and Technology (3/4 Karl Marx St., Ufa, 450076, Russia; e-mail: 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b w:val="0"/>
            <w:bCs w:val="0"/>
            <w:i w:val="0"/>
            <w:iCs w:val="0"/>
            <w:smallCaps w:val="0"/>
            <w:strike w:val="0"/>
            <w:color w:val="1155cc"/>
            <w:sz w:val="24"/>
            <w:szCs w:val="24"/>
            <w:highlight w:val="white"/>
            <w:u w:val="single"/>
            <w:vertAlign w:val="baseline"/>
            <w:rtl w:val="0"/>
          </w:rPr>
          <w:t xml:space="preserve">kretowadasha@yandex.ru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).</w:t>
      </w:r>
    </w:p>
    <w:p w:rsidR="00000000" w:rsidDel="00000000" w:rsidP="00000000" w:rsidRDefault="00000000" w:rsidRPr="00000000" w14:paraId="000000E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Dautova Tanzilya Akhtyamovna (Russia, Ufa)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 – Candidate of Sociological Sciences, Associate Professor of the Department of Public Administration, Ufa University of Science and Technology (3/4 Karl Marx St., Ufa, 450076, Russia; e-mail: </w:t>
      </w:r>
      <w:hyperlink r:id="rId11">
        <w:r w:rsidDel="00000000" w:rsidR="00000000" w:rsidRPr="00000000">
          <w:rPr>
            <w:rFonts w:ascii="Times New Roman" w:cs="Times New Roman" w:eastAsia="Times New Roman" w:hAnsi="Times New Roman"/>
            <w:b w:val="0"/>
            <w:bCs w:val="0"/>
            <w:i w:val="0"/>
            <w:iCs w:val="0"/>
            <w:smallCaps w:val="0"/>
            <w:strike w:val="0"/>
            <w:color w:val="1155cc"/>
            <w:sz w:val="24"/>
            <w:szCs w:val="24"/>
            <w:highlight w:val="white"/>
            <w:u w:val="single"/>
            <w:vertAlign w:val="baseline"/>
            <w:rtl w:val="0"/>
          </w:rPr>
          <w:t xml:space="preserve">dautova_07@mail.ru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f1115"/>
          <w:sz w:val="24"/>
          <w:szCs w:val="24"/>
          <w:highlight w:val="white"/>
          <w:u w:val="none"/>
          <w:vertAlign w:val="baseline"/>
          <w:rtl w:val="0"/>
        </w:rPr>
        <w:t xml:space="preserve">) </w:t>
      </w:r>
    </w:p>
    <w:p w:rsidR="00000000" w:rsidDel="00000000" w:rsidP="00000000" w:rsidRDefault="00000000" w:rsidRPr="00000000" w14:paraId="000000E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color w:val="0f1115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References</w:t>
      </w:r>
    </w:p>
    <w:p w:rsidR="00000000" w:rsidDel="00000000" w:rsidP="00000000" w:rsidRDefault="00000000" w:rsidRPr="00000000" w14:paraId="000000E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Arkhangelsky V.N., Bardakova L.I., Bezverbny V.A. et al. Demographic development of post-Soviet countries (1991–2021): trends, demographic policy, prospects. Ed. by S.V. Ryazantsev. Moscow: Perspectiva Publishing, 2021. 200 p. (In Russ.)</w:t>
      </w:r>
    </w:p>
    <w:p w:rsidR="00000000" w:rsidDel="00000000" w:rsidP="00000000" w:rsidRDefault="00000000" w:rsidRPr="00000000" w14:paraId="000000E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Dautova T.A. Analysis of the Implementation of the National Project "Demography" in the Region: Problems and Prospects (Based on Materials from the Republic of Bashkortostan). Bulletin of BIST (Bashkir Institute of Social Technologies). 2023;(3):76-84. (In Russ.)</w:t>
      </w:r>
    </w:p>
    <w:p w:rsidR="00000000" w:rsidDel="00000000" w:rsidP="00000000" w:rsidRDefault="00000000" w:rsidRPr="00000000" w14:paraId="000000E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 Kashepov A.V. Demographic Dynamics in Post-Soviet Countries: Thirty-Year Results. Demis. Demographic Research. 2023;3(2):6-19. (In Russ.)</w:t>
      </w:r>
    </w:p>
    <w:p w:rsidR="00000000" w:rsidDel="00000000" w:rsidP="00000000" w:rsidRDefault="00000000" w:rsidRPr="00000000" w14:paraId="000000E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4. Obedkov A.P., Obedkova A.A. Trends in Russia's Demographic Development in the Post-Soviet Period. Russia and the Modern World. 2012;(4):120-135. (In Russ.)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5. Central Bank of the Russian Federation. External Sector Statistics. URL: https://cbr.ru/statistics/</w:t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0" w:right="0" w:firstLine="0"/>
        <w:jc w:val="left"/>
        <w:rPr>
          <w:rFonts w:ascii="Aptos" w:cs="Aptos" w:eastAsia="Aptos" w:hAnsi="Aptos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12" w:type="default"/>
      <w:pgSz w:h="16838" w:w="11906" w:orient="portrait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ptos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78.00000000000006" w:lineRule="auto"/>
      <w:ind w:left="0" w:right="0" w:firstLine="0"/>
      <w:jc w:val="left"/>
      <w:rPr>
        <w:rFonts w:ascii="Aptos" w:cs="Aptos" w:eastAsia="Aptos" w:hAnsi="Aptos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ru"/>
      </w:rPr>
    </w:rPrDefault>
    <w:pPrDefault>
      <w:pPr>
        <w:spacing w:after="160" w:line="278.0000000000000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8.00000000000006" w:lineRule="auto"/>
      <w:ind w:left="0" w:right="0" w:firstLine="0"/>
      <w:jc w:val="left"/>
    </w:pPr>
    <w:rPr>
      <w:rFonts w:ascii="Aptos" w:cs="Aptos" w:eastAsia="Aptos" w:hAnsi="Aptos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8.00000000000006" w:lineRule="auto"/>
      <w:ind w:left="0" w:right="0" w:firstLine="0"/>
      <w:jc w:val="left"/>
    </w:pPr>
    <w:rPr>
      <w:rFonts w:ascii="Aptos" w:cs="Aptos" w:eastAsia="Aptos" w:hAnsi="Aptos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8.00000000000006" w:lineRule="auto"/>
      <w:ind w:left="0" w:right="0" w:firstLine="0"/>
      <w:jc w:val="left"/>
    </w:pPr>
    <w:rPr>
      <w:rFonts w:ascii="Aptos" w:cs="Aptos" w:eastAsia="Aptos" w:hAnsi="Aptos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8.00000000000006" w:lineRule="auto"/>
      <w:ind w:left="0" w:right="0" w:firstLine="0"/>
      <w:jc w:val="left"/>
    </w:pPr>
    <w:rPr>
      <w:rFonts w:ascii="Aptos" w:cs="Aptos" w:eastAsia="Aptos" w:hAnsi="Aptos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8.00000000000006" w:lineRule="auto"/>
      <w:ind w:left="0" w:right="0" w:firstLine="0"/>
      <w:jc w:val="left"/>
    </w:pPr>
    <w:rPr>
      <w:rFonts w:ascii="Aptos" w:cs="Aptos" w:eastAsia="Aptos" w:hAnsi="Aptos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8.00000000000006" w:lineRule="auto"/>
      <w:ind w:left="0" w:right="0" w:firstLine="0"/>
      <w:jc w:val="left"/>
    </w:pPr>
    <w:rPr>
      <w:rFonts w:ascii="Aptos" w:cs="Aptos" w:eastAsia="Aptos" w:hAnsi="Aptos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8.00000000000006" w:lineRule="auto"/>
      <w:ind w:left="0" w:right="0" w:firstLine="0"/>
      <w:jc w:val="left"/>
    </w:pPr>
    <w:rPr>
      <w:rFonts w:ascii="Aptos" w:cs="Aptos" w:eastAsia="Aptos" w:hAnsi="Aptos"/>
      <w:b w:val="1"/>
      <w:bCs w:val="1"/>
      <w:i w:val="0"/>
      <w:iCs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8.00000000000006" w:lineRule="auto"/>
      <w:ind w:left="0" w:right="0" w:firstLine="0"/>
      <w:jc w:val="left"/>
    </w:pPr>
    <w:rPr>
      <w:rFonts w:ascii="Georgia" w:cs="Georgia" w:eastAsia="Georgia" w:hAnsi="Georgia"/>
      <w:b w:val="0"/>
      <w:bCs w:val="0"/>
      <w:i w:val="1"/>
      <w:iCs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mailto:dautova_07@mail.ru" TargetMode="External"/><Relationship Id="rId10" Type="http://schemas.openxmlformats.org/officeDocument/2006/relationships/hyperlink" Target="mailto:kretowadasha@yandex.ru" TargetMode="External"/><Relationship Id="rId12" Type="http://schemas.openxmlformats.org/officeDocument/2006/relationships/footer" Target="footer1.xml"/><Relationship Id="rId9" Type="http://schemas.openxmlformats.org/officeDocument/2006/relationships/hyperlink" Target="mailto:va799672@gmail.com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mailto:kretowadasha@yandex.ru" TargetMode="External"/><Relationship Id="rId8" Type="http://schemas.openxmlformats.org/officeDocument/2006/relationships/hyperlink" Target="mailto:dautova_07@mail.ru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