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34ED" w:rsidRDefault="00152C6F" w:rsidP="00152C6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52C6F">
        <w:rPr>
          <w:rFonts w:ascii="Times New Roman" w:hAnsi="Times New Roman" w:cs="Times New Roman"/>
          <w:b/>
          <w:sz w:val="24"/>
          <w:szCs w:val="24"/>
        </w:rPr>
        <w:t xml:space="preserve">УДК </w:t>
      </w:r>
      <w:r w:rsidR="00D417BD">
        <w:rPr>
          <w:rFonts w:ascii="Times New Roman" w:hAnsi="Times New Roman" w:cs="Times New Roman"/>
          <w:b/>
          <w:sz w:val="24"/>
          <w:szCs w:val="24"/>
        </w:rPr>
        <w:t>001.892</w:t>
      </w:r>
    </w:p>
    <w:p w:rsidR="00152C6F" w:rsidRDefault="00152C6F" w:rsidP="00152C6F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Блинова Т.Н.</w:t>
      </w:r>
    </w:p>
    <w:p w:rsidR="00152C6F" w:rsidRDefault="00105320" w:rsidP="00152C6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</w:t>
      </w:r>
      <w:r w:rsidR="00453A45">
        <w:rPr>
          <w:rFonts w:ascii="Times New Roman" w:hAnsi="Times New Roman" w:cs="Times New Roman"/>
          <w:b/>
          <w:sz w:val="24"/>
          <w:szCs w:val="24"/>
        </w:rPr>
        <w:t>АЗВИТИЕ НАУКИ В ВУЗАХ ДАЛЬНЕГО ВОСТОКА</w:t>
      </w:r>
    </w:p>
    <w:p w:rsidR="00152C6F" w:rsidRDefault="00152C6F" w:rsidP="00152C6F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15467" w:rsidRPr="005E4424" w:rsidRDefault="00152C6F" w:rsidP="00152C6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Аннотация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90C20">
        <w:rPr>
          <w:rFonts w:ascii="Times New Roman" w:hAnsi="Times New Roman" w:cs="Times New Roman"/>
          <w:sz w:val="24"/>
          <w:szCs w:val="24"/>
        </w:rPr>
        <w:t>Статья посвящена развитию научно-исследовательской деятельности в вузах Дальневосточного федерального округа и регионов, его формирующих. Анализ основан на данных и</w:t>
      </w:r>
      <w:r w:rsidR="00290C20" w:rsidRPr="00290C20">
        <w:rPr>
          <w:rFonts w:ascii="Times New Roman" w:hAnsi="Times New Roman" w:cs="Times New Roman"/>
          <w:sz w:val="24"/>
          <w:szCs w:val="24"/>
        </w:rPr>
        <w:t>нформационно-аналитически</w:t>
      </w:r>
      <w:r w:rsidR="00290C20">
        <w:rPr>
          <w:rFonts w:ascii="Times New Roman" w:hAnsi="Times New Roman" w:cs="Times New Roman"/>
          <w:sz w:val="24"/>
          <w:szCs w:val="24"/>
        </w:rPr>
        <w:t>х материалов</w:t>
      </w:r>
      <w:r w:rsidR="00290C20" w:rsidRPr="00290C20">
        <w:rPr>
          <w:rFonts w:ascii="Times New Roman" w:hAnsi="Times New Roman" w:cs="Times New Roman"/>
          <w:sz w:val="24"/>
          <w:szCs w:val="24"/>
        </w:rPr>
        <w:t xml:space="preserve"> мониторинга эффективности деятельности</w:t>
      </w:r>
      <w:r w:rsidR="00290C20">
        <w:rPr>
          <w:rFonts w:ascii="Times New Roman" w:hAnsi="Times New Roman" w:cs="Times New Roman"/>
          <w:sz w:val="24"/>
          <w:szCs w:val="24"/>
        </w:rPr>
        <w:t xml:space="preserve"> вузов 2021–2025 гг.</w:t>
      </w:r>
    </w:p>
    <w:p w:rsidR="00152C6F" w:rsidRDefault="00152C6F" w:rsidP="00152C6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52C6F">
        <w:rPr>
          <w:rFonts w:ascii="Times New Roman" w:hAnsi="Times New Roman" w:cs="Times New Roman"/>
          <w:b/>
          <w:sz w:val="24"/>
          <w:szCs w:val="24"/>
        </w:rPr>
        <w:t xml:space="preserve">Ключевые слова: </w:t>
      </w:r>
      <w:r w:rsidR="00CA76AB" w:rsidRPr="00E22D44">
        <w:rPr>
          <w:rFonts w:ascii="Times New Roman" w:hAnsi="Times New Roman" w:cs="Times New Roman"/>
          <w:i/>
          <w:sz w:val="24"/>
          <w:szCs w:val="24"/>
        </w:rPr>
        <w:t>вузы, регионы, Дальний Восток, научные исследования и опытно-конструкторские разработки, доходы.</w:t>
      </w:r>
    </w:p>
    <w:p w:rsidR="00152C6F" w:rsidRDefault="00152C6F" w:rsidP="00152C6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D0501" w:rsidRDefault="004D0501" w:rsidP="00152C6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15467">
        <w:rPr>
          <w:rFonts w:ascii="Times New Roman" w:hAnsi="Times New Roman" w:cs="Times New Roman"/>
          <w:sz w:val="24"/>
          <w:szCs w:val="24"/>
        </w:rPr>
        <w:t xml:space="preserve">Стратегией </w:t>
      </w:r>
      <w:r>
        <w:rPr>
          <w:rFonts w:ascii="Times New Roman" w:hAnsi="Times New Roman" w:cs="Times New Roman"/>
          <w:sz w:val="24"/>
          <w:szCs w:val="24"/>
        </w:rPr>
        <w:t xml:space="preserve">научно-технологического развития Российской Федерации </w:t>
      </w:r>
      <w:r w:rsidRPr="00915467">
        <w:rPr>
          <w:rFonts w:ascii="Times New Roman" w:hAnsi="Times New Roman" w:cs="Times New Roman"/>
          <w:sz w:val="24"/>
          <w:szCs w:val="24"/>
        </w:rPr>
        <w:t xml:space="preserve">научно-технологического развитие заявлено в качестве одного из стратегических национальных приоритетов </w:t>
      </w:r>
      <w:r>
        <w:rPr>
          <w:rFonts w:ascii="Times New Roman" w:hAnsi="Times New Roman" w:cs="Times New Roman"/>
          <w:sz w:val="24"/>
          <w:szCs w:val="24"/>
        </w:rPr>
        <w:t>страны</w:t>
      </w:r>
      <w:r w:rsidR="00290C20">
        <w:rPr>
          <w:rFonts w:ascii="Times New Roman" w:hAnsi="Times New Roman" w:cs="Times New Roman"/>
          <w:sz w:val="24"/>
          <w:szCs w:val="24"/>
        </w:rPr>
        <w:t xml:space="preserve"> </w:t>
      </w:r>
      <w:r w:rsidR="00290C20" w:rsidRPr="00290C20">
        <w:rPr>
          <w:rFonts w:ascii="Times New Roman" w:hAnsi="Times New Roman" w:cs="Times New Roman"/>
          <w:sz w:val="24"/>
          <w:szCs w:val="24"/>
        </w:rPr>
        <w:t>[</w:t>
      </w:r>
      <w:r w:rsidR="005E4424">
        <w:rPr>
          <w:rFonts w:ascii="Times New Roman" w:hAnsi="Times New Roman" w:cs="Times New Roman"/>
          <w:sz w:val="24"/>
          <w:szCs w:val="24"/>
        </w:rPr>
        <w:t>1</w:t>
      </w:r>
      <w:r w:rsidR="00290C20" w:rsidRPr="00290C20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В соответствии с ФЗ «Об образовании в Российской Федерации» </w:t>
      </w:r>
      <w:r w:rsidRPr="00D12888">
        <w:rPr>
          <w:rFonts w:ascii="Times New Roman" w:hAnsi="Times New Roman" w:cs="Times New Roman"/>
          <w:sz w:val="24"/>
          <w:szCs w:val="24"/>
        </w:rPr>
        <w:t>от 29.12.2012 N 273-ФЗ</w:t>
      </w:r>
      <w:r>
        <w:rPr>
          <w:rFonts w:ascii="Times New Roman" w:hAnsi="Times New Roman" w:cs="Times New Roman"/>
          <w:sz w:val="24"/>
          <w:szCs w:val="24"/>
        </w:rPr>
        <w:t xml:space="preserve"> ключевой деятельностью вуза наряду с образовательной должна являться и научная деятельность</w:t>
      </w:r>
      <w:r w:rsidR="00290C20" w:rsidRPr="00290C20">
        <w:rPr>
          <w:rFonts w:ascii="Times New Roman" w:hAnsi="Times New Roman" w:cs="Times New Roman"/>
          <w:sz w:val="24"/>
          <w:szCs w:val="24"/>
        </w:rPr>
        <w:t xml:space="preserve"> [</w:t>
      </w:r>
      <w:r w:rsidR="005E4424">
        <w:rPr>
          <w:rFonts w:ascii="Times New Roman" w:hAnsi="Times New Roman" w:cs="Times New Roman"/>
          <w:sz w:val="24"/>
          <w:szCs w:val="24"/>
        </w:rPr>
        <w:t>2</w:t>
      </w:r>
      <w:r w:rsidR="00290C20" w:rsidRPr="00290C20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В этой связи вузы, развивая научно-исследовательскую деятельность, должны вносить активный вклад в обеспечение достижения целей научно-технологического развития России.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Особенно актуально это для Дальнего Востока – региона, развитие которого признано национальным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приоритетом на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текущее столетие</w:t>
      </w:r>
      <w:r w:rsidR="00290C20">
        <w:rPr>
          <w:rFonts w:ascii="Times New Roman" w:hAnsi="Times New Roman" w:cs="Times New Roman"/>
          <w:sz w:val="24"/>
          <w:szCs w:val="24"/>
        </w:rPr>
        <w:t xml:space="preserve"> </w:t>
      </w:r>
      <w:r w:rsidR="00290C20" w:rsidRPr="00290C20">
        <w:rPr>
          <w:rFonts w:ascii="Times New Roman" w:hAnsi="Times New Roman" w:cs="Times New Roman"/>
          <w:sz w:val="24"/>
          <w:szCs w:val="24"/>
        </w:rPr>
        <w:t>[</w:t>
      </w:r>
      <w:r w:rsidR="005E4424">
        <w:rPr>
          <w:rFonts w:ascii="Times New Roman" w:hAnsi="Times New Roman" w:cs="Times New Roman"/>
          <w:sz w:val="24"/>
          <w:szCs w:val="24"/>
        </w:rPr>
        <w:t>3</w:t>
      </w:r>
      <w:r w:rsidR="00290C20" w:rsidRPr="00290C20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152C6F" w:rsidRDefault="00D61A90" w:rsidP="00152C6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Как показал анализ данных мониторинга эффективности деятельности образовательных организаций высшего образования, объем </w:t>
      </w:r>
      <w:r w:rsidR="00045D8B">
        <w:rPr>
          <w:rFonts w:ascii="Times New Roman" w:hAnsi="Times New Roman" w:cs="Times New Roman"/>
          <w:sz w:val="24"/>
          <w:szCs w:val="24"/>
        </w:rPr>
        <w:t xml:space="preserve">научно-исследовательских и опытно-конструкторских разработок (далее – </w:t>
      </w:r>
      <w:r>
        <w:rPr>
          <w:rFonts w:ascii="Times New Roman" w:hAnsi="Times New Roman" w:cs="Times New Roman"/>
          <w:sz w:val="24"/>
          <w:szCs w:val="24"/>
        </w:rPr>
        <w:t>НИОКР</w:t>
      </w:r>
      <w:r w:rsidR="00045D8B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774FB">
        <w:rPr>
          <w:rFonts w:ascii="Times New Roman" w:hAnsi="Times New Roman" w:cs="Times New Roman"/>
          <w:sz w:val="24"/>
          <w:szCs w:val="24"/>
        </w:rPr>
        <w:t>вузов Дальнего Востока с 2020 года по 2024 год в среднем в год увеличивался на 14%. Продемонстрированный темп роста выше официально установленного уровня инфляции, что свидетельствует о реальном увеличении объема научно-исследовательских работ вузами исследуемого макрорегиона.</w:t>
      </w:r>
      <w:proofErr w:type="gramEnd"/>
      <w:r w:rsidR="004774FB">
        <w:rPr>
          <w:rFonts w:ascii="Times New Roman" w:hAnsi="Times New Roman" w:cs="Times New Roman"/>
          <w:sz w:val="24"/>
          <w:szCs w:val="24"/>
        </w:rPr>
        <w:t xml:space="preserve"> </w:t>
      </w:r>
      <w:r w:rsidR="00B636DF">
        <w:rPr>
          <w:rFonts w:ascii="Times New Roman" w:hAnsi="Times New Roman" w:cs="Times New Roman"/>
          <w:sz w:val="24"/>
          <w:szCs w:val="24"/>
        </w:rPr>
        <w:t>В 2024 году суммарный</w:t>
      </w:r>
      <w:r w:rsidR="004774FB">
        <w:rPr>
          <w:rFonts w:ascii="Times New Roman" w:hAnsi="Times New Roman" w:cs="Times New Roman"/>
          <w:sz w:val="24"/>
          <w:szCs w:val="24"/>
        </w:rPr>
        <w:t xml:space="preserve"> </w:t>
      </w:r>
      <w:r w:rsidR="00B636DF">
        <w:rPr>
          <w:rFonts w:ascii="Times New Roman" w:hAnsi="Times New Roman" w:cs="Times New Roman"/>
          <w:sz w:val="24"/>
          <w:szCs w:val="24"/>
        </w:rPr>
        <w:t xml:space="preserve">объем их НИОКР составлял </w:t>
      </w:r>
      <w:r w:rsidR="004774FB">
        <w:rPr>
          <w:rFonts w:ascii="Times New Roman" w:hAnsi="Times New Roman" w:cs="Times New Roman"/>
          <w:sz w:val="24"/>
          <w:szCs w:val="24"/>
        </w:rPr>
        <w:t xml:space="preserve">более 3 млрд. рублей. </w:t>
      </w:r>
      <w:r w:rsidR="00CF3A4C">
        <w:rPr>
          <w:rFonts w:ascii="Times New Roman" w:hAnsi="Times New Roman" w:cs="Times New Roman"/>
          <w:sz w:val="24"/>
          <w:szCs w:val="24"/>
        </w:rPr>
        <w:t>Однако</w:t>
      </w:r>
      <w:proofErr w:type="gramStart"/>
      <w:r w:rsidR="00CF3A4C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="00CF3A4C">
        <w:rPr>
          <w:rFonts w:ascii="Times New Roman" w:hAnsi="Times New Roman" w:cs="Times New Roman"/>
          <w:sz w:val="24"/>
          <w:szCs w:val="24"/>
        </w:rPr>
        <w:t xml:space="preserve"> 40,8% данного показателя было обеспечено за счет вузов лишь одного региона – Приморского края. Помимо данного субъекта федерации в тройку лидеров по объему НИОКР входили вузы Республики Саха (Якутия) и Хабаровского края, на которые приходилось по 17,9% и 16,2% анализируемого показателя соответственно</w:t>
      </w:r>
      <w:proofErr w:type="gramStart"/>
      <w:r w:rsidR="00CF3A4C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CF3A4C">
        <w:rPr>
          <w:rFonts w:ascii="Times New Roman" w:hAnsi="Times New Roman" w:cs="Times New Roman"/>
          <w:sz w:val="24"/>
          <w:szCs w:val="24"/>
        </w:rPr>
        <w:t xml:space="preserve"> </w:t>
      </w:r>
      <w:r w:rsidR="006A4738">
        <w:rPr>
          <w:rFonts w:ascii="Times New Roman" w:hAnsi="Times New Roman" w:cs="Times New Roman"/>
          <w:sz w:val="24"/>
          <w:szCs w:val="24"/>
        </w:rPr>
        <w:t>Образовательные организации высшего образования остальных восьми регионов Дальневосточного федерального округа в совокупности обеспечивали только четверть (25,2%) объема НИОКР</w:t>
      </w:r>
      <w:r w:rsidR="00DE3DE9">
        <w:rPr>
          <w:rFonts w:ascii="Times New Roman" w:hAnsi="Times New Roman" w:cs="Times New Roman"/>
          <w:sz w:val="24"/>
          <w:szCs w:val="24"/>
        </w:rPr>
        <w:t xml:space="preserve"> вузов</w:t>
      </w:r>
      <w:proofErr w:type="gramStart"/>
      <w:r w:rsidR="00DE3DE9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DE3DE9">
        <w:rPr>
          <w:rFonts w:ascii="Times New Roman" w:hAnsi="Times New Roman" w:cs="Times New Roman"/>
          <w:sz w:val="24"/>
          <w:szCs w:val="24"/>
        </w:rPr>
        <w:t xml:space="preserve"> Стоит отметить, что на вузы Приморья хоть и приходилась наибольшая доля научных исследований и разработок макрорегиона, данный субъект федерации  демонстрировал не самые лучшие темпы роста их объема</w:t>
      </w:r>
      <w:proofErr w:type="gramStart"/>
      <w:r w:rsidR="00DE3DE9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DE3DE9">
        <w:rPr>
          <w:rFonts w:ascii="Times New Roman" w:hAnsi="Times New Roman" w:cs="Times New Roman"/>
          <w:sz w:val="24"/>
          <w:szCs w:val="24"/>
        </w:rPr>
        <w:t xml:space="preserve"> </w:t>
      </w:r>
      <w:r w:rsidR="00192DD1">
        <w:rPr>
          <w:rFonts w:ascii="Times New Roman" w:hAnsi="Times New Roman" w:cs="Times New Roman"/>
          <w:sz w:val="24"/>
          <w:szCs w:val="24"/>
        </w:rPr>
        <w:t>За исследуемый период объем НИОКР вузов, дислоцированных на его территории, увеличился в 1,68 раза, в то время как аналогичный показатель других субъектов Российской Федерации, на которые приходится небольшая его доля в макрорегиональном объеме, достигал более высоких значений</w:t>
      </w:r>
      <w:proofErr w:type="gramStart"/>
      <w:r w:rsidR="00192DD1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192DD1">
        <w:rPr>
          <w:rFonts w:ascii="Times New Roman" w:hAnsi="Times New Roman" w:cs="Times New Roman"/>
          <w:sz w:val="24"/>
          <w:szCs w:val="24"/>
        </w:rPr>
        <w:t xml:space="preserve"> Так, в Сахалинской области темп роста объемов НИОКР вузов с 2020 года к 2024 году вырос в 7 раз, в Камчатском крае – в 6,27 раза, в Республике Бурятия – в 2 раза </w:t>
      </w:r>
      <w:r w:rsidR="00DE3DE9">
        <w:rPr>
          <w:rFonts w:ascii="Times New Roman" w:hAnsi="Times New Roman" w:cs="Times New Roman"/>
          <w:sz w:val="24"/>
          <w:szCs w:val="24"/>
        </w:rPr>
        <w:t>(табл. 1).</w:t>
      </w:r>
    </w:p>
    <w:p w:rsidR="00DE3DE9" w:rsidRDefault="00DE3DE9" w:rsidP="00DE3DE9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Таблица 1</w:t>
      </w:r>
    </w:p>
    <w:p w:rsidR="00DE3DE9" w:rsidRDefault="00DE3DE9" w:rsidP="00DE3DE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Объем НИОКР вузов в регионах Дальнего Востока</w:t>
      </w:r>
    </w:p>
    <w:tbl>
      <w:tblPr>
        <w:tblW w:w="9371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75"/>
        <w:gridCol w:w="711"/>
        <w:gridCol w:w="711"/>
        <w:gridCol w:w="711"/>
        <w:gridCol w:w="711"/>
        <w:gridCol w:w="711"/>
        <w:gridCol w:w="839"/>
        <w:gridCol w:w="850"/>
        <w:gridCol w:w="851"/>
        <w:gridCol w:w="850"/>
        <w:gridCol w:w="851"/>
      </w:tblGrid>
      <w:tr w:rsidR="00105320" w:rsidRPr="00105320" w:rsidTr="00105320">
        <w:trPr>
          <w:trHeight w:val="300"/>
        </w:trPr>
        <w:tc>
          <w:tcPr>
            <w:tcW w:w="1575" w:type="dxa"/>
            <w:vMerge w:val="restart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Регионы</w:t>
            </w:r>
          </w:p>
        </w:tc>
        <w:tc>
          <w:tcPr>
            <w:tcW w:w="3555" w:type="dxa"/>
            <w:gridSpan w:val="5"/>
            <w:shd w:val="clear" w:color="auto" w:fill="auto"/>
            <w:noWrap/>
            <w:vAlign w:val="center"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Объем НИОКР, млн. руб.</w:t>
            </w:r>
          </w:p>
        </w:tc>
        <w:tc>
          <w:tcPr>
            <w:tcW w:w="4241" w:type="dxa"/>
            <w:gridSpan w:val="5"/>
            <w:shd w:val="clear" w:color="auto" w:fill="auto"/>
            <w:noWrap/>
            <w:vAlign w:val="center"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Темпы роста</w:t>
            </w:r>
          </w:p>
        </w:tc>
      </w:tr>
      <w:tr w:rsidR="00105320" w:rsidRPr="00105320" w:rsidTr="00105320">
        <w:trPr>
          <w:trHeight w:val="300"/>
        </w:trPr>
        <w:tc>
          <w:tcPr>
            <w:tcW w:w="1575" w:type="dxa"/>
            <w:vMerge/>
            <w:shd w:val="clear" w:color="auto" w:fill="auto"/>
            <w:noWrap/>
            <w:vAlign w:val="center"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711" w:type="dxa"/>
            <w:shd w:val="clear" w:color="auto" w:fill="auto"/>
            <w:noWrap/>
            <w:vAlign w:val="center"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2020 г.</w:t>
            </w:r>
          </w:p>
        </w:tc>
        <w:tc>
          <w:tcPr>
            <w:tcW w:w="711" w:type="dxa"/>
            <w:shd w:val="clear" w:color="auto" w:fill="auto"/>
            <w:noWrap/>
            <w:vAlign w:val="center"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2021 г.</w:t>
            </w:r>
          </w:p>
        </w:tc>
        <w:tc>
          <w:tcPr>
            <w:tcW w:w="711" w:type="dxa"/>
            <w:shd w:val="clear" w:color="auto" w:fill="auto"/>
            <w:noWrap/>
            <w:vAlign w:val="center"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2022 г.</w:t>
            </w:r>
          </w:p>
        </w:tc>
        <w:tc>
          <w:tcPr>
            <w:tcW w:w="711" w:type="dxa"/>
            <w:shd w:val="clear" w:color="auto" w:fill="auto"/>
            <w:noWrap/>
            <w:vAlign w:val="center"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2023 г.</w:t>
            </w:r>
          </w:p>
        </w:tc>
        <w:tc>
          <w:tcPr>
            <w:tcW w:w="711" w:type="dxa"/>
            <w:shd w:val="clear" w:color="auto" w:fill="auto"/>
            <w:noWrap/>
            <w:vAlign w:val="center"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2024 г.</w:t>
            </w:r>
          </w:p>
        </w:tc>
        <w:tc>
          <w:tcPr>
            <w:tcW w:w="839" w:type="dxa"/>
            <w:shd w:val="clear" w:color="auto" w:fill="auto"/>
            <w:noWrap/>
            <w:vAlign w:val="center"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2021 г. к 2020 г.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2022 г. к 2021 г.</w:t>
            </w:r>
          </w:p>
        </w:tc>
        <w:tc>
          <w:tcPr>
            <w:tcW w:w="851" w:type="dxa"/>
            <w:shd w:val="clear" w:color="auto" w:fill="auto"/>
            <w:noWrap/>
            <w:vAlign w:val="center"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2023 г. к 2022 г.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2024 г. к 2023 г.</w:t>
            </w:r>
          </w:p>
        </w:tc>
        <w:tc>
          <w:tcPr>
            <w:tcW w:w="851" w:type="dxa"/>
            <w:shd w:val="clear" w:color="auto" w:fill="auto"/>
            <w:noWrap/>
            <w:vAlign w:val="center"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2024 г. к 2020 г.</w:t>
            </w:r>
          </w:p>
        </w:tc>
      </w:tr>
      <w:tr w:rsidR="00105320" w:rsidRPr="00105320" w:rsidTr="00105320">
        <w:trPr>
          <w:trHeight w:val="300"/>
        </w:trPr>
        <w:tc>
          <w:tcPr>
            <w:tcW w:w="1575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Амурская область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142.6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156.3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216.2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201.1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216.9</w:t>
            </w:r>
          </w:p>
        </w:tc>
        <w:tc>
          <w:tcPr>
            <w:tcW w:w="839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1.10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1.38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0.93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1.08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1.52</w:t>
            </w:r>
          </w:p>
        </w:tc>
      </w:tr>
      <w:tr w:rsidR="00105320" w:rsidRPr="00105320" w:rsidTr="00105320">
        <w:trPr>
          <w:trHeight w:val="300"/>
        </w:trPr>
        <w:tc>
          <w:tcPr>
            <w:tcW w:w="1575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ЕАО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13.2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10.3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8.2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6.7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21.1</w:t>
            </w:r>
          </w:p>
        </w:tc>
        <w:tc>
          <w:tcPr>
            <w:tcW w:w="839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0.78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0.80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0.81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3.16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1.60</w:t>
            </w:r>
          </w:p>
        </w:tc>
      </w:tr>
      <w:tr w:rsidR="00105320" w:rsidRPr="00105320" w:rsidTr="00105320">
        <w:trPr>
          <w:trHeight w:val="300"/>
        </w:trPr>
        <w:tc>
          <w:tcPr>
            <w:tcW w:w="1575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Забайкальский край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107.3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84.7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76.8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122.5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109.4</w:t>
            </w:r>
          </w:p>
        </w:tc>
        <w:tc>
          <w:tcPr>
            <w:tcW w:w="839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0.79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0.91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1.59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0.89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1.02</w:t>
            </w:r>
          </w:p>
        </w:tc>
      </w:tr>
      <w:tr w:rsidR="00105320" w:rsidRPr="00105320" w:rsidTr="00105320">
        <w:trPr>
          <w:trHeight w:val="300"/>
        </w:trPr>
        <w:tc>
          <w:tcPr>
            <w:tcW w:w="1575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Камчатский край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13.9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17.0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17.1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21.0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87.4</w:t>
            </w:r>
          </w:p>
        </w:tc>
        <w:tc>
          <w:tcPr>
            <w:tcW w:w="839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1.22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1.00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1.23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4.15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6.27</w:t>
            </w:r>
          </w:p>
        </w:tc>
      </w:tr>
      <w:tr w:rsidR="00105320" w:rsidRPr="00105320" w:rsidTr="00105320">
        <w:trPr>
          <w:trHeight w:val="300"/>
        </w:trPr>
        <w:tc>
          <w:tcPr>
            <w:tcW w:w="1575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lastRenderedPageBreak/>
              <w:t>Магаданская область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25.1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26.2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26.3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26.9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27.0</w:t>
            </w:r>
          </w:p>
        </w:tc>
        <w:tc>
          <w:tcPr>
            <w:tcW w:w="839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1.04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1.00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1.02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1.01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1.08</w:t>
            </w:r>
          </w:p>
        </w:tc>
      </w:tr>
      <w:tr w:rsidR="00105320" w:rsidRPr="00105320" w:rsidTr="00105320">
        <w:trPr>
          <w:trHeight w:val="300"/>
        </w:trPr>
        <w:tc>
          <w:tcPr>
            <w:tcW w:w="1575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Приморский край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736.0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838.1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1183.6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1299.8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1236.3</w:t>
            </w:r>
          </w:p>
        </w:tc>
        <w:tc>
          <w:tcPr>
            <w:tcW w:w="839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1.14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1.41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1.10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0.95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1.68</w:t>
            </w:r>
          </w:p>
        </w:tc>
      </w:tr>
      <w:tr w:rsidR="00105320" w:rsidRPr="00105320" w:rsidTr="00105320">
        <w:trPr>
          <w:trHeight w:val="300"/>
        </w:trPr>
        <w:tc>
          <w:tcPr>
            <w:tcW w:w="1575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Республика Бурятия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95.9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115.5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132.0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261.8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192.2</w:t>
            </w:r>
          </w:p>
        </w:tc>
        <w:tc>
          <w:tcPr>
            <w:tcW w:w="839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1.20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1.14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1.98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0.73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2.00</w:t>
            </w:r>
          </w:p>
        </w:tc>
      </w:tr>
      <w:tr w:rsidR="00105320" w:rsidRPr="00105320" w:rsidTr="00105320">
        <w:trPr>
          <w:trHeight w:val="300"/>
        </w:trPr>
        <w:tc>
          <w:tcPr>
            <w:tcW w:w="1575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Республика Саха (Якутия)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391.6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472.0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546.2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615.8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542.4</w:t>
            </w:r>
          </w:p>
        </w:tc>
        <w:tc>
          <w:tcPr>
            <w:tcW w:w="839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1.21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1.16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1.13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0.88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1.39</w:t>
            </w:r>
          </w:p>
        </w:tc>
      </w:tr>
      <w:tr w:rsidR="00105320" w:rsidRPr="00105320" w:rsidTr="00105320">
        <w:trPr>
          <w:trHeight w:val="300"/>
        </w:trPr>
        <w:tc>
          <w:tcPr>
            <w:tcW w:w="1575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Сахалинская область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15.2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8.0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54.5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82.2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106.7</w:t>
            </w:r>
          </w:p>
        </w:tc>
        <w:tc>
          <w:tcPr>
            <w:tcW w:w="839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0.53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6.82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1.51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1.30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7.01</w:t>
            </w:r>
          </w:p>
        </w:tc>
      </w:tr>
      <w:tr w:rsidR="00105320" w:rsidRPr="00105320" w:rsidTr="00105320">
        <w:trPr>
          <w:trHeight w:val="300"/>
        </w:trPr>
        <w:tc>
          <w:tcPr>
            <w:tcW w:w="1575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Хабаровский край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342.5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381.0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281.7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328.9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490.3</w:t>
            </w:r>
          </w:p>
        </w:tc>
        <w:tc>
          <w:tcPr>
            <w:tcW w:w="839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1.11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0.74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1.17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1.49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1.43</w:t>
            </w:r>
          </w:p>
        </w:tc>
      </w:tr>
      <w:tr w:rsidR="00105320" w:rsidRPr="00105320" w:rsidTr="00105320">
        <w:trPr>
          <w:trHeight w:val="300"/>
        </w:trPr>
        <w:tc>
          <w:tcPr>
            <w:tcW w:w="1575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ЧАО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1.3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1.3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3.2</w:t>
            </w:r>
          </w:p>
        </w:tc>
        <w:tc>
          <w:tcPr>
            <w:tcW w:w="839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0.97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2.44</w:t>
            </w:r>
          </w:p>
        </w:tc>
      </w:tr>
      <w:tr w:rsidR="00105320" w:rsidRPr="00105320" w:rsidTr="00105320">
        <w:trPr>
          <w:trHeight w:val="300"/>
        </w:trPr>
        <w:tc>
          <w:tcPr>
            <w:tcW w:w="1575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ДФО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1884.7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2110.5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2542.7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2966.9</w:t>
            </w:r>
          </w:p>
        </w:tc>
        <w:tc>
          <w:tcPr>
            <w:tcW w:w="71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3032.8</w:t>
            </w:r>
          </w:p>
        </w:tc>
        <w:tc>
          <w:tcPr>
            <w:tcW w:w="839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1.12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1.20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1.17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1.02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105320" w:rsidRPr="00105320" w:rsidRDefault="00105320" w:rsidP="001053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1.61</w:t>
            </w:r>
          </w:p>
        </w:tc>
      </w:tr>
      <w:tr w:rsidR="00105320" w:rsidRPr="00105320" w:rsidTr="00975BC1">
        <w:trPr>
          <w:trHeight w:val="300"/>
        </w:trPr>
        <w:tc>
          <w:tcPr>
            <w:tcW w:w="9371" w:type="dxa"/>
            <w:gridSpan w:val="11"/>
            <w:shd w:val="clear" w:color="auto" w:fill="auto"/>
            <w:noWrap/>
            <w:vAlign w:val="center"/>
          </w:tcPr>
          <w:p w:rsidR="00105320" w:rsidRPr="00105320" w:rsidRDefault="00AE029A" w:rsidP="001053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Источник: рассчитано автором</w:t>
            </w:r>
            <w:r w:rsid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по </w:t>
            </w:r>
            <w:r w:rsidR="00105320" w:rsidRP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https://</w:t>
            </w:r>
            <w:r w:rsidR="0010532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monitoring.miccedu.ru/</w:t>
            </w:r>
          </w:p>
        </w:tc>
      </w:tr>
    </w:tbl>
    <w:p w:rsidR="00815118" w:rsidRDefault="00815118" w:rsidP="0010532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D7378" w:rsidRDefault="00CD7378" w:rsidP="0010532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Важно подчеркнуть, что вузовские научные исследования и разработки преимущественно сконцентрированы в трех крупных образовательных организациях высшего образования</w:t>
      </w:r>
      <w:r w:rsidR="004C0A90">
        <w:rPr>
          <w:rFonts w:ascii="Times New Roman" w:hAnsi="Times New Roman" w:cs="Times New Roman"/>
          <w:sz w:val="24"/>
          <w:szCs w:val="24"/>
        </w:rPr>
        <w:t xml:space="preserve"> Дальнего Востока</w:t>
      </w:r>
      <w:r>
        <w:rPr>
          <w:rFonts w:ascii="Times New Roman" w:hAnsi="Times New Roman" w:cs="Times New Roman"/>
          <w:sz w:val="24"/>
          <w:szCs w:val="24"/>
        </w:rPr>
        <w:t xml:space="preserve">. Речь идет о двух федеральных университетах: </w:t>
      </w:r>
      <w:proofErr w:type="gramStart"/>
      <w:r>
        <w:rPr>
          <w:rFonts w:ascii="Times New Roman" w:hAnsi="Times New Roman" w:cs="Times New Roman"/>
          <w:sz w:val="24"/>
          <w:szCs w:val="24"/>
        </w:rPr>
        <w:t>Дальневосточном (Приморский край) и Северо-Восточном (Республика Саха (Якутия)) и о Тихоокеанском государственном университете</w:t>
      </w:r>
      <w:r w:rsidR="00ED366A">
        <w:rPr>
          <w:rFonts w:ascii="Times New Roman" w:hAnsi="Times New Roman" w:cs="Times New Roman"/>
          <w:sz w:val="24"/>
          <w:szCs w:val="24"/>
        </w:rPr>
        <w:t xml:space="preserve"> (Хабаровский край)</w:t>
      </w:r>
      <w:r>
        <w:rPr>
          <w:rFonts w:ascii="Times New Roman" w:hAnsi="Times New Roman" w:cs="Times New Roman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Суммарно на них приходилось </w:t>
      </w:r>
      <w:r w:rsidR="00ED366A">
        <w:rPr>
          <w:rFonts w:ascii="Times New Roman" w:hAnsi="Times New Roman" w:cs="Times New Roman"/>
          <w:sz w:val="24"/>
          <w:szCs w:val="24"/>
        </w:rPr>
        <w:t>60% анализируемого показателя, на первый из них – примерно 35%</w:t>
      </w:r>
      <w:r w:rsidR="00BA15CE">
        <w:rPr>
          <w:rFonts w:ascii="Times New Roman" w:hAnsi="Times New Roman" w:cs="Times New Roman"/>
          <w:sz w:val="24"/>
          <w:szCs w:val="24"/>
        </w:rPr>
        <w:t xml:space="preserve">, на первые два – </w:t>
      </w:r>
      <w:r w:rsidR="00153EEC">
        <w:rPr>
          <w:rFonts w:ascii="Times New Roman" w:hAnsi="Times New Roman" w:cs="Times New Roman"/>
          <w:sz w:val="24"/>
          <w:szCs w:val="24"/>
        </w:rPr>
        <w:t>более половины.</w:t>
      </w:r>
    </w:p>
    <w:p w:rsidR="00BA15CE" w:rsidRDefault="00BA15CE" w:rsidP="0010532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Если </w:t>
      </w:r>
      <w:r w:rsidR="00350954">
        <w:rPr>
          <w:rFonts w:ascii="Times New Roman" w:hAnsi="Times New Roman" w:cs="Times New Roman"/>
          <w:sz w:val="24"/>
          <w:szCs w:val="24"/>
        </w:rPr>
        <w:t xml:space="preserve">анализировать объем НИОКР по типам образовательных организаций высшего образования, то можно увидеть, что в расчете на один вуз данный показатель более высокие значения </w:t>
      </w:r>
      <w:r w:rsidR="007F0F37">
        <w:rPr>
          <w:rFonts w:ascii="Times New Roman" w:hAnsi="Times New Roman" w:cs="Times New Roman"/>
          <w:sz w:val="24"/>
          <w:szCs w:val="24"/>
        </w:rPr>
        <w:t xml:space="preserve">(помимо федеральных университетов) </w:t>
      </w:r>
      <w:r w:rsidR="00350954">
        <w:rPr>
          <w:rFonts w:ascii="Times New Roman" w:hAnsi="Times New Roman" w:cs="Times New Roman"/>
          <w:sz w:val="24"/>
          <w:szCs w:val="24"/>
        </w:rPr>
        <w:t xml:space="preserve">принимает </w:t>
      </w:r>
      <w:r w:rsidR="007F0F37">
        <w:rPr>
          <w:rFonts w:ascii="Times New Roman" w:hAnsi="Times New Roman" w:cs="Times New Roman"/>
          <w:sz w:val="24"/>
          <w:szCs w:val="24"/>
        </w:rPr>
        <w:t xml:space="preserve">у сельскохозяйственных и медицинских вузов, более низкие – у творческих и транспортных. </w:t>
      </w:r>
      <w:proofErr w:type="gramEnd"/>
      <w:r w:rsidR="007F0F37">
        <w:rPr>
          <w:rFonts w:ascii="Times New Roman" w:hAnsi="Times New Roman" w:cs="Times New Roman"/>
          <w:sz w:val="24"/>
          <w:szCs w:val="24"/>
        </w:rPr>
        <w:t>Наилучшие средние темпы роста данного показателя в 2020–2024 гг. были присущи сельскохозяйственным (1,34) и творческим вузам (1,20). Вузы транспортной направленности продемонстрировали среднюю отрицательную динамику: в среднем в год за исследуемый период объемы их научных исследований сокращались на 2% (табл. 2).</w:t>
      </w:r>
    </w:p>
    <w:p w:rsidR="00BA15CE" w:rsidRDefault="00BA15CE" w:rsidP="00BA15CE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Таблица 2</w:t>
      </w:r>
    </w:p>
    <w:p w:rsidR="00BA15CE" w:rsidRDefault="00BA15CE" w:rsidP="00BA15CE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Средний объем НИОКР одного вуза Дальнего Востока по типам вузов, млн. руб.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227"/>
        <w:gridCol w:w="826"/>
        <w:gridCol w:w="826"/>
        <w:gridCol w:w="826"/>
        <w:gridCol w:w="826"/>
        <w:gridCol w:w="826"/>
        <w:gridCol w:w="1003"/>
        <w:gridCol w:w="1044"/>
      </w:tblGrid>
      <w:tr w:rsidR="00BA15CE" w:rsidRPr="00BA15CE" w:rsidTr="00BA15CE">
        <w:trPr>
          <w:trHeight w:val="300"/>
        </w:trPr>
        <w:tc>
          <w:tcPr>
            <w:tcW w:w="3227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Типы вузов</w:t>
            </w:r>
          </w:p>
        </w:tc>
        <w:tc>
          <w:tcPr>
            <w:tcW w:w="826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2020 г.</w:t>
            </w:r>
          </w:p>
        </w:tc>
        <w:tc>
          <w:tcPr>
            <w:tcW w:w="826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2021 г.</w:t>
            </w:r>
          </w:p>
        </w:tc>
        <w:tc>
          <w:tcPr>
            <w:tcW w:w="826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2022 г.</w:t>
            </w:r>
          </w:p>
        </w:tc>
        <w:tc>
          <w:tcPr>
            <w:tcW w:w="826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2023 г.</w:t>
            </w:r>
          </w:p>
        </w:tc>
        <w:tc>
          <w:tcPr>
            <w:tcW w:w="826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2024 г.</w:t>
            </w:r>
          </w:p>
        </w:tc>
        <w:tc>
          <w:tcPr>
            <w:tcW w:w="1003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Среднее</w:t>
            </w:r>
          </w:p>
        </w:tc>
        <w:tc>
          <w:tcPr>
            <w:tcW w:w="1044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Средний темп роста</w:t>
            </w:r>
          </w:p>
        </w:tc>
      </w:tr>
      <w:tr w:rsidR="00BA15CE" w:rsidRPr="00BA15CE" w:rsidTr="00BA15CE">
        <w:trPr>
          <w:trHeight w:val="300"/>
        </w:trPr>
        <w:tc>
          <w:tcPr>
            <w:tcW w:w="3227" w:type="dxa"/>
            <w:noWrap/>
            <w:hideMark/>
          </w:tcPr>
          <w:p w:rsidR="00BA15CE" w:rsidRPr="00BA15CE" w:rsidRDefault="00BA15CE" w:rsidP="00BA15C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Вузы без специфики деятельности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, в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т.ч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826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30.60</w:t>
            </w:r>
          </w:p>
        </w:tc>
        <w:tc>
          <w:tcPr>
            <w:tcW w:w="826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38.29</w:t>
            </w:r>
          </w:p>
        </w:tc>
        <w:tc>
          <w:tcPr>
            <w:tcW w:w="826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48.71</w:t>
            </w:r>
          </w:p>
        </w:tc>
        <w:tc>
          <w:tcPr>
            <w:tcW w:w="826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55.62</w:t>
            </w:r>
          </w:p>
        </w:tc>
        <w:tc>
          <w:tcPr>
            <w:tcW w:w="826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59.39</w:t>
            </w:r>
          </w:p>
        </w:tc>
        <w:tc>
          <w:tcPr>
            <w:tcW w:w="1003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46.52</w:t>
            </w:r>
          </w:p>
        </w:tc>
        <w:tc>
          <w:tcPr>
            <w:tcW w:w="1044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1.18</w:t>
            </w:r>
          </w:p>
        </w:tc>
      </w:tr>
      <w:tr w:rsidR="00BA15CE" w:rsidRPr="00BA15CE" w:rsidTr="00BA15CE">
        <w:trPr>
          <w:trHeight w:val="300"/>
        </w:trPr>
        <w:tc>
          <w:tcPr>
            <w:tcW w:w="3227" w:type="dxa"/>
            <w:noWrap/>
            <w:hideMark/>
          </w:tcPr>
          <w:p w:rsidR="00BA15CE" w:rsidRPr="00BA15CE" w:rsidRDefault="00BA15CE" w:rsidP="00BA15CE">
            <w:pPr>
              <w:ind w:firstLine="14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ф</w:t>
            </w: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едеральные университеты</w:t>
            </w:r>
          </w:p>
        </w:tc>
        <w:tc>
          <w:tcPr>
            <w:tcW w:w="826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454.40</w:t>
            </w:r>
          </w:p>
        </w:tc>
        <w:tc>
          <w:tcPr>
            <w:tcW w:w="826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505.77</w:t>
            </w:r>
          </w:p>
        </w:tc>
        <w:tc>
          <w:tcPr>
            <w:tcW w:w="826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728.18</w:t>
            </w:r>
          </w:p>
        </w:tc>
        <w:tc>
          <w:tcPr>
            <w:tcW w:w="826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787.96</w:t>
            </w:r>
          </w:p>
        </w:tc>
        <w:tc>
          <w:tcPr>
            <w:tcW w:w="826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735.44</w:t>
            </w:r>
          </w:p>
        </w:tc>
        <w:tc>
          <w:tcPr>
            <w:tcW w:w="1003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642.35</w:t>
            </w:r>
          </w:p>
        </w:tc>
        <w:tc>
          <w:tcPr>
            <w:tcW w:w="1044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1.14</w:t>
            </w:r>
          </w:p>
        </w:tc>
      </w:tr>
      <w:tr w:rsidR="00BA15CE" w:rsidRPr="00BA15CE" w:rsidTr="00BA15CE">
        <w:trPr>
          <w:trHeight w:val="300"/>
        </w:trPr>
        <w:tc>
          <w:tcPr>
            <w:tcW w:w="3227" w:type="dxa"/>
            <w:noWrap/>
            <w:hideMark/>
          </w:tcPr>
          <w:p w:rsidR="00BA15CE" w:rsidRPr="00BA15CE" w:rsidRDefault="00BA15CE" w:rsidP="00BA15CE">
            <w:pPr>
              <w:ind w:firstLine="14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в</w:t>
            </w:r>
            <w:r w:rsidR="00AE029A">
              <w:rPr>
                <w:rFonts w:ascii="Times New Roman" w:hAnsi="Times New Roman" w:cs="Times New Roman"/>
                <w:sz w:val="20"/>
                <w:szCs w:val="20"/>
              </w:rPr>
              <w:t xml:space="preserve">узы без специфики деятельности </w:t>
            </w: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за исключ</w:t>
            </w:r>
            <w:r w:rsidR="00AE029A">
              <w:rPr>
                <w:rFonts w:ascii="Times New Roman" w:hAnsi="Times New Roman" w:cs="Times New Roman"/>
                <w:sz w:val="20"/>
                <w:szCs w:val="20"/>
              </w:rPr>
              <w:t>ением федеральных университетов</w:t>
            </w:r>
          </w:p>
        </w:tc>
        <w:tc>
          <w:tcPr>
            <w:tcW w:w="826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13.98</w:t>
            </w:r>
          </w:p>
        </w:tc>
        <w:tc>
          <w:tcPr>
            <w:tcW w:w="826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17.51</w:t>
            </w:r>
          </w:p>
        </w:tc>
        <w:tc>
          <w:tcPr>
            <w:tcW w:w="826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17.82</w:t>
            </w:r>
          </w:p>
        </w:tc>
        <w:tc>
          <w:tcPr>
            <w:tcW w:w="826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21.56</w:t>
            </w:r>
          </w:p>
        </w:tc>
        <w:tc>
          <w:tcPr>
            <w:tcW w:w="826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27.95</w:t>
            </w:r>
          </w:p>
        </w:tc>
        <w:tc>
          <w:tcPr>
            <w:tcW w:w="1003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19.77</w:t>
            </w:r>
          </w:p>
        </w:tc>
        <w:tc>
          <w:tcPr>
            <w:tcW w:w="1044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1.19</w:t>
            </w:r>
          </w:p>
        </w:tc>
      </w:tr>
      <w:tr w:rsidR="00BA15CE" w:rsidRPr="00BA15CE" w:rsidTr="00BA15CE">
        <w:trPr>
          <w:trHeight w:val="300"/>
        </w:trPr>
        <w:tc>
          <w:tcPr>
            <w:tcW w:w="3227" w:type="dxa"/>
            <w:noWrap/>
            <w:hideMark/>
          </w:tcPr>
          <w:p w:rsidR="00BA15CE" w:rsidRPr="00BA15CE" w:rsidRDefault="00BA15CE" w:rsidP="00BA15C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Медицинские</w:t>
            </w:r>
          </w:p>
        </w:tc>
        <w:tc>
          <w:tcPr>
            <w:tcW w:w="826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28.00</w:t>
            </w:r>
          </w:p>
        </w:tc>
        <w:tc>
          <w:tcPr>
            <w:tcW w:w="826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29.43</w:t>
            </w:r>
          </w:p>
        </w:tc>
        <w:tc>
          <w:tcPr>
            <w:tcW w:w="826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29.10</w:t>
            </w:r>
          </w:p>
        </w:tc>
        <w:tc>
          <w:tcPr>
            <w:tcW w:w="826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23.70</w:t>
            </w:r>
          </w:p>
        </w:tc>
        <w:tc>
          <w:tcPr>
            <w:tcW w:w="826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33.28</w:t>
            </w:r>
          </w:p>
        </w:tc>
        <w:tc>
          <w:tcPr>
            <w:tcW w:w="1003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28.70</w:t>
            </w:r>
          </w:p>
        </w:tc>
        <w:tc>
          <w:tcPr>
            <w:tcW w:w="1044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1.06</w:t>
            </w:r>
          </w:p>
        </w:tc>
      </w:tr>
      <w:tr w:rsidR="00BA15CE" w:rsidRPr="00BA15CE" w:rsidTr="00BA15CE">
        <w:trPr>
          <w:trHeight w:val="300"/>
        </w:trPr>
        <w:tc>
          <w:tcPr>
            <w:tcW w:w="3227" w:type="dxa"/>
            <w:noWrap/>
            <w:hideMark/>
          </w:tcPr>
          <w:p w:rsidR="00BA15CE" w:rsidRPr="00BA15CE" w:rsidRDefault="00BA15CE" w:rsidP="00BA15C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Сельскохозяйственные</w:t>
            </w:r>
          </w:p>
        </w:tc>
        <w:tc>
          <w:tcPr>
            <w:tcW w:w="826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15.70</w:t>
            </w:r>
          </w:p>
        </w:tc>
        <w:tc>
          <w:tcPr>
            <w:tcW w:w="826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25.77</w:t>
            </w:r>
          </w:p>
        </w:tc>
        <w:tc>
          <w:tcPr>
            <w:tcW w:w="826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24.94</w:t>
            </w:r>
          </w:p>
        </w:tc>
        <w:tc>
          <w:tcPr>
            <w:tcW w:w="826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53.36</w:t>
            </w:r>
          </w:p>
        </w:tc>
        <w:tc>
          <w:tcPr>
            <w:tcW w:w="826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32.56</w:t>
            </w:r>
          </w:p>
        </w:tc>
        <w:tc>
          <w:tcPr>
            <w:tcW w:w="1003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30.46</w:t>
            </w:r>
          </w:p>
        </w:tc>
        <w:tc>
          <w:tcPr>
            <w:tcW w:w="1044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1.34</w:t>
            </w:r>
          </w:p>
        </w:tc>
      </w:tr>
      <w:tr w:rsidR="00BA15CE" w:rsidRPr="00BA15CE" w:rsidTr="00BA15CE">
        <w:trPr>
          <w:trHeight w:val="300"/>
        </w:trPr>
        <w:tc>
          <w:tcPr>
            <w:tcW w:w="3227" w:type="dxa"/>
            <w:noWrap/>
            <w:hideMark/>
          </w:tcPr>
          <w:p w:rsidR="00BA15CE" w:rsidRPr="00BA15CE" w:rsidRDefault="00BA15CE" w:rsidP="00BA15C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Творческие</w:t>
            </w:r>
          </w:p>
        </w:tc>
        <w:tc>
          <w:tcPr>
            <w:tcW w:w="826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4.91</w:t>
            </w:r>
          </w:p>
        </w:tc>
        <w:tc>
          <w:tcPr>
            <w:tcW w:w="826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8.13</w:t>
            </w:r>
          </w:p>
        </w:tc>
        <w:tc>
          <w:tcPr>
            <w:tcW w:w="826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6.40</w:t>
            </w:r>
          </w:p>
        </w:tc>
        <w:tc>
          <w:tcPr>
            <w:tcW w:w="826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8.80</w:t>
            </w:r>
          </w:p>
        </w:tc>
        <w:tc>
          <w:tcPr>
            <w:tcW w:w="826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8.57</w:t>
            </w:r>
          </w:p>
        </w:tc>
        <w:tc>
          <w:tcPr>
            <w:tcW w:w="1003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7.36</w:t>
            </w:r>
          </w:p>
        </w:tc>
        <w:tc>
          <w:tcPr>
            <w:tcW w:w="1044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1.20</w:t>
            </w:r>
          </w:p>
        </w:tc>
      </w:tr>
      <w:tr w:rsidR="00BA15CE" w:rsidRPr="00BA15CE" w:rsidTr="00BA15CE">
        <w:trPr>
          <w:trHeight w:val="300"/>
        </w:trPr>
        <w:tc>
          <w:tcPr>
            <w:tcW w:w="3227" w:type="dxa"/>
            <w:noWrap/>
            <w:hideMark/>
          </w:tcPr>
          <w:p w:rsidR="00BA15CE" w:rsidRPr="00BA15CE" w:rsidRDefault="00BA15CE" w:rsidP="00BA15C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Транспортные</w:t>
            </w:r>
          </w:p>
        </w:tc>
        <w:tc>
          <w:tcPr>
            <w:tcW w:w="826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11.30</w:t>
            </w:r>
          </w:p>
        </w:tc>
        <w:tc>
          <w:tcPr>
            <w:tcW w:w="826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6.15</w:t>
            </w:r>
          </w:p>
        </w:tc>
        <w:tc>
          <w:tcPr>
            <w:tcW w:w="826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4.32</w:t>
            </w:r>
          </w:p>
        </w:tc>
        <w:tc>
          <w:tcPr>
            <w:tcW w:w="826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10.60</w:t>
            </w:r>
          </w:p>
        </w:tc>
        <w:tc>
          <w:tcPr>
            <w:tcW w:w="826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2.39</w:t>
            </w:r>
          </w:p>
        </w:tc>
        <w:tc>
          <w:tcPr>
            <w:tcW w:w="1003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6.95</w:t>
            </w:r>
          </w:p>
        </w:tc>
        <w:tc>
          <w:tcPr>
            <w:tcW w:w="1044" w:type="dxa"/>
            <w:noWrap/>
            <w:vAlign w:val="center"/>
            <w:hideMark/>
          </w:tcPr>
          <w:p w:rsidR="00BA15CE" w:rsidRPr="00BA15CE" w:rsidRDefault="00BA15CE" w:rsidP="00BA15C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15CE">
              <w:rPr>
                <w:rFonts w:ascii="Times New Roman" w:hAnsi="Times New Roman" w:cs="Times New Roman"/>
                <w:sz w:val="20"/>
                <w:szCs w:val="20"/>
              </w:rPr>
              <w:t>0.98</w:t>
            </w:r>
          </w:p>
        </w:tc>
      </w:tr>
      <w:tr w:rsidR="00BA15CE" w:rsidRPr="00BA15CE" w:rsidTr="00975BC1">
        <w:trPr>
          <w:trHeight w:val="300"/>
        </w:trPr>
        <w:tc>
          <w:tcPr>
            <w:tcW w:w="9404" w:type="dxa"/>
            <w:gridSpan w:val="8"/>
            <w:noWrap/>
          </w:tcPr>
          <w:p w:rsidR="00BA15CE" w:rsidRPr="00BA15CE" w:rsidRDefault="00AE029A" w:rsidP="00BA15C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Источник: рассчитано автором</w:t>
            </w:r>
            <w:r w:rsidR="00BA15CE" w:rsidRPr="00BA15CE">
              <w:rPr>
                <w:rFonts w:ascii="Times New Roman" w:hAnsi="Times New Roman" w:cs="Times New Roman"/>
                <w:sz w:val="20"/>
                <w:szCs w:val="20"/>
              </w:rPr>
              <w:t xml:space="preserve"> по https://monitoring.miccedu.ru/</w:t>
            </w:r>
          </w:p>
        </w:tc>
      </w:tr>
    </w:tbl>
    <w:p w:rsidR="00BA15CE" w:rsidRDefault="00BA15CE" w:rsidP="00BA15C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52C6F" w:rsidRDefault="00CF20F9" w:rsidP="0010532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</w:t>
      </w:r>
      <w:r w:rsidR="00820471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>нимая во внимание диффер</w:t>
      </w:r>
      <w:r w:rsidR="00CD7378">
        <w:rPr>
          <w:rFonts w:ascii="Times New Roman" w:hAnsi="Times New Roman" w:cs="Times New Roman"/>
          <w:sz w:val="24"/>
          <w:szCs w:val="24"/>
        </w:rPr>
        <w:t xml:space="preserve">енциацию </w:t>
      </w:r>
      <w:r w:rsidR="00820471">
        <w:rPr>
          <w:rFonts w:ascii="Times New Roman" w:hAnsi="Times New Roman" w:cs="Times New Roman"/>
          <w:sz w:val="24"/>
          <w:szCs w:val="24"/>
        </w:rPr>
        <w:t>вузов по численности профессорско-преподавательского состава и научных работников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820471">
        <w:rPr>
          <w:rFonts w:ascii="Times New Roman" w:hAnsi="Times New Roman" w:cs="Times New Roman"/>
          <w:sz w:val="24"/>
          <w:szCs w:val="24"/>
        </w:rPr>
        <w:t xml:space="preserve">целесообразно проанализировать объем их НИОКР, приведенный к численности научно-педагогических работников. </w:t>
      </w:r>
      <w:r w:rsidR="007E2230">
        <w:rPr>
          <w:rFonts w:ascii="Times New Roman" w:hAnsi="Times New Roman" w:cs="Times New Roman"/>
          <w:sz w:val="24"/>
          <w:szCs w:val="24"/>
        </w:rPr>
        <w:t xml:space="preserve">Учитывая также различия регионов по уровню экономического развития, более рационально исследовать динамику названного показателя. </w:t>
      </w:r>
      <w:r w:rsidR="005A0B48">
        <w:rPr>
          <w:rFonts w:ascii="Times New Roman" w:hAnsi="Times New Roman" w:cs="Times New Roman"/>
          <w:sz w:val="24"/>
          <w:szCs w:val="24"/>
        </w:rPr>
        <w:t>Проведенные расчеты, основанные на данных</w:t>
      </w:r>
      <w:r w:rsidR="00820471">
        <w:rPr>
          <w:rFonts w:ascii="Times New Roman" w:hAnsi="Times New Roman" w:cs="Times New Roman"/>
          <w:sz w:val="24"/>
          <w:szCs w:val="24"/>
        </w:rPr>
        <w:t xml:space="preserve"> мониторинга эффективности деятельности вузов</w:t>
      </w:r>
      <w:r w:rsidR="005A0B48">
        <w:rPr>
          <w:rFonts w:ascii="Times New Roman" w:hAnsi="Times New Roman" w:cs="Times New Roman"/>
          <w:sz w:val="24"/>
          <w:szCs w:val="24"/>
        </w:rPr>
        <w:t>,</w:t>
      </w:r>
      <w:r w:rsidR="00820471">
        <w:rPr>
          <w:rFonts w:ascii="Times New Roman" w:hAnsi="Times New Roman" w:cs="Times New Roman"/>
          <w:sz w:val="24"/>
          <w:szCs w:val="24"/>
        </w:rPr>
        <w:t xml:space="preserve"> свидетельствуют, что </w:t>
      </w:r>
      <w:r w:rsidR="00FC3084">
        <w:rPr>
          <w:rFonts w:ascii="Times New Roman" w:hAnsi="Times New Roman" w:cs="Times New Roman"/>
          <w:sz w:val="24"/>
          <w:szCs w:val="24"/>
        </w:rPr>
        <w:t xml:space="preserve">наилучшие средние темпы роста объема НИОКР на одного научно-педагогического </w:t>
      </w:r>
      <w:r w:rsidR="00FC3084">
        <w:rPr>
          <w:rFonts w:ascii="Times New Roman" w:hAnsi="Times New Roman" w:cs="Times New Roman"/>
          <w:sz w:val="24"/>
          <w:szCs w:val="24"/>
        </w:rPr>
        <w:lastRenderedPageBreak/>
        <w:t xml:space="preserve">работника с 2020 года по 2024 год </w:t>
      </w:r>
      <w:r w:rsidR="00BB3F2A">
        <w:rPr>
          <w:rFonts w:ascii="Times New Roman" w:hAnsi="Times New Roman" w:cs="Times New Roman"/>
          <w:sz w:val="24"/>
          <w:szCs w:val="24"/>
        </w:rPr>
        <w:t xml:space="preserve">были характерны </w:t>
      </w:r>
      <w:r w:rsidR="00153EEC">
        <w:rPr>
          <w:rFonts w:ascii="Times New Roman" w:hAnsi="Times New Roman" w:cs="Times New Roman"/>
          <w:sz w:val="24"/>
          <w:szCs w:val="24"/>
        </w:rPr>
        <w:t>для вузов</w:t>
      </w:r>
      <w:r w:rsidR="00FC3084">
        <w:rPr>
          <w:rFonts w:ascii="Times New Roman" w:hAnsi="Times New Roman" w:cs="Times New Roman"/>
          <w:sz w:val="24"/>
          <w:szCs w:val="24"/>
        </w:rPr>
        <w:t xml:space="preserve"> Камчатского края (1,7 раза), Республики Бурятия (1,47 раза) и Еврейской автономной области (1,43 раза). Вузы трех регионов-лидеров по объему научных исследований </w:t>
      </w:r>
      <w:r w:rsidR="00BB3F2A">
        <w:rPr>
          <w:rFonts w:ascii="Times New Roman" w:hAnsi="Times New Roman" w:cs="Times New Roman"/>
          <w:sz w:val="24"/>
          <w:szCs w:val="24"/>
        </w:rPr>
        <w:t xml:space="preserve">в среднем в год по приведенному показателю прирастали лишь от 12% до 20%. </w:t>
      </w:r>
    </w:p>
    <w:p w:rsidR="00F55498" w:rsidRDefault="00BB1392" w:rsidP="0010532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Анализ степени самостоятельности реализации вузами Дальневосточного макрорегиона научных исследований и разработок показал, что </w:t>
      </w:r>
      <w:r w:rsidR="00F55498">
        <w:rPr>
          <w:rFonts w:ascii="Times New Roman" w:hAnsi="Times New Roman" w:cs="Times New Roman"/>
          <w:sz w:val="24"/>
          <w:szCs w:val="24"/>
        </w:rPr>
        <w:t>этот показатель на протяжении 2020–2024 гг. был довольно высок, достигая значений от 88,6% до 98,5%. Полностью собственными силами научные исследования реализовывались лишь в тех субъектах федерации Дальнего Востока, в которых функционирует только по одному вузу. Это Еврейская автономная и Магаданская области, Чукотский автономный округ.</w:t>
      </w:r>
    </w:p>
    <w:p w:rsidR="004C3B56" w:rsidRDefault="004C3B56" w:rsidP="0010532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Несмотря на рост объемов НИОКР вузов Дальневосточного федерального округа, превышающий уровень инфляции, фиксируемый в последние годы, доля доходов от научных исследований и разработок в общих доходах вузов </w:t>
      </w:r>
      <w:r w:rsidR="00DD506B">
        <w:rPr>
          <w:rFonts w:ascii="Times New Roman" w:hAnsi="Times New Roman" w:cs="Times New Roman"/>
          <w:sz w:val="24"/>
          <w:szCs w:val="24"/>
        </w:rPr>
        <w:t>продолжала</w:t>
      </w:r>
      <w:r>
        <w:rPr>
          <w:rFonts w:ascii="Times New Roman" w:hAnsi="Times New Roman" w:cs="Times New Roman"/>
          <w:sz w:val="24"/>
          <w:szCs w:val="24"/>
        </w:rPr>
        <w:t xml:space="preserve"> оставаться</w:t>
      </w:r>
      <w:r w:rsidR="00DD506B">
        <w:rPr>
          <w:rFonts w:ascii="Times New Roman" w:hAnsi="Times New Roman" w:cs="Times New Roman"/>
          <w:sz w:val="24"/>
          <w:szCs w:val="24"/>
        </w:rPr>
        <w:t xml:space="preserve"> на относительно низком уровне:</w:t>
      </w:r>
      <w:r>
        <w:rPr>
          <w:rFonts w:ascii="Times New Roman" w:hAnsi="Times New Roman" w:cs="Times New Roman"/>
          <w:sz w:val="24"/>
          <w:szCs w:val="24"/>
        </w:rPr>
        <w:t xml:space="preserve">  от 2,8% до 3,3%. Лишь </w:t>
      </w:r>
      <w:r w:rsidR="00DD506B">
        <w:rPr>
          <w:rFonts w:ascii="Times New Roman" w:hAnsi="Times New Roman" w:cs="Times New Roman"/>
          <w:sz w:val="24"/>
          <w:szCs w:val="24"/>
        </w:rPr>
        <w:t>два вуза со всего макрорегиона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D506B">
        <w:rPr>
          <w:rFonts w:ascii="Times New Roman" w:hAnsi="Times New Roman" w:cs="Times New Roman"/>
          <w:sz w:val="24"/>
          <w:szCs w:val="24"/>
        </w:rPr>
        <w:t>смогли обеспечить значение данного показателя, превышающее 10% хотя бы дважды за исследуемый пять лет.</w:t>
      </w:r>
      <w:proofErr w:type="gramEnd"/>
      <w:r w:rsidR="00DD506B">
        <w:rPr>
          <w:rFonts w:ascii="Times New Roman" w:hAnsi="Times New Roman" w:cs="Times New Roman"/>
          <w:sz w:val="24"/>
          <w:szCs w:val="24"/>
        </w:rPr>
        <w:t xml:space="preserve"> Это Якутский филиал частного учреждения высшего образования «</w:t>
      </w:r>
      <w:r w:rsidR="00DD506B" w:rsidRPr="00DD506B">
        <w:rPr>
          <w:rFonts w:ascii="Times New Roman" w:hAnsi="Times New Roman" w:cs="Times New Roman"/>
          <w:sz w:val="24"/>
          <w:szCs w:val="24"/>
        </w:rPr>
        <w:t>Институт гос</w:t>
      </w:r>
      <w:r w:rsidR="00DD506B">
        <w:rPr>
          <w:rFonts w:ascii="Times New Roman" w:hAnsi="Times New Roman" w:cs="Times New Roman"/>
          <w:sz w:val="24"/>
          <w:szCs w:val="24"/>
        </w:rPr>
        <w:t xml:space="preserve">ударственного администрирования» и Тихоокеанский государственный университет. </w:t>
      </w:r>
      <w:r w:rsidR="00487D9B">
        <w:rPr>
          <w:rFonts w:ascii="Times New Roman" w:hAnsi="Times New Roman" w:cs="Times New Roman"/>
          <w:sz w:val="24"/>
          <w:szCs w:val="24"/>
        </w:rPr>
        <w:t xml:space="preserve">Довольно слабо вузы </w:t>
      </w:r>
      <w:proofErr w:type="gramStart"/>
      <w:r w:rsidR="00487D9B">
        <w:rPr>
          <w:rFonts w:ascii="Times New Roman" w:hAnsi="Times New Roman" w:cs="Times New Roman"/>
          <w:sz w:val="24"/>
          <w:szCs w:val="24"/>
        </w:rPr>
        <w:t>анализируемого</w:t>
      </w:r>
      <w:proofErr w:type="gramEnd"/>
      <w:r w:rsidR="00487D9B">
        <w:rPr>
          <w:rFonts w:ascii="Times New Roman" w:hAnsi="Times New Roman" w:cs="Times New Roman"/>
          <w:sz w:val="24"/>
          <w:szCs w:val="24"/>
        </w:rPr>
        <w:t xml:space="preserve"> макрорегиона включены в процесс коммерциализации результатов своих исследований. В 2020–2022 гг. доход </w:t>
      </w:r>
      <w:r w:rsidR="00487D9B" w:rsidRPr="00487D9B">
        <w:rPr>
          <w:rFonts w:ascii="Times New Roman" w:hAnsi="Times New Roman" w:cs="Times New Roman"/>
          <w:sz w:val="24"/>
          <w:szCs w:val="24"/>
        </w:rPr>
        <w:t>использования результатов интеллектуальной деятельности</w:t>
      </w:r>
      <w:r w:rsidR="00487D9B">
        <w:rPr>
          <w:rFonts w:ascii="Times New Roman" w:hAnsi="Times New Roman" w:cs="Times New Roman"/>
          <w:sz w:val="24"/>
          <w:szCs w:val="24"/>
        </w:rPr>
        <w:t xml:space="preserve"> получали только два вуза Приморского края, с 2023 года к ним присоединился еще один вуз из Республики Бурятия. </w:t>
      </w:r>
      <w:r w:rsidR="00215EFD">
        <w:rPr>
          <w:rFonts w:ascii="Times New Roman" w:hAnsi="Times New Roman" w:cs="Times New Roman"/>
          <w:sz w:val="24"/>
          <w:szCs w:val="24"/>
        </w:rPr>
        <w:t xml:space="preserve">Доля такого дохода в общем объеме каждого из них не достигала и 1%. </w:t>
      </w:r>
    </w:p>
    <w:p w:rsidR="005A1B4B" w:rsidRDefault="005A1B4B" w:rsidP="0010532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Помимо объема НИОКР, коммерциализации их результатов развитие научно-исследовательской деятельности вуза характеризует публикационная активность его профессорско-преподавательского состава и уровень его цитируемости. Как показал анализ</w:t>
      </w:r>
      <w:r w:rsidR="00440821">
        <w:rPr>
          <w:rFonts w:ascii="Times New Roman" w:hAnsi="Times New Roman" w:cs="Times New Roman"/>
          <w:sz w:val="24"/>
          <w:szCs w:val="24"/>
        </w:rPr>
        <w:t xml:space="preserve">, </w:t>
      </w:r>
      <w:r w:rsidR="00DC542E">
        <w:rPr>
          <w:rFonts w:ascii="Times New Roman" w:hAnsi="Times New Roman" w:cs="Times New Roman"/>
          <w:sz w:val="24"/>
          <w:szCs w:val="24"/>
        </w:rPr>
        <w:t>в</w:t>
      </w:r>
      <w:r w:rsidR="00440821">
        <w:rPr>
          <w:rFonts w:ascii="Times New Roman" w:hAnsi="Times New Roman" w:cs="Times New Roman"/>
          <w:sz w:val="24"/>
          <w:szCs w:val="24"/>
        </w:rPr>
        <w:t xml:space="preserve"> 2020–2024 гг.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C542E">
        <w:rPr>
          <w:rFonts w:ascii="Times New Roman" w:hAnsi="Times New Roman" w:cs="Times New Roman"/>
          <w:sz w:val="24"/>
          <w:szCs w:val="24"/>
        </w:rPr>
        <w:t xml:space="preserve">в среднем один преподаватель дальневосточного вуза </w:t>
      </w:r>
      <w:r w:rsidR="00DC542E" w:rsidRPr="00DC542E">
        <w:rPr>
          <w:rFonts w:ascii="Times New Roman" w:hAnsi="Times New Roman" w:cs="Times New Roman"/>
          <w:sz w:val="24"/>
          <w:szCs w:val="24"/>
        </w:rPr>
        <w:t>в информационно-аналитической си</w:t>
      </w:r>
      <w:r w:rsidR="00DC542E">
        <w:rPr>
          <w:rFonts w:ascii="Times New Roman" w:hAnsi="Times New Roman" w:cs="Times New Roman"/>
          <w:sz w:val="24"/>
          <w:szCs w:val="24"/>
        </w:rPr>
        <w:t>стеме научного цитирования РИНЦ в год публиковал 2 статьи. Его одну публикацию в среднем процитировали 19 раз. При э</w:t>
      </w:r>
      <w:r w:rsidR="009549BD">
        <w:rPr>
          <w:rFonts w:ascii="Times New Roman" w:hAnsi="Times New Roman" w:cs="Times New Roman"/>
          <w:sz w:val="24"/>
          <w:szCs w:val="24"/>
        </w:rPr>
        <w:t>том уровень цитируемости в 2020</w:t>
      </w:r>
      <w:r w:rsidR="00DC542E">
        <w:rPr>
          <w:rFonts w:ascii="Times New Roman" w:hAnsi="Times New Roman" w:cs="Times New Roman"/>
          <w:sz w:val="24"/>
          <w:szCs w:val="24"/>
        </w:rPr>
        <w:t>–2022 гг. был выше по сравнению с аналогичным показателем последующих двух лет (рис. 1).</w:t>
      </w:r>
    </w:p>
    <w:p w:rsidR="00AB4535" w:rsidRDefault="00AB4535" w:rsidP="00AB453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4C72F5CA" wp14:editId="0FC504A9">
            <wp:extent cx="5886450" cy="1762125"/>
            <wp:effectExtent l="0" t="0" r="0" b="0"/>
            <wp:docPr id="3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440821" w:rsidRDefault="00440821" w:rsidP="0044082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Рисунок 1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Среднее число публикаций,</w:t>
      </w:r>
      <w:r w:rsidRPr="00440821">
        <w:rPr>
          <w:rFonts w:ascii="Times New Roman" w:hAnsi="Times New Roman" w:cs="Times New Roman"/>
          <w:sz w:val="24"/>
          <w:szCs w:val="24"/>
        </w:rPr>
        <w:t xml:space="preserve"> индексируемых в РИНЦ, в расчете на 100 НПР</w:t>
      </w:r>
      <w:r>
        <w:rPr>
          <w:rFonts w:ascii="Times New Roman" w:hAnsi="Times New Roman" w:cs="Times New Roman"/>
          <w:sz w:val="24"/>
          <w:szCs w:val="24"/>
        </w:rPr>
        <w:t xml:space="preserve"> и среднее число </w:t>
      </w:r>
      <w:r w:rsidRPr="00440821">
        <w:rPr>
          <w:rFonts w:ascii="Times New Roman" w:hAnsi="Times New Roman" w:cs="Times New Roman"/>
          <w:sz w:val="24"/>
          <w:szCs w:val="24"/>
        </w:rPr>
        <w:t xml:space="preserve">цитирований публикаций, изданных за </w:t>
      </w:r>
      <w:proofErr w:type="gramStart"/>
      <w:r w:rsidRPr="00440821">
        <w:rPr>
          <w:rFonts w:ascii="Times New Roman" w:hAnsi="Times New Roman" w:cs="Times New Roman"/>
          <w:sz w:val="24"/>
          <w:szCs w:val="24"/>
        </w:rPr>
        <w:t>последние</w:t>
      </w:r>
      <w:proofErr w:type="gramEnd"/>
      <w:r w:rsidRPr="00440821">
        <w:rPr>
          <w:rFonts w:ascii="Times New Roman" w:hAnsi="Times New Roman" w:cs="Times New Roman"/>
          <w:sz w:val="24"/>
          <w:szCs w:val="24"/>
        </w:rPr>
        <w:t xml:space="preserve"> 5 лет, индексируемых в </w:t>
      </w:r>
      <w:r>
        <w:rPr>
          <w:rFonts w:ascii="Times New Roman" w:hAnsi="Times New Roman" w:cs="Times New Roman"/>
          <w:sz w:val="24"/>
          <w:szCs w:val="24"/>
        </w:rPr>
        <w:t>РИНЦ,</w:t>
      </w:r>
      <w:r w:rsidRPr="00440821">
        <w:rPr>
          <w:rFonts w:ascii="Times New Roman" w:hAnsi="Times New Roman" w:cs="Times New Roman"/>
          <w:sz w:val="24"/>
          <w:szCs w:val="24"/>
        </w:rPr>
        <w:t xml:space="preserve"> в расчете на 100 НПР</w:t>
      </w:r>
      <w:r>
        <w:rPr>
          <w:rFonts w:ascii="Times New Roman" w:hAnsi="Times New Roman" w:cs="Times New Roman"/>
          <w:sz w:val="24"/>
          <w:szCs w:val="24"/>
        </w:rPr>
        <w:t xml:space="preserve"> в вузах Дальнего Востока в 2020–2024 гг.</w:t>
      </w:r>
      <w:r>
        <w:rPr>
          <w:rFonts w:ascii="Times New Roman" w:hAnsi="Times New Roman" w:cs="Times New Roman"/>
          <w:sz w:val="24"/>
          <w:szCs w:val="24"/>
        </w:rPr>
        <w:t>, ед.</w:t>
      </w:r>
    </w:p>
    <w:p w:rsidR="00440821" w:rsidRDefault="00440821" w:rsidP="00440821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32696B">
        <w:rPr>
          <w:rFonts w:ascii="Times New Roman" w:hAnsi="Times New Roman" w:cs="Times New Roman"/>
          <w:sz w:val="20"/>
          <w:szCs w:val="20"/>
        </w:rPr>
        <w:t xml:space="preserve">Источник:  </w:t>
      </w:r>
      <w:r>
        <w:rPr>
          <w:rFonts w:ascii="Times New Roman" w:hAnsi="Times New Roman" w:cs="Times New Roman"/>
          <w:sz w:val="20"/>
          <w:szCs w:val="20"/>
        </w:rPr>
        <w:t>составлено</w:t>
      </w:r>
      <w:r w:rsidRPr="0032696B">
        <w:rPr>
          <w:rFonts w:ascii="Times New Roman" w:hAnsi="Times New Roman" w:cs="Times New Roman"/>
          <w:sz w:val="20"/>
          <w:szCs w:val="20"/>
        </w:rPr>
        <w:t xml:space="preserve"> автором по </w:t>
      </w:r>
      <w:hyperlink r:id="rId7" w:history="1">
        <w:r w:rsidRPr="00076EA6">
          <w:rPr>
            <w:rStyle w:val="a6"/>
            <w:rFonts w:ascii="Times New Roman" w:hAnsi="Times New Roman" w:cs="Times New Roman"/>
            <w:sz w:val="20"/>
            <w:szCs w:val="20"/>
          </w:rPr>
          <w:t>https://monitoring.miccedu.ru/</w:t>
        </w:r>
      </w:hyperlink>
    </w:p>
    <w:p w:rsidR="00440821" w:rsidRDefault="00440821" w:rsidP="0044082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F66C89" w:rsidRDefault="00F66C89" w:rsidP="0044082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Примечательно, что </w:t>
      </w:r>
      <w:r w:rsidR="00085889">
        <w:rPr>
          <w:rFonts w:ascii="Times New Roman" w:hAnsi="Times New Roman" w:cs="Times New Roman"/>
          <w:sz w:val="24"/>
          <w:szCs w:val="24"/>
        </w:rPr>
        <w:t>оба показателя публикационной активности наиболее высоких значений достигают в Еврейской автономной области. Показатель цитируемости в этом регионе более чем вдвое превышает среднее значение по вузам округа в целом. Относительно более низкий уровень публикационной активности характерен для преподавателей вузов Камчатского края и Сахалинской области. Более низким уровнем цитируемости характеризуются вузы Республики Бурятия и Амурской области.</w:t>
      </w:r>
    </w:p>
    <w:p w:rsidR="00F55498" w:rsidRDefault="00815118" w:rsidP="0010532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Что касается подготовки высококвалифицированных кадр</w:t>
      </w:r>
      <w:r w:rsidR="009B184B">
        <w:rPr>
          <w:rFonts w:ascii="Times New Roman" w:hAnsi="Times New Roman" w:cs="Times New Roman"/>
          <w:sz w:val="24"/>
          <w:szCs w:val="24"/>
        </w:rPr>
        <w:t xml:space="preserve">ов вузами Дальнего Востока, то она преимущественно заключается в подготовке аспирантов. С 2022 года численность таких обучающихся постепенно нарастала, превысив к 2024 году 5 тыс. человек. Численность докторантов, обучающихся в дальневосточных вузах, абсолютно не значительна: </w:t>
      </w:r>
      <w:r w:rsidR="0032696B">
        <w:rPr>
          <w:rFonts w:ascii="Times New Roman" w:hAnsi="Times New Roman" w:cs="Times New Roman"/>
          <w:sz w:val="24"/>
          <w:szCs w:val="24"/>
        </w:rPr>
        <w:t xml:space="preserve">в течение исследуемого периода </w:t>
      </w:r>
      <w:r w:rsidR="009B184B">
        <w:rPr>
          <w:rFonts w:ascii="Times New Roman" w:hAnsi="Times New Roman" w:cs="Times New Roman"/>
          <w:sz w:val="24"/>
          <w:szCs w:val="24"/>
        </w:rPr>
        <w:t xml:space="preserve">составляла от 19 до 39 человек </w:t>
      </w:r>
      <w:r w:rsidR="00440821">
        <w:rPr>
          <w:rFonts w:ascii="Times New Roman" w:hAnsi="Times New Roman" w:cs="Times New Roman"/>
          <w:sz w:val="24"/>
          <w:szCs w:val="24"/>
        </w:rPr>
        <w:t>(рис. 2</w:t>
      </w:r>
      <w:r>
        <w:rPr>
          <w:rFonts w:ascii="Times New Roman" w:hAnsi="Times New Roman" w:cs="Times New Roman"/>
          <w:sz w:val="24"/>
          <w:szCs w:val="24"/>
        </w:rPr>
        <w:t>).</w:t>
      </w:r>
    </w:p>
    <w:p w:rsidR="00815118" w:rsidRDefault="00815118" w:rsidP="0081511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5A30EA45" wp14:editId="2198409A">
            <wp:extent cx="4572000" cy="1733550"/>
            <wp:effectExtent l="0" t="0" r="0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BD4E88" w:rsidRDefault="00440821" w:rsidP="0032696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Рисунок 2</w:t>
      </w:r>
      <w:r w:rsidR="00815118">
        <w:rPr>
          <w:rFonts w:ascii="Times New Roman" w:hAnsi="Times New Roman" w:cs="Times New Roman"/>
          <w:sz w:val="24"/>
          <w:szCs w:val="24"/>
        </w:rPr>
        <w:t>. Численность ас</w:t>
      </w:r>
      <w:r w:rsidR="009B184B">
        <w:rPr>
          <w:rFonts w:ascii="Times New Roman" w:hAnsi="Times New Roman" w:cs="Times New Roman"/>
          <w:sz w:val="24"/>
          <w:szCs w:val="24"/>
        </w:rPr>
        <w:t>пирантов и докторантов в вузах Д</w:t>
      </w:r>
      <w:r w:rsidR="00815118">
        <w:rPr>
          <w:rFonts w:ascii="Times New Roman" w:hAnsi="Times New Roman" w:cs="Times New Roman"/>
          <w:sz w:val="24"/>
          <w:szCs w:val="24"/>
        </w:rPr>
        <w:t>альнего Востока</w:t>
      </w:r>
      <w:r w:rsidR="00DD3953">
        <w:rPr>
          <w:rFonts w:ascii="Times New Roman" w:hAnsi="Times New Roman" w:cs="Times New Roman"/>
          <w:sz w:val="24"/>
          <w:szCs w:val="24"/>
        </w:rPr>
        <w:t xml:space="preserve"> в 2020–2024 гг.</w:t>
      </w:r>
      <w:r w:rsidR="00A3271F">
        <w:rPr>
          <w:rFonts w:ascii="Times New Roman" w:hAnsi="Times New Roman" w:cs="Times New Roman"/>
          <w:sz w:val="24"/>
          <w:szCs w:val="24"/>
        </w:rPr>
        <w:t>, чел.</w:t>
      </w:r>
    </w:p>
    <w:p w:rsidR="00815118" w:rsidRDefault="0032696B" w:rsidP="00742DC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32696B">
        <w:rPr>
          <w:rFonts w:ascii="Times New Roman" w:hAnsi="Times New Roman" w:cs="Times New Roman"/>
          <w:sz w:val="20"/>
          <w:szCs w:val="20"/>
        </w:rPr>
        <w:t xml:space="preserve">Источник: </w:t>
      </w:r>
      <w:r w:rsidR="00DD3953" w:rsidRPr="0032696B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составлено</w:t>
      </w:r>
      <w:r w:rsidRPr="0032696B">
        <w:rPr>
          <w:rFonts w:ascii="Times New Roman" w:hAnsi="Times New Roman" w:cs="Times New Roman"/>
          <w:sz w:val="20"/>
          <w:szCs w:val="20"/>
        </w:rPr>
        <w:t xml:space="preserve"> автором по </w:t>
      </w:r>
      <w:hyperlink r:id="rId9" w:history="1">
        <w:r w:rsidRPr="00076EA6">
          <w:rPr>
            <w:rStyle w:val="a6"/>
            <w:rFonts w:ascii="Times New Roman" w:hAnsi="Times New Roman" w:cs="Times New Roman"/>
            <w:sz w:val="20"/>
            <w:szCs w:val="20"/>
          </w:rPr>
          <w:t>https://monitoring.miccedu.ru/</w:t>
        </w:r>
      </w:hyperlink>
    </w:p>
    <w:p w:rsidR="0032696B" w:rsidRDefault="0032696B" w:rsidP="00742DC5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742DC5" w:rsidRDefault="00742DC5" w:rsidP="000F67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Наибольшая численность аспирантов за анализируемый период (от 1 249 чел. до 1 583 чел.) обучалась в вузах Приморского края. С 2020 года данный показатель в этом регионе с каждым годом прирастал. На втором месте по значению данного показателя находится Хабаровский край, в образовательных организациях высшего образования которого проходили обучение от 893 до 956 аспирантов, на третьем месте – Республика Саха (Якутия) с численность аспирантов от  704 чел. до 774 человек. Численность аспирантов в вузах Камчатского края не превышала и 60 человек, Сахалинской, Магадан</w:t>
      </w:r>
      <w:r w:rsidR="00406728">
        <w:rPr>
          <w:rFonts w:ascii="Times New Roman" w:hAnsi="Times New Roman" w:cs="Times New Roman"/>
          <w:sz w:val="24"/>
          <w:szCs w:val="24"/>
        </w:rPr>
        <w:t>ской и Е</w:t>
      </w:r>
      <w:r>
        <w:rPr>
          <w:rFonts w:ascii="Times New Roman" w:hAnsi="Times New Roman" w:cs="Times New Roman"/>
          <w:sz w:val="24"/>
          <w:szCs w:val="24"/>
        </w:rPr>
        <w:t>врейской автономной областей – 30 человек</w:t>
      </w:r>
      <w:r w:rsidR="00406728">
        <w:rPr>
          <w:rFonts w:ascii="Times New Roman" w:hAnsi="Times New Roman" w:cs="Times New Roman"/>
          <w:sz w:val="24"/>
          <w:szCs w:val="24"/>
        </w:rPr>
        <w:t xml:space="preserve">. Отдельно следует </w:t>
      </w:r>
      <w:r w:rsidR="000A7177">
        <w:rPr>
          <w:rFonts w:ascii="Times New Roman" w:hAnsi="Times New Roman" w:cs="Times New Roman"/>
          <w:sz w:val="24"/>
          <w:szCs w:val="24"/>
        </w:rPr>
        <w:t xml:space="preserve">выделить Республику Бурятия. </w:t>
      </w:r>
      <w:r w:rsidR="00406728">
        <w:rPr>
          <w:rFonts w:ascii="Times New Roman" w:hAnsi="Times New Roman" w:cs="Times New Roman"/>
          <w:sz w:val="24"/>
          <w:szCs w:val="24"/>
        </w:rPr>
        <w:t>Численность аспирантов, обучающихся в вузах данного региона, с каждым годом увеличивалась. С 2020 года по 2024 год рост данного показателя составил 1,38 раза.</w:t>
      </w:r>
    </w:p>
    <w:p w:rsidR="000F6700" w:rsidRDefault="000F6700" w:rsidP="000F67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Среди аспирантов дальневосточных вузов превалируют аспиранты заочной формы обучения, хотя их доля постепенно сокращается. Если в 2020 году </w:t>
      </w:r>
      <w:r w:rsidR="00713407">
        <w:rPr>
          <w:rFonts w:ascii="Times New Roman" w:hAnsi="Times New Roman" w:cs="Times New Roman"/>
          <w:sz w:val="24"/>
          <w:szCs w:val="24"/>
        </w:rPr>
        <w:t xml:space="preserve">в среднем по вузам </w:t>
      </w:r>
      <w:r>
        <w:rPr>
          <w:rFonts w:ascii="Times New Roman" w:hAnsi="Times New Roman" w:cs="Times New Roman"/>
          <w:sz w:val="24"/>
          <w:szCs w:val="24"/>
        </w:rPr>
        <w:t xml:space="preserve">она составляла 63,1%, то в 2024 году – уже 51,1%. Лишь в Магаданской области все немногочисленные аспиранты обучаются по очной форме. </w:t>
      </w:r>
      <w:r w:rsidR="00713407">
        <w:rPr>
          <w:rFonts w:ascii="Times New Roman" w:hAnsi="Times New Roman" w:cs="Times New Roman"/>
          <w:sz w:val="24"/>
          <w:szCs w:val="24"/>
        </w:rPr>
        <w:t xml:space="preserve">Наименьшая доля аспирантов-очников характерна для вузов Республики Саха (Якутия) и Камчатского края: от 10,3% до 27,9% и от 26,3% до 35,5%. </w:t>
      </w:r>
      <w:r w:rsidR="00A3271F">
        <w:rPr>
          <w:rFonts w:ascii="Times New Roman" w:hAnsi="Times New Roman" w:cs="Times New Roman"/>
          <w:sz w:val="24"/>
          <w:szCs w:val="24"/>
        </w:rPr>
        <w:t>Высокая доля ас</w:t>
      </w:r>
      <w:r w:rsidR="00C15911">
        <w:rPr>
          <w:rFonts w:ascii="Times New Roman" w:hAnsi="Times New Roman" w:cs="Times New Roman"/>
          <w:sz w:val="24"/>
          <w:szCs w:val="24"/>
        </w:rPr>
        <w:t xml:space="preserve">пирантов заочной формы обучения, как правило, не влечет за собой ощутимого притока научно-исследовательских кадров в вузы регионов. </w:t>
      </w:r>
    </w:p>
    <w:p w:rsidR="00D64B9E" w:rsidRDefault="00111B58" w:rsidP="000F67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Касательно функционирования диссертационных советов при вузах Дальневосточного макрорегиона можно отметить, что </w:t>
      </w:r>
      <w:r w:rsidR="00ED7053">
        <w:rPr>
          <w:rFonts w:ascii="Times New Roman" w:hAnsi="Times New Roman" w:cs="Times New Roman"/>
          <w:sz w:val="24"/>
          <w:szCs w:val="24"/>
        </w:rPr>
        <w:t xml:space="preserve">в 2024 году </w:t>
      </w:r>
      <w:r>
        <w:rPr>
          <w:rFonts w:ascii="Times New Roman" w:hAnsi="Times New Roman" w:cs="Times New Roman"/>
          <w:sz w:val="24"/>
          <w:szCs w:val="24"/>
        </w:rPr>
        <w:t>п</w:t>
      </w:r>
      <w:r w:rsidR="00ED7053">
        <w:rPr>
          <w:rFonts w:ascii="Times New Roman" w:hAnsi="Times New Roman" w:cs="Times New Roman"/>
          <w:sz w:val="24"/>
          <w:szCs w:val="24"/>
        </w:rPr>
        <w:t>очти</w:t>
      </w:r>
      <w:r>
        <w:rPr>
          <w:rFonts w:ascii="Times New Roman" w:hAnsi="Times New Roman" w:cs="Times New Roman"/>
          <w:sz w:val="24"/>
          <w:szCs w:val="24"/>
        </w:rPr>
        <w:t xml:space="preserve"> половина из них</w:t>
      </w:r>
      <w:r w:rsidR="00ED7053">
        <w:rPr>
          <w:rFonts w:ascii="Times New Roman" w:hAnsi="Times New Roman" w:cs="Times New Roman"/>
          <w:sz w:val="24"/>
          <w:szCs w:val="24"/>
        </w:rPr>
        <w:t xml:space="preserve"> приходилось</w:t>
      </w:r>
      <w:r>
        <w:rPr>
          <w:rFonts w:ascii="Times New Roman" w:hAnsi="Times New Roman" w:cs="Times New Roman"/>
          <w:sz w:val="24"/>
          <w:szCs w:val="24"/>
        </w:rPr>
        <w:t xml:space="preserve"> на Приморский край. </w:t>
      </w:r>
      <w:r w:rsidR="00ED7053">
        <w:rPr>
          <w:rFonts w:ascii="Times New Roman" w:hAnsi="Times New Roman" w:cs="Times New Roman"/>
          <w:sz w:val="24"/>
          <w:szCs w:val="24"/>
        </w:rPr>
        <w:t xml:space="preserve">В Хабаровском крае в аналогичный период действовало 13 таких структур, в Республике Саха (Якутия) – 5, в Республике Бурятия – 4, в Забайкальском крае – 3 и в Амурской области – 1. Во всех остальных субъектах федерации </w:t>
      </w:r>
      <w:r w:rsidR="00B258DE">
        <w:rPr>
          <w:rFonts w:ascii="Times New Roman" w:hAnsi="Times New Roman" w:cs="Times New Roman"/>
          <w:sz w:val="24"/>
          <w:szCs w:val="24"/>
        </w:rPr>
        <w:t xml:space="preserve">исследуемого федерального округа </w:t>
      </w:r>
      <w:r w:rsidR="00ED7053">
        <w:rPr>
          <w:rFonts w:ascii="Times New Roman" w:hAnsi="Times New Roman" w:cs="Times New Roman"/>
          <w:sz w:val="24"/>
          <w:szCs w:val="24"/>
        </w:rPr>
        <w:t>диссертационные советы при вузах отсутс</w:t>
      </w:r>
      <w:r w:rsidR="00B258DE">
        <w:rPr>
          <w:rFonts w:ascii="Times New Roman" w:hAnsi="Times New Roman" w:cs="Times New Roman"/>
          <w:sz w:val="24"/>
          <w:szCs w:val="24"/>
        </w:rPr>
        <w:t>т</w:t>
      </w:r>
      <w:r w:rsidR="00ED7053">
        <w:rPr>
          <w:rFonts w:ascii="Times New Roman" w:hAnsi="Times New Roman" w:cs="Times New Roman"/>
          <w:sz w:val="24"/>
          <w:szCs w:val="24"/>
        </w:rPr>
        <w:t xml:space="preserve">вовали. </w:t>
      </w:r>
      <w:r w:rsidR="008B1D36">
        <w:rPr>
          <w:rFonts w:ascii="Times New Roman" w:hAnsi="Times New Roman" w:cs="Times New Roman"/>
          <w:sz w:val="24"/>
          <w:szCs w:val="24"/>
        </w:rPr>
        <w:t xml:space="preserve">Диссертационные советы при вузах составляли  почти две трети от </w:t>
      </w:r>
      <w:r w:rsidR="00D30C8D">
        <w:rPr>
          <w:rFonts w:ascii="Times New Roman" w:hAnsi="Times New Roman" w:cs="Times New Roman"/>
          <w:sz w:val="24"/>
          <w:szCs w:val="24"/>
        </w:rPr>
        <w:t>общего их числа в макрорегионе. В</w:t>
      </w:r>
      <w:r w:rsidR="00310A23">
        <w:rPr>
          <w:rFonts w:ascii="Times New Roman" w:hAnsi="Times New Roman" w:cs="Times New Roman"/>
          <w:sz w:val="24"/>
          <w:szCs w:val="24"/>
        </w:rPr>
        <w:t xml:space="preserve"> Амурской области и в Забайкальском крае диссертационные советы, функционирующие при вузах, явля</w:t>
      </w:r>
      <w:r w:rsidR="00D30C8D">
        <w:rPr>
          <w:rFonts w:ascii="Times New Roman" w:hAnsi="Times New Roman" w:cs="Times New Roman"/>
          <w:sz w:val="24"/>
          <w:szCs w:val="24"/>
        </w:rPr>
        <w:t>лись</w:t>
      </w:r>
      <w:r w:rsidR="00310A23">
        <w:rPr>
          <w:rFonts w:ascii="Times New Roman" w:hAnsi="Times New Roman" w:cs="Times New Roman"/>
          <w:sz w:val="24"/>
          <w:szCs w:val="24"/>
        </w:rPr>
        <w:t xml:space="preserve"> единственными советами в этих регионах, хоть эти советы и не по всем, а лишь по отдельным отраслям наук. </w:t>
      </w:r>
      <w:r w:rsidR="00F9655A">
        <w:rPr>
          <w:rFonts w:ascii="Times New Roman" w:hAnsi="Times New Roman" w:cs="Times New Roman"/>
          <w:sz w:val="24"/>
          <w:szCs w:val="24"/>
        </w:rPr>
        <w:t>На всей территории Дальнего Востока диссертационные советы по медицинским и сельскохозяйственным наукам функционир</w:t>
      </w:r>
      <w:r w:rsidR="00D30C8D">
        <w:rPr>
          <w:rFonts w:ascii="Times New Roman" w:hAnsi="Times New Roman" w:cs="Times New Roman"/>
          <w:sz w:val="24"/>
          <w:szCs w:val="24"/>
        </w:rPr>
        <w:t xml:space="preserve">овали </w:t>
      </w:r>
      <w:r w:rsidR="00F9655A">
        <w:rPr>
          <w:rFonts w:ascii="Times New Roman" w:hAnsi="Times New Roman" w:cs="Times New Roman"/>
          <w:sz w:val="24"/>
          <w:szCs w:val="24"/>
        </w:rPr>
        <w:t xml:space="preserve">только при вузах. Эти и прочие факторы подтверждают значимость диссертационных советов, действующих при дальневосточных вузах. В то же время </w:t>
      </w:r>
      <w:r w:rsidR="000D59C5">
        <w:rPr>
          <w:rFonts w:ascii="Times New Roman" w:hAnsi="Times New Roman" w:cs="Times New Roman"/>
          <w:sz w:val="24"/>
          <w:szCs w:val="24"/>
        </w:rPr>
        <w:t xml:space="preserve">факт отсутствия </w:t>
      </w:r>
      <w:r w:rsidR="00646E65">
        <w:rPr>
          <w:rFonts w:ascii="Times New Roman" w:hAnsi="Times New Roman" w:cs="Times New Roman"/>
          <w:sz w:val="24"/>
          <w:szCs w:val="24"/>
        </w:rPr>
        <w:t xml:space="preserve">либо малого числа </w:t>
      </w:r>
      <w:r w:rsidR="000D59C5">
        <w:rPr>
          <w:rFonts w:ascii="Times New Roman" w:hAnsi="Times New Roman" w:cs="Times New Roman"/>
          <w:sz w:val="24"/>
          <w:szCs w:val="24"/>
        </w:rPr>
        <w:t xml:space="preserve">таких </w:t>
      </w:r>
      <w:r w:rsidR="00646E65">
        <w:rPr>
          <w:rFonts w:ascii="Times New Roman" w:hAnsi="Times New Roman" w:cs="Times New Roman"/>
          <w:sz w:val="24"/>
          <w:szCs w:val="24"/>
        </w:rPr>
        <w:t xml:space="preserve">экспертных научно-квалификационных органов в отдельных субъектах федерации Дальнего Востока, учитывая большую площадь </w:t>
      </w:r>
      <w:r w:rsidR="00646E65">
        <w:rPr>
          <w:rFonts w:ascii="Times New Roman" w:hAnsi="Times New Roman" w:cs="Times New Roman"/>
          <w:sz w:val="24"/>
          <w:szCs w:val="24"/>
        </w:rPr>
        <w:lastRenderedPageBreak/>
        <w:t>округа, отдаленность его отдельных регионов, оказывает сдерживающее влияние на развитие системы подготовки высококвалифицированных научных кадров.</w:t>
      </w:r>
      <w:r w:rsidR="00FD02C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D0501" w:rsidRDefault="005E4424" w:rsidP="004D050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Таким образом,</w:t>
      </w:r>
      <w:r w:rsidR="007621FB">
        <w:rPr>
          <w:rFonts w:ascii="Times New Roman" w:hAnsi="Times New Roman" w:cs="Times New Roman"/>
          <w:sz w:val="24"/>
          <w:szCs w:val="24"/>
        </w:rPr>
        <w:t xml:space="preserve"> научно-исследовательская деятельность</w:t>
      </w:r>
      <w:r w:rsidR="00B4396C">
        <w:rPr>
          <w:rFonts w:ascii="Times New Roman" w:hAnsi="Times New Roman" w:cs="Times New Roman"/>
          <w:sz w:val="24"/>
          <w:szCs w:val="24"/>
        </w:rPr>
        <w:t xml:space="preserve"> дальневосточных вузов сконцентрирована и развивается преимущественно в крупных из них, дислоцированных в трех субъектах: в Приморском и в Хабаровском краях, в Республике Саха (Якутия). </w:t>
      </w:r>
      <w:proofErr w:type="gramEnd"/>
      <w:r w:rsidR="00B4396C">
        <w:rPr>
          <w:rFonts w:ascii="Times New Roman" w:hAnsi="Times New Roman" w:cs="Times New Roman"/>
          <w:sz w:val="24"/>
          <w:szCs w:val="24"/>
        </w:rPr>
        <w:t xml:space="preserve">Доходы, получаемые вузами данного макрорегиона, от НИОКР, продолжают оставаться на уровне всего около 3%, от </w:t>
      </w:r>
      <w:r w:rsidR="003E7EFF">
        <w:rPr>
          <w:rFonts w:ascii="Times New Roman" w:hAnsi="Times New Roman" w:cs="Times New Roman"/>
          <w:sz w:val="24"/>
          <w:szCs w:val="24"/>
        </w:rPr>
        <w:t>коммерциализации</w:t>
      </w:r>
      <w:r w:rsidR="00B4396C">
        <w:rPr>
          <w:rFonts w:ascii="Times New Roman" w:hAnsi="Times New Roman" w:cs="Times New Roman"/>
          <w:sz w:val="24"/>
          <w:szCs w:val="24"/>
        </w:rPr>
        <w:t xml:space="preserve"> разработок – менее 1%. В большинстве вузов Дальнего Востока наука сводится </w:t>
      </w:r>
      <w:r w:rsidR="00D417BD">
        <w:rPr>
          <w:rFonts w:ascii="Times New Roman" w:hAnsi="Times New Roman" w:cs="Times New Roman"/>
          <w:sz w:val="24"/>
          <w:szCs w:val="24"/>
        </w:rPr>
        <w:t xml:space="preserve">в основном </w:t>
      </w:r>
      <w:r w:rsidR="00B4396C">
        <w:rPr>
          <w:rFonts w:ascii="Times New Roman" w:hAnsi="Times New Roman" w:cs="Times New Roman"/>
          <w:sz w:val="24"/>
          <w:szCs w:val="24"/>
        </w:rPr>
        <w:t>лишь к опубликованию н</w:t>
      </w:r>
      <w:r w:rsidR="00D417BD">
        <w:rPr>
          <w:rFonts w:ascii="Times New Roman" w:hAnsi="Times New Roman" w:cs="Times New Roman"/>
          <w:sz w:val="24"/>
          <w:szCs w:val="24"/>
        </w:rPr>
        <w:t>аучно-исследовательских статей и подготовке аспирантов.</w:t>
      </w:r>
    </w:p>
    <w:p w:rsidR="00B4396C" w:rsidRDefault="00B4396C" w:rsidP="005E442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E4424" w:rsidRPr="00453A45" w:rsidRDefault="005E4424" w:rsidP="005E442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53A45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5E4424" w:rsidRPr="00FD5AAF" w:rsidRDefault="00FD5AAF" w:rsidP="00FD5AA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5E4424" w:rsidRPr="00FD5AAF">
        <w:rPr>
          <w:rFonts w:ascii="Times New Roman" w:hAnsi="Times New Roman" w:cs="Times New Roman"/>
          <w:sz w:val="24"/>
          <w:szCs w:val="24"/>
        </w:rPr>
        <w:t xml:space="preserve">Указ Президента РФ </w:t>
      </w:r>
      <w:r w:rsidR="005E4424" w:rsidRPr="00FD5AAF">
        <w:rPr>
          <w:rFonts w:ascii="Times New Roman" w:hAnsi="Times New Roman" w:cs="Times New Roman"/>
          <w:sz w:val="24"/>
          <w:szCs w:val="24"/>
        </w:rPr>
        <w:t>«</w:t>
      </w:r>
      <w:r w:rsidR="005E4424" w:rsidRPr="00FD5AAF">
        <w:rPr>
          <w:rFonts w:ascii="Times New Roman" w:hAnsi="Times New Roman" w:cs="Times New Roman"/>
          <w:sz w:val="24"/>
          <w:szCs w:val="24"/>
        </w:rPr>
        <w:t>О Стратегии научно-технологического</w:t>
      </w:r>
      <w:r w:rsidR="005E4424" w:rsidRPr="00FD5AAF">
        <w:rPr>
          <w:rFonts w:ascii="Times New Roman" w:hAnsi="Times New Roman" w:cs="Times New Roman"/>
          <w:sz w:val="24"/>
          <w:szCs w:val="24"/>
        </w:rPr>
        <w:t xml:space="preserve"> развития Российской Федерации» от 28.02.2024 N 145. </w:t>
      </w:r>
      <w:r w:rsidR="005E4424" w:rsidRPr="00FD5AAF">
        <w:rPr>
          <w:rFonts w:ascii="Times New Roman" w:hAnsi="Times New Roman" w:cs="Times New Roman"/>
          <w:sz w:val="24"/>
          <w:szCs w:val="24"/>
        </w:rPr>
        <w:t>URL:</w:t>
      </w:r>
      <w:r w:rsidR="005E4424" w:rsidRPr="00FD5AAF">
        <w:rPr>
          <w:rFonts w:ascii="Times New Roman" w:hAnsi="Times New Roman" w:cs="Times New Roman"/>
          <w:sz w:val="24"/>
          <w:szCs w:val="24"/>
        </w:rPr>
        <w:t xml:space="preserve"> </w:t>
      </w:r>
      <w:hyperlink r:id="rId10" w:history="1">
        <w:r w:rsidR="005E4424" w:rsidRPr="00FD5AAF">
          <w:rPr>
            <w:rStyle w:val="a6"/>
            <w:rFonts w:ascii="Times New Roman" w:hAnsi="Times New Roman" w:cs="Times New Roman"/>
            <w:sz w:val="24"/>
            <w:szCs w:val="24"/>
          </w:rPr>
          <w:t>https://mchs.gov.ru/uploads/document/2025-06-09/45be581bad89594daf8ff94ddec71177.pdf</w:t>
        </w:r>
      </w:hyperlink>
      <w:r w:rsidR="005E4424" w:rsidRPr="00FD5AAF">
        <w:rPr>
          <w:rFonts w:ascii="Times New Roman" w:hAnsi="Times New Roman" w:cs="Times New Roman"/>
          <w:sz w:val="24"/>
          <w:szCs w:val="24"/>
        </w:rPr>
        <w:t xml:space="preserve"> </w:t>
      </w:r>
      <w:r w:rsidRPr="00FD5AAF">
        <w:rPr>
          <w:rFonts w:ascii="Times New Roman" w:hAnsi="Times New Roman" w:cs="Times New Roman"/>
          <w:sz w:val="24"/>
          <w:szCs w:val="24"/>
        </w:rPr>
        <w:t>(дата обращения: 23.03.2026).</w:t>
      </w:r>
    </w:p>
    <w:p w:rsidR="005E4424" w:rsidRPr="00FD5AAF" w:rsidRDefault="00FD5AAF" w:rsidP="00FD5AA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5E4424" w:rsidRPr="00FD5AAF">
        <w:rPr>
          <w:rFonts w:ascii="Times New Roman" w:hAnsi="Times New Roman" w:cs="Times New Roman"/>
          <w:sz w:val="24"/>
          <w:szCs w:val="24"/>
        </w:rPr>
        <w:t xml:space="preserve">ФЗ «Об образовании в Российской Федерации» от 29.12.2012 N 273-ФЗ. URL: </w:t>
      </w:r>
      <w:hyperlink r:id="rId11" w:history="1">
        <w:r w:rsidR="005E4424" w:rsidRPr="00FD5AAF">
          <w:rPr>
            <w:rStyle w:val="a6"/>
            <w:rFonts w:ascii="Times New Roman" w:hAnsi="Times New Roman" w:cs="Times New Roman"/>
            <w:sz w:val="24"/>
            <w:szCs w:val="24"/>
          </w:rPr>
          <w:t>https://www.consultant.ru/document/cons_doc_LAW_140174/</w:t>
        </w:r>
      </w:hyperlink>
      <w:r w:rsidR="005E4424" w:rsidRPr="00FD5AAF">
        <w:rPr>
          <w:rFonts w:ascii="Times New Roman" w:hAnsi="Times New Roman" w:cs="Times New Roman"/>
          <w:sz w:val="24"/>
          <w:szCs w:val="24"/>
        </w:rPr>
        <w:t xml:space="preserve"> (дата обращения: 25.03.2026).</w:t>
      </w:r>
    </w:p>
    <w:p w:rsidR="005E4424" w:rsidRPr="00FD5AAF" w:rsidRDefault="00FD5AAF" w:rsidP="00FD5AA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Pr="00FD5AAF">
        <w:rPr>
          <w:rFonts w:ascii="Times New Roman" w:hAnsi="Times New Roman" w:cs="Times New Roman"/>
          <w:sz w:val="24"/>
          <w:szCs w:val="24"/>
        </w:rPr>
        <w:t xml:space="preserve">Дальний Восток – национальный приоритет на весь XXI век. </w:t>
      </w:r>
      <w:r w:rsidRPr="00FD5AAF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FD5AAF">
        <w:rPr>
          <w:rFonts w:ascii="Times New Roman" w:hAnsi="Times New Roman" w:cs="Times New Roman"/>
          <w:sz w:val="24"/>
          <w:szCs w:val="24"/>
        </w:rPr>
        <w:t xml:space="preserve">: </w:t>
      </w:r>
      <w:hyperlink r:id="rId12" w:history="1">
        <w:r w:rsidRPr="00FD5AAF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https</w:t>
        </w:r>
        <w:r w:rsidRPr="00FD5AAF">
          <w:rPr>
            <w:rStyle w:val="a6"/>
            <w:rFonts w:ascii="Times New Roman" w:hAnsi="Times New Roman" w:cs="Times New Roman"/>
            <w:sz w:val="24"/>
            <w:szCs w:val="24"/>
          </w:rPr>
          <w:t>://</w:t>
        </w:r>
        <w:proofErr w:type="spellStart"/>
        <w:r w:rsidRPr="00FD5AAF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minvr</w:t>
        </w:r>
        <w:proofErr w:type="spellEnd"/>
        <w:r w:rsidRPr="00FD5AAF">
          <w:rPr>
            <w:rStyle w:val="a6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FD5AAF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gov</w:t>
        </w:r>
        <w:proofErr w:type="spellEnd"/>
        <w:r w:rsidRPr="00FD5AAF">
          <w:rPr>
            <w:rStyle w:val="a6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FD5AAF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  <w:r w:rsidRPr="00FD5AAF">
          <w:rPr>
            <w:rStyle w:val="a6"/>
            <w:rFonts w:ascii="Times New Roman" w:hAnsi="Times New Roman" w:cs="Times New Roman"/>
            <w:sz w:val="24"/>
            <w:szCs w:val="24"/>
          </w:rPr>
          <w:t>/</w:t>
        </w:r>
        <w:r w:rsidRPr="00FD5AAF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press</w:t>
        </w:r>
        <w:r w:rsidRPr="00FD5AAF">
          <w:rPr>
            <w:rStyle w:val="a6"/>
            <w:rFonts w:ascii="Times New Roman" w:hAnsi="Times New Roman" w:cs="Times New Roman"/>
            <w:sz w:val="24"/>
            <w:szCs w:val="24"/>
          </w:rPr>
          <w:t>-</w:t>
        </w:r>
        <w:r w:rsidRPr="00FD5AAF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center</w:t>
        </w:r>
        <w:r w:rsidRPr="00FD5AAF">
          <w:rPr>
            <w:rStyle w:val="a6"/>
            <w:rFonts w:ascii="Times New Roman" w:hAnsi="Times New Roman" w:cs="Times New Roman"/>
            <w:sz w:val="24"/>
            <w:szCs w:val="24"/>
          </w:rPr>
          <w:t>/</w:t>
        </w:r>
        <w:r w:rsidRPr="00FD5AAF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news</w:t>
        </w:r>
        <w:r w:rsidRPr="00FD5AAF">
          <w:rPr>
            <w:rStyle w:val="a6"/>
            <w:rFonts w:ascii="Times New Roman" w:hAnsi="Times New Roman" w:cs="Times New Roman"/>
            <w:sz w:val="24"/>
            <w:szCs w:val="24"/>
          </w:rPr>
          <w:t>/</w:t>
        </w:r>
        <w:proofErr w:type="spellStart"/>
        <w:r w:rsidRPr="00FD5AAF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dalniy</w:t>
        </w:r>
        <w:proofErr w:type="spellEnd"/>
        <w:r w:rsidRPr="00FD5AAF">
          <w:rPr>
            <w:rStyle w:val="a6"/>
            <w:rFonts w:ascii="Times New Roman" w:hAnsi="Times New Roman" w:cs="Times New Roman"/>
            <w:sz w:val="24"/>
            <w:szCs w:val="24"/>
          </w:rPr>
          <w:t>-</w:t>
        </w:r>
        <w:proofErr w:type="spellStart"/>
        <w:r w:rsidRPr="00FD5AAF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vostok</w:t>
        </w:r>
        <w:proofErr w:type="spellEnd"/>
        <w:r w:rsidRPr="00FD5AAF">
          <w:rPr>
            <w:rStyle w:val="a6"/>
            <w:rFonts w:ascii="Times New Roman" w:hAnsi="Times New Roman" w:cs="Times New Roman"/>
            <w:sz w:val="24"/>
            <w:szCs w:val="24"/>
          </w:rPr>
          <w:t>-</w:t>
        </w:r>
        <w:proofErr w:type="spellStart"/>
        <w:r w:rsidRPr="00FD5AAF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natsionalnyy</w:t>
        </w:r>
        <w:proofErr w:type="spellEnd"/>
        <w:r w:rsidRPr="00FD5AAF">
          <w:rPr>
            <w:rStyle w:val="a6"/>
            <w:rFonts w:ascii="Times New Roman" w:hAnsi="Times New Roman" w:cs="Times New Roman"/>
            <w:sz w:val="24"/>
            <w:szCs w:val="24"/>
          </w:rPr>
          <w:t>-</w:t>
        </w:r>
        <w:proofErr w:type="spellStart"/>
        <w:r w:rsidRPr="00FD5AAF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prioritet</w:t>
        </w:r>
        <w:proofErr w:type="spellEnd"/>
        <w:r w:rsidRPr="00FD5AAF">
          <w:rPr>
            <w:rStyle w:val="a6"/>
            <w:rFonts w:ascii="Times New Roman" w:hAnsi="Times New Roman" w:cs="Times New Roman"/>
            <w:sz w:val="24"/>
            <w:szCs w:val="24"/>
          </w:rPr>
          <w:t>-</w:t>
        </w:r>
        <w:proofErr w:type="spellStart"/>
        <w:r w:rsidRPr="00FD5AAF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na</w:t>
        </w:r>
        <w:proofErr w:type="spellEnd"/>
        <w:r w:rsidRPr="00FD5AAF">
          <w:rPr>
            <w:rStyle w:val="a6"/>
            <w:rFonts w:ascii="Times New Roman" w:hAnsi="Times New Roman" w:cs="Times New Roman"/>
            <w:sz w:val="24"/>
            <w:szCs w:val="24"/>
          </w:rPr>
          <w:t>-</w:t>
        </w:r>
        <w:proofErr w:type="spellStart"/>
        <w:r w:rsidRPr="00FD5AAF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ves</w:t>
        </w:r>
        <w:proofErr w:type="spellEnd"/>
        <w:r w:rsidRPr="00FD5AAF">
          <w:rPr>
            <w:rStyle w:val="a6"/>
            <w:rFonts w:ascii="Times New Roman" w:hAnsi="Times New Roman" w:cs="Times New Roman"/>
            <w:sz w:val="24"/>
            <w:szCs w:val="24"/>
          </w:rPr>
          <w:t>-</w:t>
        </w:r>
        <w:r w:rsidRPr="00FD5AAF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xxi</w:t>
        </w:r>
        <w:r w:rsidRPr="00FD5AAF">
          <w:rPr>
            <w:rStyle w:val="a6"/>
            <w:rFonts w:ascii="Times New Roman" w:hAnsi="Times New Roman" w:cs="Times New Roman"/>
            <w:sz w:val="24"/>
            <w:szCs w:val="24"/>
          </w:rPr>
          <w:t>-</w:t>
        </w:r>
        <w:proofErr w:type="spellStart"/>
        <w:r w:rsidRPr="00FD5AAF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vek</w:t>
        </w:r>
        <w:proofErr w:type="spellEnd"/>
        <w:r w:rsidRPr="00FD5AAF">
          <w:rPr>
            <w:rStyle w:val="a6"/>
            <w:rFonts w:ascii="Times New Roman" w:hAnsi="Times New Roman" w:cs="Times New Roman"/>
            <w:sz w:val="24"/>
            <w:szCs w:val="24"/>
          </w:rPr>
          <w:t>-13147/</w:t>
        </w:r>
      </w:hyperlink>
      <w:r w:rsidRPr="00FD5AAF">
        <w:rPr>
          <w:rFonts w:ascii="Times New Roman" w:hAnsi="Times New Roman" w:cs="Times New Roman"/>
          <w:sz w:val="24"/>
          <w:szCs w:val="24"/>
        </w:rPr>
        <w:t xml:space="preserve"> (дата обращения: 25.03.2026).</w:t>
      </w:r>
    </w:p>
    <w:p w:rsidR="000F6700" w:rsidRDefault="000F6700" w:rsidP="00742DC5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045D8B" w:rsidRPr="00D30C8D" w:rsidRDefault="00045D8B" w:rsidP="00045D8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30C8D">
        <w:rPr>
          <w:rFonts w:ascii="Times New Roman" w:hAnsi="Times New Roman" w:cs="Times New Roman"/>
          <w:b/>
          <w:sz w:val="24"/>
          <w:szCs w:val="24"/>
        </w:rPr>
        <w:t>Информация об авторе</w:t>
      </w:r>
    </w:p>
    <w:p w:rsidR="00045D8B" w:rsidRPr="00453A45" w:rsidRDefault="00045D8B" w:rsidP="00045D8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Блинова Татьяна Николаевна (Россия, г. Хабаровск) – канд. </w:t>
      </w:r>
      <w:proofErr w:type="spellStart"/>
      <w:r>
        <w:rPr>
          <w:rFonts w:ascii="Times New Roman" w:hAnsi="Times New Roman" w:cs="Times New Roman"/>
          <w:sz w:val="24"/>
          <w:szCs w:val="24"/>
        </w:rPr>
        <w:t>экон</w:t>
      </w:r>
      <w:proofErr w:type="spellEnd"/>
      <w:r>
        <w:rPr>
          <w:rFonts w:ascii="Times New Roman" w:hAnsi="Times New Roman" w:cs="Times New Roman"/>
          <w:sz w:val="24"/>
          <w:szCs w:val="24"/>
        </w:rPr>
        <w:t>. наук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., 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ведущий научный сотрудник, </w:t>
      </w:r>
      <w:r w:rsidRPr="00045D8B">
        <w:rPr>
          <w:rFonts w:ascii="Times New Roman" w:hAnsi="Times New Roman" w:cs="Times New Roman"/>
          <w:sz w:val="24"/>
          <w:szCs w:val="24"/>
        </w:rPr>
        <w:t>Российская академия народного хозяйства и государственной службы при Президенте Российской Федерации</w:t>
      </w:r>
      <w:r w:rsidR="00453A45">
        <w:rPr>
          <w:rFonts w:ascii="Times New Roman" w:hAnsi="Times New Roman" w:cs="Times New Roman"/>
          <w:sz w:val="24"/>
          <w:szCs w:val="24"/>
        </w:rPr>
        <w:t xml:space="preserve"> (</w:t>
      </w:r>
      <w:r w:rsidR="00453A45" w:rsidRPr="00453A45">
        <w:rPr>
          <w:rFonts w:ascii="Times New Roman" w:hAnsi="Times New Roman" w:cs="Times New Roman"/>
          <w:sz w:val="24"/>
          <w:szCs w:val="24"/>
        </w:rPr>
        <w:t xml:space="preserve">119571, проспект </w:t>
      </w:r>
      <w:r w:rsidR="00453A45">
        <w:rPr>
          <w:rFonts w:ascii="Times New Roman" w:hAnsi="Times New Roman" w:cs="Times New Roman"/>
          <w:sz w:val="24"/>
          <w:szCs w:val="24"/>
        </w:rPr>
        <w:t xml:space="preserve">Вернадского, дом 82, строение 1, </w:t>
      </w:r>
      <w:proofErr w:type="spellStart"/>
      <w:r w:rsidR="00453A45" w:rsidRPr="00453A45">
        <w:rPr>
          <w:rFonts w:ascii="Times New Roman" w:hAnsi="Times New Roman" w:cs="Times New Roman"/>
          <w:sz w:val="24"/>
          <w:szCs w:val="24"/>
          <w:lang w:val="en-US"/>
        </w:rPr>
        <w:t>blinova</w:t>
      </w:r>
      <w:proofErr w:type="spellEnd"/>
      <w:r w:rsidR="00453A45" w:rsidRPr="00453A45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453A45" w:rsidRPr="00453A45">
        <w:rPr>
          <w:rFonts w:ascii="Times New Roman" w:hAnsi="Times New Roman" w:cs="Times New Roman"/>
          <w:sz w:val="24"/>
          <w:szCs w:val="24"/>
          <w:lang w:val="en-US"/>
        </w:rPr>
        <w:t>tn</w:t>
      </w:r>
      <w:proofErr w:type="spellEnd"/>
      <w:r w:rsidR="00453A45" w:rsidRPr="00453A45">
        <w:rPr>
          <w:rFonts w:ascii="Times New Roman" w:hAnsi="Times New Roman" w:cs="Times New Roman"/>
          <w:sz w:val="24"/>
          <w:szCs w:val="24"/>
        </w:rPr>
        <w:t>@</w:t>
      </w:r>
      <w:proofErr w:type="spellStart"/>
      <w:r w:rsidR="00453A45" w:rsidRPr="00453A45">
        <w:rPr>
          <w:rFonts w:ascii="Times New Roman" w:hAnsi="Times New Roman" w:cs="Times New Roman"/>
          <w:sz w:val="24"/>
          <w:szCs w:val="24"/>
          <w:lang w:val="en-US"/>
        </w:rPr>
        <w:t>ranepa</w:t>
      </w:r>
      <w:proofErr w:type="spellEnd"/>
      <w:r w:rsidR="00453A45" w:rsidRPr="00453A45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453A45" w:rsidRPr="00453A45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453A45">
        <w:rPr>
          <w:rFonts w:ascii="Times New Roman" w:hAnsi="Times New Roman" w:cs="Times New Roman"/>
          <w:sz w:val="24"/>
          <w:szCs w:val="24"/>
        </w:rPr>
        <w:t>).</w:t>
      </w:r>
    </w:p>
    <w:p w:rsidR="00453A45" w:rsidRPr="00453A45" w:rsidRDefault="00453A45" w:rsidP="00453A45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453A45">
        <w:rPr>
          <w:rFonts w:ascii="Times New Roman" w:hAnsi="Times New Roman" w:cs="Times New Roman"/>
          <w:b/>
          <w:sz w:val="24"/>
          <w:szCs w:val="24"/>
          <w:lang w:val="en-US"/>
        </w:rPr>
        <w:t>Blinova</w:t>
      </w:r>
      <w:proofErr w:type="spellEnd"/>
      <w:r w:rsidR="00E22D44" w:rsidRPr="00E22D44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E22D44" w:rsidRPr="00453A45">
        <w:rPr>
          <w:rFonts w:ascii="Times New Roman" w:hAnsi="Times New Roman" w:cs="Times New Roman"/>
          <w:b/>
          <w:sz w:val="24"/>
          <w:szCs w:val="24"/>
          <w:lang w:val="en-US"/>
        </w:rPr>
        <w:t>T.N.</w:t>
      </w:r>
    </w:p>
    <w:p w:rsidR="00453A45" w:rsidRDefault="00453A45" w:rsidP="00453A4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53A45">
        <w:rPr>
          <w:rFonts w:ascii="Times New Roman" w:hAnsi="Times New Roman" w:cs="Times New Roman"/>
          <w:b/>
          <w:sz w:val="24"/>
          <w:szCs w:val="24"/>
          <w:lang w:val="en-US"/>
        </w:rPr>
        <w:t>DEVELOPMENT OF SCIENCE IN UNIVERSITIES OF THE FAR EAST</w:t>
      </w:r>
    </w:p>
    <w:p w:rsidR="00453A45" w:rsidRPr="00453A45" w:rsidRDefault="00453A45" w:rsidP="00453A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53A45">
        <w:rPr>
          <w:rFonts w:ascii="Times New Roman" w:hAnsi="Times New Roman" w:cs="Times New Roman"/>
          <w:b/>
          <w:sz w:val="24"/>
          <w:szCs w:val="24"/>
          <w:lang w:val="en-US"/>
        </w:rPr>
        <w:t>Abstract.</w:t>
      </w:r>
      <w:r w:rsidRPr="00453A45">
        <w:rPr>
          <w:rFonts w:ascii="Times New Roman" w:hAnsi="Times New Roman" w:cs="Times New Roman"/>
          <w:sz w:val="24"/>
          <w:szCs w:val="24"/>
          <w:lang w:val="en-US"/>
        </w:rPr>
        <w:t xml:space="preserve"> This article examines the development of research and development activities at universities in the Far Eastern Federal District and its constituent regions. The analysis is based on data from a 2021–2025 university performance monitoring study.</w:t>
      </w:r>
    </w:p>
    <w:p w:rsidR="00453A45" w:rsidRDefault="00453A45" w:rsidP="00453A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53A45">
        <w:rPr>
          <w:rFonts w:ascii="Times New Roman" w:hAnsi="Times New Roman" w:cs="Times New Roman"/>
          <w:b/>
          <w:sz w:val="24"/>
          <w:szCs w:val="24"/>
          <w:lang w:val="en-US"/>
        </w:rPr>
        <w:t>Keywords:</w:t>
      </w:r>
      <w:r w:rsidRPr="00453A4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22D44">
        <w:rPr>
          <w:rFonts w:ascii="Times New Roman" w:hAnsi="Times New Roman" w:cs="Times New Roman"/>
          <w:i/>
          <w:sz w:val="24"/>
          <w:szCs w:val="24"/>
          <w:lang w:val="en-US"/>
        </w:rPr>
        <w:t xml:space="preserve">universities, regions, Far East, research and development, </w:t>
      </w:r>
      <w:bookmarkStart w:id="0" w:name="_GoBack"/>
      <w:r w:rsidRPr="00E22D44">
        <w:rPr>
          <w:rFonts w:ascii="Times New Roman" w:hAnsi="Times New Roman" w:cs="Times New Roman"/>
          <w:i/>
          <w:sz w:val="24"/>
          <w:szCs w:val="24"/>
          <w:lang w:val="en-US"/>
        </w:rPr>
        <w:t>revenue</w:t>
      </w:r>
      <w:bookmarkEnd w:id="0"/>
      <w:r w:rsidRPr="00E22D44"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</w:p>
    <w:p w:rsidR="00453A45" w:rsidRDefault="00453A45" w:rsidP="00453A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D30C8D" w:rsidRPr="00D30C8D" w:rsidRDefault="00D30C8D" w:rsidP="00D30C8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30C8D">
        <w:rPr>
          <w:rFonts w:ascii="Times New Roman" w:hAnsi="Times New Roman" w:cs="Times New Roman"/>
          <w:b/>
          <w:sz w:val="24"/>
          <w:szCs w:val="24"/>
          <w:lang w:val="en-US"/>
        </w:rPr>
        <w:t>About the author</w:t>
      </w:r>
    </w:p>
    <w:p w:rsidR="00D30C8D" w:rsidRPr="00D30C8D" w:rsidRDefault="00D30C8D" w:rsidP="00D30C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30C8D">
        <w:rPr>
          <w:rFonts w:ascii="Times New Roman" w:hAnsi="Times New Roman" w:cs="Times New Roman"/>
          <w:sz w:val="24"/>
          <w:szCs w:val="24"/>
          <w:lang w:val="en-US"/>
        </w:rPr>
        <w:t xml:space="preserve">Tatyana </w:t>
      </w:r>
      <w:proofErr w:type="spellStart"/>
      <w:r w:rsidRPr="00D30C8D">
        <w:rPr>
          <w:rFonts w:ascii="Times New Roman" w:hAnsi="Times New Roman" w:cs="Times New Roman"/>
          <w:sz w:val="24"/>
          <w:szCs w:val="24"/>
          <w:lang w:val="en-US"/>
        </w:rPr>
        <w:t>Nikolaevna</w:t>
      </w:r>
      <w:proofErr w:type="spellEnd"/>
      <w:r w:rsidRPr="00D30C8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30C8D">
        <w:rPr>
          <w:rFonts w:ascii="Times New Roman" w:hAnsi="Times New Roman" w:cs="Times New Roman"/>
          <w:sz w:val="24"/>
          <w:szCs w:val="24"/>
          <w:lang w:val="en-US"/>
        </w:rPr>
        <w:t>Blinova</w:t>
      </w:r>
      <w:proofErr w:type="spellEnd"/>
      <w:r w:rsidRPr="00D30C8D">
        <w:rPr>
          <w:rFonts w:ascii="Times New Roman" w:hAnsi="Times New Roman" w:cs="Times New Roman"/>
          <w:sz w:val="24"/>
          <w:szCs w:val="24"/>
          <w:lang w:val="en-US"/>
        </w:rPr>
        <w:t xml:space="preserve"> (Russia, Khabarovsk) – PhD in Economics, Leading Researcher, Russian Presidential Academy of National Economy and Public Administration (82 </w:t>
      </w:r>
      <w:proofErr w:type="spellStart"/>
      <w:r w:rsidRPr="00D30C8D">
        <w:rPr>
          <w:rFonts w:ascii="Times New Roman" w:hAnsi="Times New Roman" w:cs="Times New Roman"/>
          <w:sz w:val="24"/>
          <w:szCs w:val="24"/>
          <w:lang w:val="en-US"/>
        </w:rPr>
        <w:t>Vernadsky</w:t>
      </w:r>
      <w:proofErr w:type="spellEnd"/>
      <w:r w:rsidRPr="00D30C8D">
        <w:rPr>
          <w:rFonts w:ascii="Times New Roman" w:hAnsi="Times New Roman" w:cs="Times New Roman"/>
          <w:sz w:val="24"/>
          <w:szCs w:val="24"/>
          <w:lang w:val="en-US"/>
        </w:rPr>
        <w:t xml:space="preserve"> Avenue, Building 1, Khabarovsk, Russia, 119571, </w:t>
      </w:r>
      <w:hyperlink r:id="rId13" w:history="1">
        <w:r w:rsidRPr="00076EA6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blinova-tn@ranepa.ru</w:t>
        </w:r>
      </w:hyperlink>
      <w:r w:rsidRPr="00D30C8D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:rsidR="00D30C8D" w:rsidRPr="00D30C8D" w:rsidRDefault="00D30C8D" w:rsidP="00D30C8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30C8D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D30C8D" w:rsidRPr="00D30C8D" w:rsidRDefault="00D30C8D" w:rsidP="00D30C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30C8D">
        <w:rPr>
          <w:rFonts w:ascii="Times New Roman" w:hAnsi="Times New Roman" w:cs="Times New Roman"/>
          <w:sz w:val="24"/>
          <w:szCs w:val="24"/>
          <w:lang w:val="en-US"/>
        </w:rPr>
        <w:t>1. Decree of the President of the Russian Federation "On the Strategy for Scientific and Technological Development of the Russian Federation" dated February 28, 2024, No. 145. Available at: https://mchs.gov.ru/uploads/document/2025-06-09/45be581bad89594daf8ff94ddec71177.pdf (Accessed March 23, 2026).</w:t>
      </w:r>
    </w:p>
    <w:p w:rsidR="00D30C8D" w:rsidRPr="00D30C8D" w:rsidRDefault="00D30C8D" w:rsidP="00D30C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30C8D">
        <w:rPr>
          <w:rFonts w:ascii="Times New Roman" w:hAnsi="Times New Roman" w:cs="Times New Roman"/>
          <w:sz w:val="24"/>
          <w:szCs w:val="24"/>
          <w:lang w:val="en-US"/>
        </w:rPr>
        <w:t>2. Federal Law "On Education in the Russian Federation" dated December 29, 2012, No. 273-FZ. Available at: https://www.consultant.ru/document/cons_doc_LAW_140174/ (Accessed March 25, 2026).</w:t>
      </w:r>
    </w:p>
    <w:p w:rsidR="00D30C8D" w:rsidRDefault="00D30C8D" w:rsidP="00D30C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30C8D">
        <w:rPr>
          <w:rFonts w:ascii="Times New Roman" w:hAnsi="Times New Roman" w:cs="Times New Roman"/>
          <w:sz w:val="24"/>
          <w:szCs w:val="24"/>
          <w:lang w:val="en-US"/>
        </w:rPr>
        <w:t>3. The Far East – a National Priority for the Entire 21st Century. URL: https://minvr.gov.ru/press-center/news/dalniy-vostok-natsionalnyy-prioritet-na-ves-xxi-vek-13147/ (accessed: 25.03.2026).</w:t>
      </w:r>
    </w:p>
    <w:sectPr w:rsidR="00D30C8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581707"/>
    <w:multiLevelType w:val="hybridMultilevel"/>
    <w:tmpl w:val="36B645E4"/>
    <w:lvl w:ilvl="0" w:tplc="8AAED9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19563C4E"/>
    <w:multiLevelType w:val="hybridMultilevel"/>
    <w:tmpl w:val="7EAABDC8"/>
    <w:lvl w:ilvl="0" w:tplc="F4CE2FA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49590EE4"/>
    <w:multiLevelType w:val="hybridMultilevel"/>
    <w:tmpl w:val="E3E21AD0"/>
    <w:lvl w:ilvl="0" w:tplc="39F4C58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6C9448CA"/>
    <w:multiLevelType w:val="hybridMultilevel"/>
    <w:tmpl w:val="B2AC20C8"/>
    <w:lvl w:ilvl="0" w:tplc="7BF4BC8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5BD0"/>
    <w:rsid w:val="00045D8B"/>
    <w:rsid w:val="000734ED"/>
    <w:rsid w:val="00085889"/>
    <w:rsid w:val="000A14B5"/>
    <w:rsid w:val="000A7154"/>
    <w:rsid w:val="000A7177"/>
    <w:rsid w:val="000D59C5"/>
    <w:rsid w:val="000F6700"/>
    <w:rsid w:val="00105320"/>
    <w:rsid w:val="00111B58"/>
    <w:rsid w:val="00152C6F"/>
    <w:rsid w:val="00153EEC"/>
    <w:rsid w:val="00192DD1"/>
    <w:rsid w:val="00215EFD"/>
    <w:rsid w:val="0027082F"/>
    <w:rsid w:val="00290C20"/>
    <w:rsid w:val="00310A23"/>
    <w:rsid w:val="0032696B"/>
    <w:rsid w:val="00350954"/>
    <w:rsid w:val="003E7EFF"/>
    <w:rsid w:val="00406728"/>
    <w:rsid w:val="00440821"/>
    <w:rsid w:val="00453A45"/>
    <w:rsid w:val="004774FB"/>
    <w:rsid w:val="004800D9"/>
    <w:rsid w:val="00487D9B"/>
    <w:rsid w:val="004C0A90"/>
    <w:rsid w:val="004C3B56"/>
    <w:rsid w:val="004D0501"/>
    <w:rsid w:val="00594D34"/>
    <w:rsid w:val="005A0B48"/>
    <w:rsid w:val="005A1B4B"/>
    <w:rsid w:val="005E4424"/>
    <w:rsid w:val="00646E65"/>
    <w:rsid w:val="00672040"/>
    <w:rsid w:val="006A4738"/>
    <w:rsid w:val="00713407"/>
    <w:rsid w:val="00742DC5"/>
    <w:rsid w:val="007621FB"/>
    <w:rsid w:val="007A0084"/>
    <w:rsid w:val="007E2230"/>
    <w:rsid w:val="007F0F37"/>
    <w:rsid w:val="00801570"/>
    <w:rsid w:val="00815118"/>
    <w:rsid w:val="00820471"/>
    <w:rsid w:val="0083118D"/>
    <w:rsid w:val="00837874"/>
    <w:rsid w:val="0086043B"/>
    <w:rsid w:val="00873A6C"/>
    <w:rsid w:val="008B1D36"/>
    <w:rsid w:val="008B4EF7"/>
    <w:rsid w:val="00915467"/>
    <w:rsid w:val="009549BD"/>
    <w:rsid w:val="00975BC1"/>
    <w:rsid w:val="009B184B"/>
    <w:rsid w:val="00A3271F"/>
    <w:rsid w:val="00AB4535"/>
    <w:rsid w:val="00AE029A"/>
    <w:rsid w:val="00B258DE"/>
    <w:rsid w:val="00B4396C"/>
    <w:rsid w:val="00B636DF"/>
    <w:rsid w:val="00BA15CE"/>
    <w:rsid w:val="00BB1392"/>
    <w:rsid w:val="00BB3F2A"/>
    <w:rsid w:val="00BD4E88"/>
    <w:rsid w:val="00BE67A0"/>
    <w:rsid w:val="00C15911"/>
    <w:rsid w:val="00C1709C"/>
    <w:rsid w:val="00C35BD0"/>
    <w:rsid w:val="00CA76AB"/>
    <w:rsid w:val="00CD7378"/>
    <w:rsid w:val="00CF20F9"/>
    <w:rsid w:val="00CF3A4C"/>
    <w:rsid w:val="00D12888"/>
    <w:rsid w:val="00D30C8D"/>
    <w:rsid w:val="00D417BD"/>
    <w:rsid w:val="00D61A90"/>
    <w:rsid w:val="00D64B9E"/>
    <w:rsid w:val="00DC542E"/>
    <w:rsid w:val="00DD3953"/>
    <w:rsid w:val="00DD506B"/>
    <w:rsid w:val="00DD66E1"/>
    <w:rsid w:val="00DE3DE9"/>
    <w:rsid w:val="00DF7BB0"/>
    <w:rsid w:val="00E00E81"/>
    <w:rsid w:val="00E22D44"/>
    <w:rsid w:val="00EC2A96"/>
    <w:rsid w:val="00ED366A"/>
    <w:rsid w:val="00ED7053"/>
    <w:rsid w:val="00EF75D0"/>
    <w:rsid w:val="00F55498"/>
    <w:rsid w:val="00F66C89"/>
    <w:rsid w:val="00F9655A"/>
    <w:rsid w:val="00FB13BB"/>
    <w:rsid w:val="00FC3084"/>
    <w:rsid w:val="00FD02CD"/>
    <w:rsid w:val="00FD14A6"/>
    <w:rsid w:val="00FD5A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A15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8151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15118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32696B"/>
    <w:rPr>
      <w:color w:val="0000FF" w:themeColor="hyperlink"/>
      <w:u w:val="single"/>
    </w:rPr>
  </w:style>
  <w:style w:type="paragraph" w:styleId="a7">
    <w:name w:val="List Paragraph"/>
    <w:basedOn w:val="a"/>
    <w:uiPriority w:val="34"/>
    <w:qFormat/>
    <w:rsid w:val="005E44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A15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8151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15118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32696B"/>
    <w:rPr>
      <w:color w:val="0000FF" w:themeColor="hyperlink"/>
      <w:u w:val="single"/>
    </w:rPr>
  </w:style>
  <w:style w:type="paragraph" w:styleId="a7">
    <w:name w:val="List Paragraph"/>
    <w:basedOn w:val="a"/>
    <w:uiPriority w:val="34"/>
    <w:qFormat/>
    <w:rsid w:val="005E44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4340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2.xml"/><Relationship Id="rId13" Type="http://schemas.openxmlformats.org/officeDocument/2006/relationships/hyperlink" Target="mailto:blinova-tn@ranepa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monitoring.miccedu.ru/" TargetMode="External"/><Relationship Id="rId12" Type="http://schemas.openxmlformats.org/officeDocument/2006/relationships/hyperlink" Target="https://minvr.gov.ru/press-center/news/dalniy-vostok-natsionalnyy-prioritet-na-ves-xxi-vek-13147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chart" Target="charts/chart1.xml"/><Relationship Id="rId11" Type="http://schemas.openxmlformats.org/officeDocument/2006/relationships/hyperlink" Target="https://www.consultant.ru/document/cons_doc_LAW_140174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mchs.gov.ru/uploads/document/2025-06-09/45be581bad89594daf8ff94ddec71177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monitoring.miccedu.ru/" TargetMode="External"/><Relationship Id="rId14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Рис_2!$C$2</c:f>
              <c:strCache>
                <c:ptCount val="1"/>
                <c:pt idx="0">
                  <c:v>2020 г.</c:v>
                </c:pt>
              </c:strCache>
            </c:strRef>
          </c:tx>
          <c:spPr>
            <a:pattFill prst="pct70">
              <a:fgClr>
                <a:schemeClr val="tx1"/>
              </a:fgClr>
              <a:bgClr>
                <a:schemeClr val="bg1"/>
              </a:bgClr>
            </a:pattFill>
          </c:spPr>
          <c:invertIfNegative val="0"/>
          <c:dLbls>
            <c:txPr>
              <a:bodyPr/>
              <a:lstStyle/>
              <a:p>
                <a:pPr>
                  <a:defRPr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Рис_2!$B$3:$B$4</c:f>
              <c:strCache>
                <c:ptCount val="2"/>
                <c:pt idx="0">
                  <c:v>Число публикаций</c:v>
                </c:pt>
                <c:pt idx="1">
                  <c:v>Число цитирований</c:v>
                </c:pt>
              </c:strCache>
            </c:strRef>
          </c:cat>
          <c:val>
            <c:numRef>
              <c:f>Рис_2!$C$3:$C$4</c:f>
              <c:numCache>
                <c:formatCode>0</c:formatCode>
                <c:ptCount val="2"/>
                <c:pt idx="0">
                  <c:v>250.99897435897432</c:v>
                </c:pt>
                <c:pt idx="1">
                  <c:v>1997.8282051282051</c:v>
                </c:pt>
              </c:numCache>
            </c:numRef>
          </c:val>
        </c:ser>
        <c:ser>
          <c:idx val="1"/>
          <c:order val="1"/>
          <c:tx>
            <c:strRef>
              <c:f>Рис_2!$D$2</c:f>
              <c:strCache>
                <c:ptCount val="1"/>
                <c:pt idx="0">
                  <c:v>2021 г.</c:v>
                </c:pt>
              </c:strCache>
            </c:strRef>
          </c:tx>
          <c:spPr>
            <a:pattFill prst="pct5">
              <a:fgClr>
                <a:schemeClr val="tx1"/>
              </a:fgClr>
              <a:bgClr>
                <a:schemeClr val="bg1"/>
              </a:bgClr>
            </a:pattFill>
          </c:spPr>
          <c:invertIfNegative val="0"/>
          <c:dLbls>
            <c:txPr>
              <a:bodyPr/>
              <a:lstStyle/>
              <a:p>
                <a:pPr>
                  <a:defRPr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Рис_2!$B$3:$B$4</c:f>
              <c:strCache>
                <c:ptCount val="2"/>
                <c:pt idx="0">
                  <c:v>Число публикаций</c:v>
                </c:pt>
                <c:pt idx="1">
                  <c:v>Число цитирований</c:v>
                </c:pt>
              </c:strCache>
            </c:strRef>
          </c:cat>
          <c:val>
            <c:numRef>
              <c:f>Рис_2!$D$3:$D$4</c:f>
              <c:numCache>
                <c:formatCode>0</c:formatCode>
                <c:ptCount val="2"/>
                <c:pt idx="0">
                  <c:v>159.82030303030302</c:v>
                </c:pt>
                <c:pt idx="1">
                  <c:v>2358.685263157895</c:v>
                </c:pt>
              </c:numCache>
            </c:numRef>
          </c:val>
        </c:ser>
        <c:ser>
          <c:idx val="2"/>
          <c:order val="2"/>
          <c:tx>
            <c:strRef>
              <c:f>Рис_2!$E$2</c:f>
              <c:strCache>
                <c:ptCount val="1"/>
                <c:pt idx="0">
                  <c:v>2022 г.</c:v>
                </c:pt>
              </c:strCache>
            </c:strRef>
          </c:tx>
          <c:spPr>
            <a:pattFill prst="wdDnDiag">
              <a:fgClr>
                <a:schemeClr val="tx1"/>
              </a:fgClr>
              <a:bgClr>
                <a:schemeClr val="bg1"/>
              </a:bgClr>
            </a:pattFill>
          </c:spPr>
          <c:invertIfNegative val="0"/>
          <c:dLbls>
            <c:txPr>
              <a:bodyPr/>
              <a:lstStyle/>
              <a:p>
                <a:pPr>
                  <a:defRPr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Рис_2!$B$3:$B$4</c:f>
              <c:strCache>
                <c:ptCount val="2"/>
                <c:pt idx="0">
                  <c:v>Число публикаций</c:v>
                </c:pt>
                <c:pt idx="1">
                  <c:v>Число цитирований</c:v>
                </c:pt>
              </c:strCache>
            </c:strRef>
          </c:cat>
          <c:val>
            <c:numRef>
              <c:f>Рис_2!$E$3:$E$4</c:f>
              <c:numCache>
                <c:formatCode>0</c:formatCode>
                <c:ptCount val="2"/>
                <c:pt idx="0">
                  <c:v>314.00871794871796</c:v>
                </c:pt>
                <c:pt idx="1">
                  <c:v>2883.1205128205129</c:v>
                </c:pt>
              </c:numCache>
            </c:numRef>
          </c:val>
        </c:ser>
        <c:ser>
          <c:idx val="3"/>
          <c:order val="3"/>
          <c:tx>
            <c:strRef>
              <c:f>Рис_2!$F$2</c:f>
              <c:strCache>
                <c:ptCount val="1"/>
                <c:pt idx="0">
                  <c:v>2023 г.</c:v>
                </c:pt>
              </c:strCache>
            </c:strRef>
          </c:tx>
          <c:spPr>
            <a:pattFill prst="wdUpDiag">
              <a:fgClr>
                <a:schemeClr val="tx1"/>
              </a:fgClr>
              <a:bgClr>
                <a:schemeClr val="bg1"/>
              </a:bgClr>
            </a:pattFill>
          </c:spPr>
          <c:invertIfNegative val="0"/>
          <c:dLbls>
            <c:txPr>
              <a:bodyPr/>
              <a:lstStyle/>
              <a:p>
                <a:pPr>
                  <a:defRPr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Рис_2!$B$3:$B$4</c:f>
              <c:strCache>
                <c:ptCount val="2"/>
                <c:pt idx="0">
                  <c:v>Число публикаций</c:v>
                </c:pt>
                <c:pt idx="1">
                  <c:v>Число цитирований</c:v>
                </c:pt>
              </c:strCache>
            </c:strRef>
          </c:cat>
          <c:val>
            <c:numRef>
              <c:f>Рис_2!$F$3:$F$4</c:f>
              <c:numCache>
                <c:formatCode>0</c:formatCode>
                <c:ptCount val="2"/>
                <c:pt idx="0">
                  <c:v>152.76569230769232</c:v>
                </c:pt>
                <c:pt idx="1">
                  <c:v>1359.8231578947368</c:v>
                </c:pt>
              </c:numCache>
            </c:numRef>
          </c:val>
        </c:ser>
        <c:ser>
          <c:idx val="4"/>
          <c:order val="4"/>
          <c:tx>
            <c:strRef>
              <c:f>Рис_2!$G$2</c:f>
              <c:strCache>
                <c:ptCount val="1"/>
                <c:pt idx="0">
                  <c:v>2024 г.</c:v>
                </c:pt>
              </c:strCache>
            </c:strRef>
          </c:tx>
          <c:spPr>
            <a:pattFill prst="pct40">
              <a:fgClr>
                <a:schemeClr val="tx1"/>
              </a:fgClr>
              <a:bgClr>
                <a:schemeClr val="bg1"/>
              </a:bgClr>
            </a:pattFill>
          </c:spPr>
          <c:invertIfNegative val="0"/>
          <c:dLbls>
            <c:txPr>
              <a:bodyPr/>
              <a:lstStyle/>
              <a:p>
                <a:pPr>
                  <a:defRPr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Рис_2!$B$3:$B$4</c:f>
              <c:strCache>
                <c:ptCount val="2"/>
                <c:pt idx="0">
                  <c:v>Число публикаций</c:v>
                </c:pt>
                <c:pt idx="1">
                  <c:v>Число цитирований</c:v>
                </c:pt>
              </c:strCache>
            </c:strRef>
          </c:cat>
          <c:val>
            <c:numRef>
              <c:f>Рис_2!$G$3:$G$4</c:f>
              <c:numCache>
                <c:formatCode>0</c:formatCode>
                <c:ptCount val="2"/>
                <c:pt idx="0">
                  <c:v>198.95923076923077</c:v>
                </c:pt>
                <c:pt idx="1">
                  <c:v>930.70923076923089</c:v>
                </c:pt>
              </c:numCache>
            </c:numRef>
          </c:val>
        </c:ser>
        <c:ser>
          <c:idx val="5"/>
          <c:order val="5"/>
          <c:tx>
            <c:strRef>
              <c:f>Рис_2!$H$2</c:f>
              <c:strCache>
                <c:ptCount val="1"/>
                <c:pt idx="0">
                  <c:v>Среднее</c:v>
                </c:pt>
              </c:strCache>
            </c:strRef>
          </c:tx>
          <c:spPr>
            <a:pattFill prst="plaid">
              <a:fgClr>
                <a:schemeClr val="tx1"/>
              </a:fgClr>
              <a:bgClr>
                <a:schemeClr val="bg1"/>
              </a:bgClr>
            </a:pattFill>
          </c:spPr>
          <c:invertIfNegative val="0"/>
          <c:dLbls>
            <c:txPr>
              <a:bodyPr/>
              <a:lstStyle/>
              <a:p>
                <a:pPr>
                  <a:defRPr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Рис_2!$B$3:$B$4</c:f>
              <c:strCache>
                <c:ptCount val="2"/>
                <c:pt idx="0">
                  <c:v>Число публикаций</c:v>
                </c:pt>
                <c:pt idx="1">
                  <c:v>Число цитирований</c:v>
                </c:pt>
              </c:strCache>
            </c:strRef>
          </c:cat>
          <c:val>
            <c:numRef>
              <c:f>Рис_2!$H$3:$H$4</c:f>
              <c:numCache>
                <c:formatCode>0</c:formatCode>
                <c:ptCount val="2"/>
                <c:pt idx="0">
                  <c:v>215.31058368298369</c:v>
                </c:pt>
                <c:pt idx="1">
                  <c:v>1906.0332739541161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83278336"/>
        <c:axId val="299605312"/>
      </c:barChart>
      <c:catAx>
        <c:axId val="283278336"/>
        <c:scaling>
          <c:orientation val="minMax"/>
        </c:scaling>
        <c:delete val="0"/>
        <c:axPos val="b"/>
        <c:majorTickMark val="out"/>
        <c:minorTickMark val="none"/>
        <c:tickLblPos val="nextTo"/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ru-RU"/>
          </a:p>
        </c:txPr>
        <c:crossAx val="299605312"/>
        <c:crosses val="autoZero"/>
        <c:auto val="1"/>
        <c:lblAlgn val="ctr"/>
        <c:lblOffset val="100"/>
        <c:noMultiLvlLbl val="0"/>
      </c:catAx>
      <c:valAx>
        <c:axId val="299605312"/>
        <c:scaling>
          <c:orientation val="minMax"/>
        </c:scaling>
        <c:delete val="0"/>
        <c:axPos val="l"/>
        <c:numFmt formatCode="0" sourceLinked="1"/>
        <c:majorTickMark val="out"/>
        <c:minorTickMark val="none"/>
        <c:tickLblPos val="nextTo"/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ru-RU"/>
          </a:p>
        </c:txPr>
        <c:crossAx val="283278336"/>
        <c:crosses val="autoZero"/>
        <c:crossBetween val="between"/>
      </c:valAx>
    </c:plotArea>
    <c:legend>
      <c:legendPos val="r"/>
      <c:overlay val="0"/>
      <c:txPr>
        <a:bodyPr/>
        <a:lstStyle/>
        <a:p>
          <a:pPr>
            <a:defRPr>
              <a:latin typeface="Times New Roman" panose="02020603050405020304" pitchFamily="18" charset="0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Лист1!$B$3</c:f>
              <c:strCache>
                <c:ptCount val="1"/>
                <c:pt idx="0">
                  <c:v>Аспиранты</c:v>
                </c:pt>
              </c:strCache>
            </c:strRef>
          </c:tx>
          <c:spPr>
            <a:ln>
              <a:solidFill>
                <a:schemeClr val="tx1"/>
              </a:solidFill>
              <a:prstDash val="dash"/>
            </a:ln>
          </c:spPr>
          <c:marker>
            <c:spPr>
              <a:solidFill>
                <a:schemeClr val="tx1"/>
              </a:solidFill>
              <a:ln>
                <a:solidFill>
                  <a:schemeClr val="tx1"/>
                </a:solidFill>
              </a:ln>
            </c:spPr>
          </c:marker>
          <c:dLbls>
            <c:dLbl>
              <c:idx val="0"/>
              <c:layout>
                <c:manualLayout>
                  <c:x val="-4.1666666666666664E-2"/>
                  <c:y val="-6.944480898221057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-4.4444444444444495E-2"/>
                  <c:y val="6.944444444444440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2"/>
              <c:layout>
                <c:manualLayout>
                  <c:x val="-8.0555555555555602E-2"/>
                  <c:y val="-5.092629046369203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3"/>
              <c:layout>
                <c:manualLayout>
                  <c:x val="-1.9444444444444445E-2"/>
                  <c:y val="-6.481481481481482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4"/>
              <c:layout>
                <c:manualLayout>
                  <c:x val="-2.2222222222222223E-2"/>
                  <c:y val="-6.018518518518519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Лист1!$C$2:$G$2</c:f>
              <c:strCache>
                <c:ptCount val="5"/>
                <c:pt idx="0">
                  <c:v>2020 г.</c:v>
                </c:pt>
                <c:pt idx="1">
                  <c:v>2021 г.</c:v>
                </c:pt>
                <c:pt idx="2">
                  <c:v>2022 г.</c:v>
                </c:pt>
                <c:pt idx="3">
                  <c:v>2023 г.</c:v>
                </c:pt>
                <c:pt idx="4">
                  <c:v>2024 г.</c:v>
                </c:pt>
              </c:strCache>
            </c:strRef>
          </c:cat>
          <c:val>
            <c:numRef>
              <c:f>Лист1!$C$3:$G$3</c:f>
              <c:numCache>
                <c:formatCode>General</c:formatCode>
                <c:ptCount val="5"/>
                <c:pt idx="0">
                  <c:v>4543</c:v>
                </c:pt>
                <c:pt idx="1">
                  <c:v>4468</c:v>
                </c:pt>
                <c:pt idx="2">
                  <c:v>4839</c:v>
                </c:pt>
                <c:pt idx="3">
                  <c:v>4993</c:v>
                </c:pt>
                <c:pt idx="4">
                  <c:v>5022</c:v>
                </c:pt>
              </c:numCache>
            </c:numRef>
          </c:val>
          <c:smooth val="0"/>
        </c:ser>
        <c:ser>
          <c:idx val="1"/>
          <c:order val="1"/>
          <c:tx>
            <c:strRef>
              <c:f>Лист1!$B$4</c:f>
              <c:strCache>
                <c:ptCount val="1"/>
                <c:pt idx="0">
                  <c:v>Докторанты</c:v>
                </c:pt>
              </c:strCache>
            </c:strRef>
          </c:tx>
          <c:spPr>
            <a:ln>
              <a:solidFill>
                <a:schemeClr val="tx1"/>
              </a:solidFill>
              <a:prstDash val="sysDash"/>
            </a:ln>
          </c:spPr>
          <c:marker>
            <c:spPr>
              <a:solidFill>
                <a:schemeClr val="tx1"/>
              </a:solidFill>
              <a:ln>
                <a:solidFill>
                  <a:schemeClr val="tx1"/>
                </a:solidFill>
              </a:ln>
            </c:spPr>
          </c:marker>
          <c:dLbls>
            <c:dLbl>
              <c:idx val="0"/>
              <c:layout>
                <c:manualLayout>
                  <c:x val="-3.3333333333333305E-2"/>
                  <c:y val="-7.40740740740740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-4.1666666666666664E-2"/>
                  <c:y val="-7.40740740740740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2"/>
              <c:layout>
                <c:manualLayout>
                  <c:x val="-3.888888888888889E-2"/>
                  <c:y val="-6.944444444444444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3"/>
              <c:layout>
                <c:manualLayout>
                  <c:x val="-2.5000000000000001E-2"/>
                  <c:y val="-5.092592592592592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4"/>
              <c:layout>
                <c:manualLayout>
                  <c:x val="-2.7777777777777776E-2"/>
                  <c:y val="-6.018518518518535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Лист1!$C$2:$G$2</c:f>
              <c:strCache>
                <c:ptCount val="5"/>
                <c:pt idx="0">
                  <c:v>2020 г.</c:v>
                </c:pt>
                <c:pt idx="1">
                  <c:v>2021 г.</c:v>
                </c:pt>
                <c:pt idx="2">
                  <c:v>2022 г.</c:v>
                </c:pt>
                <c:pt idx="3">
                  <c:v>2023 г.</c:v>
                </c:pt>
                <c:pt idx="4">
                  <c:v>2024 г.</c:v>
                </c:pt>
              </c:strCache>
            </c:strRef>
          </c:cat>
          <c:val>
            <c:numRef>
              <c:f>Лист1!$C$4:$G$4</c:f>
              <c:numCache>
                <c:formatCode>General</c:formatCode>
                <c:ptCount val="5"/>
                <c:pt idx="0">
                  <c:v>39</c:v>
                </c:pt>
                <c:pt idx="1">
                  <c:v>26</c:v>
                </c:pt>
                <c:pt idx="2">
                  <c:v>33</c:v>
                </c:pt>
                <c:pt idx="3">
                  <c:v>19</c:v>
                </c:pt>
                <c:pt idx="4">
                  <c:v>23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283276800"/>
        <c:axId val="299608896"/>
      </c:lineChart>
      <c:catAx>
        <c:axId val="283276800"/>
        <c:scaling>
          <c:orientation val="minMax"/>
        </c:scaling>
        <c:delete val="0"/>
        <c:axPos val="b"/>
        <c:majorTickMark val="out"/>
        <c:minorTickMark val="none"/>
        <c:tickLblPos val="nextTo"/>
        <c:crossAx val="299608896"/>
        <c:crosses val="autoZero"/>
        <c:auto val="1"/>
        <c:lblAlgn val="ctr"/>
        <c:lblOffset val="100"/>
        <c:noMultiLvlLbl val="0"/>
      </c:catAx>
      <c:valAx>
        <c:axId val="299608896"/>
        <c:scaling>
          <c:orientation val="minMax"/>
        </c:scaling>
        <c:delete val="0"/>
        <c:axPos val="l"/>
        <c:numFmt formatCode="General" sourceLinked="1"/>
        <c:majorTickMark val="out"/>
        <c:minorTickMark val="none"/>
        <c:tickLblPos val="nextTo"/>
        <c:crossAx val="283276800"/>
        <c:crosses val="autoZero"/>
        <c:crossBetween val="between"/>
      </c:valAx>
      <c:spPr>
        <a:noFill/>
        <a:ln w="25400">
          <a:noFill/>
        </a:ln>
      </c:spPr>
    </c:plotArea>
    <c:legend>
      <c:legendPos val="r"/>
      <c:overlay val="0"/>
    </c:legend>
    <c:plotVisOnly val="1"/>
    <c:dispBlanksAs val="gap"/>
    <c:showDLblsOverMax val="0"/>
  </c:chart>
  <c:spPr>
    <a:ln>
      <a:noFill/>
    </a:ln>
  </c:spPr>
  <c:txPr>
    <a:bodyPr/>
    <a:lstStyle/>
    <a:p>
      <a:pPr>
        <a:defRPr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1636</TotalTime>
  <Pages>1</Pages>
  <Words>2369</Words>
  <Characters>13505</Characters>
  <Application>Microsoft Office Word</Application>
  <DocSecurity>0</DocSecurity>
  <Lines>112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Blino</dc:creator>
  <cp:keywords/>
  <dc:description/>
  <cp:lastModifiedBy>Blino</cp:lastModifiedBy>
  <cp:revision>85</cp:revision>
  <dcterms:created xsi:type="dcterms:W3CDTF">2026-03-20T05:18:00Z</dcterms:created>
  <dcterms:modified xsi:type="dcterms:W3CDTF">2026-03-25T02:32:00Z</dcterms:modified>
</cp:coreProperties>
</file>