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054" w:rsidRPr="002E1784" w:rsidRDefault="005F4054" w:rsidP="00D55E3A">
      <w:pPr>
        <w:widowControl w:val="0"/>
        <w:spacing w:after="0" w:line="240" w:lineRule="auto"/>
        <w:ind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C93CA9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8E2138" w:rsidRPr="00C93CA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338.45 </w:t>
      </w:r>
      <w:r w:rsidRPr="00C93CA9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E95270" w:rsidRPr="00C93CA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C93CA9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 w:rsidR="00E95270" w:rsidRPr="00C93CA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65.305.4</w:t>
      </w:r>
    </w:p>
    <w:p w:rsidR="005F4054" w:rsidRPr="002E1784" w:rsidRDefault="003428E6" w:rsidP="00D55E3A">
      <w:pPr>
        <w:widowControl w:val="0"/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Коровина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:rsidR="002D66C9" w:rsidRPr="002D66C9" w:rsidRDefault="002D66C9" w:rsidP="00D55E3A">
      <w:pPr>
        <w:pStyle w:val="1"/>
        <w:widowControl w:val="0"/>
        <w:shd w:val="clear" w:color="auto" w:fill="FFFFFF"/>
        <w:spacing w:before="0" w:beforeAutospacing="0" w:after="0" w:afterAutospacing="0"/>
        <w:jc w:val="center"/>
        <w:rPr>
          <w:color w:val="0F1115"/>
          <w:sz w:val="24"/>
          <w:szCs w:val="24"/>
        </w:rPr>
      </w:pPr>
      <w:r w:rsidRPr="002D66C9">
        <w:rPr>
          <w:color w:val="0F1115"/>
          <w:sz w:val="24"/>
          <w:szCs w:val="24"/>
        </w:rPr>
        <w:t>ЦИФРОВАЯ ТРАНСФОРМАЦИЯ КАК ФАКТОР УСТОЙЧИВОГО РАЗВИТИЯ МАШИНОСТРОЕНИЯ: СОЦИОЛОГИЧЕСКИЙ АНАЛИЗ УПРАВЛЕНЧЕСКИХ ПРАКТИК</w:t>
      </w:r>
    </w:p>
    <w:p w:rsidR="003428E6" w:rsidRDefault="003428E6" w:rsidP="00D55E3A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8F7884" w:rsidRPr="00C93CA9" w:rsidRDefault="005F4054" w:rsidP="00D55E3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F1115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9C4FDE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C93CA9" w:rsidRPr="00C93CA9">
        <w:rPr>
          <w:rFonts w:ascii="Times New Roman" w:hAnsi="Times New Roman" w:cs="Times New Roman"/>
          <w:color w:val="0F1115"/>
          <w:sz w:val="24"/>
          <w:szCs w:val="24"/>
        </w:rPr>
        <w:t>В статье рассматривается цифровая трансформация машиностроительных предприятий как социотехнический процесс, требующий перестройки управленческих практик и организационной культуры. На основе анализа данных Росстата и эмпирических исследований раскрываются социальные факторы успешной цифровизации.</w:t>
      </w:r>
    </w:p>
    <w:p w:rsidR="008F7884" w:rsidRPr="002D66C9" w:rsidRDefault="005F4054" w:rsidP="00D55E3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F1115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1C429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8F7884" w:rsidRPr="002D66C9">
        <w:rPr>
          <w:rFonts w:ascii="Times New Roman" w:hAnsi="Times New Roman" w:cs="Times New Roman"/>
          <w:color w:val="0F1115"/>
          <w:sz w:val="24"/>
          <w:szCs w:val="24"/>
        </w:rPr>
        <w:t>цифровая трансформация, машиностроение, устойчивое развитие, управленческие практики, социотехнический подход, цифровое лидерство</w:t>
      </w:r>
      <w:r w:rsidR="008F7884">
        <w:rPr>
          <w:color w:val="0F1115"/>
        </w:rPr>
        <w:t>.</w:t>
      </w:r>
    </w:p>
    <w:p w:rsidR="003428E6" w:rsidRDefault="003428E6" w:rsidP="00D55E3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 xml:space="preserve">Современный этап развития промышленности характеризуется переходом от концепции Индустрии 4.0 к более </w:t>
      </w:r>
      <w:proofErr w:type="spellStart"/>
      <w:r w:rsidRPr="002D66C9">
        <w:rPr>
          <w:color w:val="0F1115"/>
        </w:rPr>
        <w:t>человекоцентричной</w:t>
      </w:r>
      <w:proofErr w:type="spellEnd"/>
      <w:r w:rsidRPr="002D66C9">
        <w:rPr>
          <w:color w:val="0F1115"/>
        </w:rPr>
        <w:t xml:space="preserve"> модели Индустрии 5.0, что актуализирует необходимость переосмысления роли социальных факторов в процессах цифровизации [2]. Машиностроение, являясь одной из ключевых отраслей обрабатывающей промышленности России, сталкивается с необходимостью интеграции цифровых технологий в производственные и управленческие процессы. Однако, как показывает анализ, успешность цифровой трансформации определяется не столько техническими параметрами внедряемых решений, сколько готовностью организационной системы к изменениям.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В соответствии с официальной статистической методологией Росстата, цифровые технологии определяются как «технологии сбора, хранения, обработки, поиска, передачи и представления данных в электронном виде» [4]. Приказом Р</w:t>
      </w:r>
      <w:r w:rsidR="009377ED">
        <w:rPr>
          <w:color w:val="0F1115"/>
        </w:rPr>
        <w:t>осстата от 21 августа 2025 г. №</w:t>
      </w:r>
      <w:r w:rsidRPr="002D66C9">
        <w:rPr>
          <w:color w:val="0F1115"/>
        </w:rPr>
        <w:t>415 утверждены методологии формирования статистической информации об использовании цифровых технологий, о передовых производственных технологиях и о применении промышлен</w:t>
      </w:r>
      <w:r w:rsidR="00282335">
        <w:rPr>
          <w:color w:val="0F1115"/>
        </w:rPr>
        <w:t>ной робототехники</w:t>
      </w:r>
      <w:r w:rsidRPr="002D66C9">
        <w:rPr>
          <w:color w:val="0F1115"/>
        </w:rPr>
        <w:t>. Эти документы задают концептуальные рамки для оценки цифровой зрелости предприятий, включая обрабатывающие производства (раздел C ОКВЭД</w:t>
      </w:r>
      <w:proofErr w:type="gramStart"/>
      <w:r w:rsidRPr="002D66C9">
        <w:rPr>
          <w:color w:val="0F1115"/>
        </w:rPr>
        <w:t>2</w:t>
      </w:r>
      <w:proofErr w:type="gramEnd"/>
      <w:r w:rsidRPr="002D66C9">
        <w:rPr>
          <w:color w:val="0F1115"/>
        </w:rPr>
        <w:t>), к которы</w:t>
      </w:r>
      <w:r w:rsidR="00282335">
        <w:rPr>
          <w:color w:val="0F1115"/>
        </w:rPr>
        <w:t>м относится машиностроение [1</w:t>
      </w:r>
      <w:r w:rsidRPr="002D66C9">
        <w:rPr>
          <w:color w:val="0F1115"/>
        </w:rPr>
        <w:t>].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 xml:space="preserve">Согласно данным исследования, проведенного Аналитическим центром НАФИ в </w:t>
      </w:r>
      <w:r w:rsidR="00282335">
        <w:rPr>
          <w:color w:val="0F1115"/>
        </w:rPr>
        <w:br/>
      </w:r>
      <w:r w:rsidRPr="002D66C9">
        <w:rPr>
          <w:color w:val="0F1115"/>
        </w:rPr>
        <w:t>2025 г</w:t>
      </w:r>
      <w:r w:rsidR="00282335">
        <w:rPr>
          <w:color w:val="0F1115"/>
        </w:rPr>
        <w:t>.</w:t>
      </w:r>
      <w:r w:rsidRPr="002D66C9">
        <w:rPr>
          <w:color w:val="0F1115"/>
        </w:rPr>
        <w:t xml:space="preserve"> с участием 22 крупных российских предприятий машиностроения, автомобилестроения и смежных отраслей, основной целью цифровой трансформации в 45% случаев является повышение операционной и</w:t>
      </w:r>
      <w:r w:rsidR="00282335">
        <w:rPr>
          <w:color w:val="0F1115"/>
        </w:rPr>
        <w:t xml:space="preserve"> экономической эффективности</w:t>
      </w:r>
      <w:r w:rsidRPr="002D66C9">
        <w:rPr>
          <w:color w:val="0F1115"/>
        </w:rPr>
        <w:t xml:space="preserve">. При этом источниками проблем, возникающих при цифровизации, выступают не только «недостаток финансирования» (25% голосов) и «нехватка квалифицированных кадров» (20%), но и «трудности, связанные с </w:t>
      </w:r>
      <w:proofErr w:type="spellStart"/>
      <w:r w:rsidRPr="002D66C9">
        <w:rPr>
          <w:color w:val="0F1115"/>
        </w:rPr>
        <w:t>цифровизацией</w:t>
      </w:r>
      <w:proofErr w:type="spellEnd"/>
      <w:r w:rsidRPr="002D66C9">
        <w:rPr>
          <w:color w:val="0F1115"/>
        </w:rPr>
        <w:t xml:space="preserve"> бизнес-процессов» (15%), «организационная культура и стратегия» (10%), «цифровая грамотность и компетенции сотрудников» (10%) [3]. Эти данные подтверждают, что ключевые барьеры цифровизации лежат не в технической, а в социально-управленческой плоскости.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Международные исследования также фиксируют сдвиг исследовательского фокуса в сторону социотехнического подхода к цифровой трансформации. В работе, опубликованной в 2025 году, отмечается, что успешная реализация Индустрии 4.0 требует баланса между техническими и социальными факторами, включая поддержку высшего руководства, вовлечение работников в процессы принятия решений, повышение их автономии и развитие культуры открытой коммуникации [</w:t>
      </w:r>
      <w:r w:rsidR="005103B2">
        <w:rPr>
          <w:color w:val="0F1115"/>
        </w:rPr>
        <w:t>7</w:t>
      </w:r>
      <w:r w:rsidRPr="002D66C9">
        <w:rPr>
          <w:color w:val="0F1115"/>
        </w:rPr>
        <w:t xml:space="preserve">]. </w:t>
      </w:r>
      <w:r w:rsidR="00584656">
        <w:rPr>
          <w:color w:val="0F1115"/>
        </w:rPr>
        <w:t xml:space="preserve">Также подчеркивается </w:t>
      </w:r>
      <w:r w:rsidRPr="002D66C9">
        <w:rPr>
          <w:color w:val="0F1115"/>
        </w:rPr>
        <w:t>необходимость формирования «цифрового м</w:t>
      </w:r>
      <w:r w:rsidR="005103B2">
        <w:rPr>
          <w:color w:val="0F1115"/>
        </w:rPr>
        <w:t xml:space="preserve">ышления» </w:t>
      </w:r>
      <w:r w:rsidRPr="002D66C9">
        <w:rPr>
          <w:color w:val="0F1115"/>
        </w:rPr>
        <w:t>на всех уровнях организации как ключево</w:t>
      </w:r>
      <w:r w:rsidR="00584656">
        <w:rPr>
          <w:color w:val="0F1115"/>
        </w:rPr>
        <w:t>го фактора цифровой готовности</w:t>
      </w:r>
      <w:r w:rsidRPr="002D66C9">
        <w:rPr>
          <w:color w:val="0F1115"/>
        </w:rPr>
        <w:t>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В российском контексте проблемы оптимизации бизнес-процессов машиностроительных предприятий на основе цифровых технологий рассматриваются в работе В.</w:t>
      </w:r>
      <w:r w:rsidR="009377ED">
        <w:rPr>
          <w:color w:val="0F1115"/>
        </w:rPr>
        <w:t xml:space="preserve"> </w:t>
      </w:r>
      <w:r w:rsidRPr="002D66C9">
        <w:rPr>
          <w:color w:val="0F1115"/>
        </w:rPr>
        <w:t>П. Кузнецова и Е.</w:t>
      </w:r>
      <w:r w:rsidR="009377ED">
        <w:rPr>
          <w:color w:val="0F1115"/>
        </w:rPr>
        <w:t xml:space="preserve"> </w:t>
      </w:r>
      <w:r w:rsidR="005103B2">
        <w:rPr>
          <w:color w:val="0F1115"/>
        </w:rPr>
        <w:t>В. Лаврентьевой</w:t>
      </w:r>
      <w:r w:rsidRPr="002D66C9">
        <w:rPr>
          <w:color w:val="0F1115"/>
        </w:rPr>
        <w:t xml:space="preserve">. Авторы отмечают, что в условиях санкционного давления и турбулентности экономики «особую значимость и актуальность приобретает оптимизация и автоматизация бизнес-процессов, являющаяся необходимым </w:t>
      </w:r>
      <w:r w:rsidRPr="002D66C9">
        <w:rPr>
          <w:color w:val="0F1115"/>
        </w:rPr>
        <w:lastRenderedPageBreak/>
        <w:t>условием обеспечения конкурентоспособности и динамичного развития высокотехнологичных предприятий машиностроения» [</w:t>
      </w:r>
      <w:r w:rsidR="005103B2">
        <w:rPr>
          <w:color w:val="0F1115"/>
        </w:rPr>
        <w:t>8</w:t>
      </w:r>
      <w:r w:rsidRPr="002D66C9">
        <w:rPr>
          <w:color w:val="0F1115"/>
        </w:rPr>
        <w:t>]. При этом исследователи фиксируют «существенное отставание по производительности труда и степени автоматизации произво</w:t>
      </w:r>
      <w:r w:rsidR="00584656">
        <w:rPr>
          <w:color w:val="0F1115"/>
        </w:rPr>
        <w:t>дственных процессов» в секторе</w:t>
      </w:r>
      <w:r w:rsidRPr="002D66C9">
        <w:rPr>
          <w:color w:val="0F1115"/>
        </w:rPr>
        <w:t>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Согласно данным Росстата, доля российских машиностроительных предприятий, внедривших цифровые решения в области управления процессами техн</w:t>
      </w:r>
      <w:r w:rsidR="00DD5355">
        <w:rPr>
          <w:color w:val="0F1115"/>
        </w:rPr>
        <w:t>ического обслуживания и ремонта</w:t>
      </w:r>
      <w:r w:rsidRPr="002D66C9">
        <w:rPr>
          <w:color w:val="0F1115"/>
        </w:rPr>
        <w:t xml:space="preserve"> </w:t>
      </w:r>
      <w:r w:rsidR="00DD5355">
        <w:rPr>
          <w:color w:val="0F1115"/>
        </w:rPr>
        <w:t>оборудования, устойчиво растет</w:t>
      </w:r>
      <w:r w:rsidRPr="002D66C9">
        <w:rPr>
          <w:color w:val="0F1115"/>
        </w:rPr>
        <w:t>. Как отмечают эксперты, «первые ощутимые результаты предприятия отмечают уже в первый год после автоматизации бизнес-процессов» [</w:t>
      </w:r>
      <w:r w:rsidR="005103B2">
        <w:rPr>
          <w:color w:val="0F1115"/>
        </w:rPr>
        <w:t>5</w:t>
      </w:r>
      <w:r w:rsidRPr="002D66C9">
        <w:rPr>
          <w:color w:val="0F1115"/>
        </w:rPr>
        <w:t xml:space="preserve">]. Однако цифровизация </w:t>
      </w:r>
      <w:proofErr w:type="spellStart"/>
      <w:r w:rsidRPr="002D66C9">
        <w:rPr>
          <w:color w:val="0F1115"/>
        </w:rPr>
        <w:t>ТОиР</w:t>
      </w:r>
      <w:proofErr w:type="spellEnd"/>
      <w:r w:rsidRPr="002D66C9">
        <w:rPr>
          <w:color w:val="0F1115"/>
        </w:rPr>
        <w:t xml:space="preserve"> </w:t>
      </w:r>
      <w:r>
        <w:rPr>
          <w:color w:val="0F1115"/>
        </w:rPr>
        <w:t>-</w:t>
      </w:r>
      <w:r w:rsidRPr="002D66C9">
        <w:rPr>
          <w:color w:val="0F1115"/>
        </w:rPr>
        <w:t xml:space="preserve"> лишь один из аспектов более масштабной трансформации, затрагивающей управленческие практики в целом.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 xml:space="preserve">Социологический анализ управленческих практик в условиях цифровизации позволяет выделить несколько ключевых противоречий. Первое связано с рассогласованием между скоростью внедрения технологических инноваций и инерционностью организационных структур. Второе противоречие касается трансформации функций управления: цифровые системы, с одной стороны, централизуют информацию, с другой </w:t>
      </w:r>
      <w:r w:rsidR="009377ED">
        <w:rPr>
          <w:color w:val="0F1115"/>
        </w:rPr>
        <w:t>-</w:t>
      </w:r>
      <w:r w:rsidRPr="002D66C9">
        <w:rPr>
          <w:color w:val="0F1115"/>
        </w:rPr>
        <w:t xml:space="preserve"> требуют делегирования полномочий на нижние уровни для оперативного принятия решений. Третье противоречие обусловлено изменением требований к компетенциям руководителей: наряду с традиционными управленческими навыками возрастает потребность в понимании технологических процессов и способности работать с большими данными.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В исследовании немецких ученых, посвященном социотехническим аспектам цифровизации производственных систем, отмечается, что внедрение цифровых технологий оказывает значительное влияние на такие социальные феномены, как осведомленность, мотивация и лидерское поведение</w:t>
      </w:r>
      <w:bookmarkStart w:id="0" w:name="_GoBack"/>
      <w:bookmarkEnd w:id="0"/>
      <w:r w:rsidRPr="002D66C9">
        <w:rPr>
          <w:color w:val="0F1115"/>
        </w:rPr>
        <w:t>. Авторы подчеркивают, что «сотрудники адаптируют свое поведение и лидерские активности исходя из (ожидаемого) поведения других членов и руководителей», что может оказывать как позитивное, так и негативное воздействие на эффективность цифровой трансформации [2].</w:t>
      </w:r>
    </w:p>
    <w:p w:rsidR="0013238B" w:rsidRPr="002D66C9" w:rsidRDefault="0013238B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2D66C9">
        <w:rPr>
          <w:color w:val="0F1115"/>
        </w:rPr>
        <w:t>Формирование устойчивых управленческих практик цифровой трансформации требует пересмотра подходов к кадровой политике. Как показывают исследования, успешные компании делают акцент на развитии внутренних компетенций, создании системы непрерывного обучения и формировании культуры экспериментирования [</w:t>
      </w:r>
      <w:r w:rsidR="005103B2">
        <w:rPr>
          <w:color w:val="0F1115"/>
        </w:rPr>
        <w:t>7</w:t>
      </w:r>
      <w:r w:rsidRPr="002D66C9">
        <w:rPr>
          <w:color w:val="0F1115"/>
        </w:rPr>
        <w:t xml:space="preserve">]. При этом особое значение приобретает роль «цифровых чемпионов» </w:t>
      </w:r>
      <w:r>
        <w:rPr>
          <w:color w:val="0F1115"/>
        </w:rPr>
        <w:t>-</w:t>
      </w:r>
      <w:r w:rsidRPr="002D66C9">
        <w:rPr>
          <w:color w:val="0F1115"/>
        </w:rPr>
        <w:t xml:space="preserve"> сотрудников, выступающих проводниками изменений и способных преодолевать организационное сопротивление.</w:t>
      </w:r>
    </w:p>
    <w:p w:rsidR="005E6975" w:rsidRDefault="005460BD" w:rsidP="00D55E3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Обобщение результатов теоретического анализа и эмпирических исследований позволяет выделить ключевые социальные факторы, определяющие успешность цифровой трансформации машиностроительных предприятий </w:t>
      </w:r>
      <w:r w:rsidR="0013238B"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(табл. 1).</w:t>
      </w:r>
      <w:r w:rsidR="005E6975"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</w:t>
      </w:r>
    </w:p>
    <w:p w:rsidR="00C93CA9" w:rsidRPr="00C93CA9" w:rsidRDefault="00C93CA9" w:rsidP="00D55E3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:rsidR="0013238B" w:rsidRDefault="0013238B" w:rsidP="00D55E3A">
      <w:pPr>
        <w:pStyle w:val="a6"/>
        <w:widowControl w:val="0"/>
        <w:spacing w:before="0" w:beforeAutospacing="0" w:after="0" w:afterAutospacing="0"/>
        <w:ind w:firstLine="709"/>
        <w:jc w:val="right"/>
        <w:textAlignment w:val="baseline"/>
        <w:rPr>
          <w:color w:val="0F1115"/>
        </w:rPr>
      </w:pPr>
      <w:r>
        <w:rPr>
          <w:color w:val="0F1115"/>
        </w:rPr>
        <w:t>Таблица 1</w:t>
      </w:r>
    </w:p>
    <w:p w:rsidR="0013238B" w:rsidRPr="0013238B" w:rsidRDefault="0013238B" w:rsidP="00D55E3A">
      <w:pPr>
        <w:pStyle w:val="a6"/>
        <w:widowControl w:val="0"/>
        <w:spacing w:before="0" w:beforeAutospacing="0" w:after="0" w:afterAutospacing="0"/>
        <w:ind w:firstLine="709"/>
        <w:jc w:val="center"/>
        <w:textAlignment w:val="baseline"/>
        <w:rPr>
          <w:color w:val="0F1115"/>
        </w:rPr>
      </w:pPr>
      <w:r w:rsidRPr="0013238B">
        <w:rPr>
          <w:bCs/>
        </w:rPr>
        <w:t>Социальные факторы успешной цифровой трансформации машиностроительных предприятий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3985"/>
        <w:gridCol w:w="5869"/>
      </w:tblGrid>
      <w:tr w:rsidR="0013238B" w:rsidRPr="0013238B" w:rsidTr="005460BD">
        <w:tc>
          <w:tcPr>
            <w:tcW w:w="2022" w:type="pct"/>
            <w:vAlign w:val="center"/>
          </w:tcPr>
          <w:p w:rsidR="0013238B" w:rsidRPr="0013238B" w:rsidRDefault="0013238B" w:rsidP="00D55E3A">
            <w:pPr>
              <w:widowControl w:val="0"/>
              <w:jc w:val="center"/>
              <w:rPr>
                <w:rFonts w:ascii="Times New Roman" w:hAnsi="Times New Roman" w:cs="Times New Roman"/>
                <w:bCs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Фактор</w:t>
            </w:r>
          </w:p>
        </w:tc>
        <w:tc>
          <w:tcPr>
            <w:tcW w:w="2978" w:type="pct"/>
            <w:vAlign w:val="center"/>
          </w:tcPr>
          <w:p w:rsidR="0013238B" w:rsidRPr="0013238B" w:rsidRDefault="0013238B" w:rsidP="00D55E3A">
            <w:pPr>
              <w:widowControl w:val="0"/>
              <w:jc w:val="center"/>
              <w:rPr>
                <w:rFonts w:ascii="Times New Roman" w:hAnsi="Times New Roman" w:cs="Times New Roman"/>
                <w:bCs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Составляющие</w:t>
            </w:r>
          </w:p>
        </w:tc>
      </w:tr>
      <w:tr w:rsidR="0013238B" w:rsidRPr="0013238B" w:rsidTr="005460BD">
        <w:tc>
          <w:tcPr>
            <w:tcW w:w="2022" w:type="pct"/>
            <w:vAlign w:val="center"/>
          </w:tcPr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Цифровое лидерство</w:t>
            </w:r>
          </w:p>
        </w:tc>
        <w:tc>
          <w:tcPr>
            <w:tcW w:w="2978" w:type="pct"/>
            <w:vAlign w:val="center"/>
          </w:tcPr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Стратегическое видение руководства; </w:t>
            </w:r>
          </w:p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личная вовлеченность </w:t>
            </w:r>
            <w:proofErr w:type="gramStart"/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>топ-менеджмента</w:t>
            </w:r>
            <w:proofErr w:type="gramEnd"/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; </w:t>
            </w:r>
          </w:p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>формирование культуры инноваций</w:t>
            </w:r>
          </w:p>
        </w:tc>
      </w:tr>
      <w:tr w:rsidR="0013238B" w:rsidRPr="0013238B" w:rsidTr="005460BD">
        <w:tc>
          <w:tcPr>
            <w:tcW w:w="2022" w:type="pct"/>
            <w:vAlign w:val="center"/>
          </w:tcPr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Вовлеченность персонала</w:t>
            </w:r>
          </w:p>
        </w:tc>
        <w:tc>
          <w:tcPr>
            <w:tcW w:w="2978" w:type="pct"/>
            <w:vAlign w:val="center"/>
          </w:tcPr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Участие в принятии решений; </w:t>
            </w:r>
          </w:p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открытые коммуникации; </w:t>
            </w:r>
          </w:p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>преодоление сопротивления изменениям</w:t>
            </w:r>
          </w:p>
        </w:tc>
      </w:tr>
      <w:tr w:rsidR="0013238B" w:rsidRPr="0013238B" w:rsidTr="005460BD">
        <w:tc>
          <w:tcPr>
            <w:tcW w:w="2022" w:type="pct"/>
            <w:vAlign w:val="center"/>
          </w:tcPr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Развитие компетенций</w:t>
            </w:r>
          </w:p>
        </w:tc>
        <w:tc>
          <w:tcPr>
            <w:tcW w:w="2978" w:type="pct"/>
            <w:vAlign w:val="center"/>
          </w:tcPr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Система непрерывного обучения; </w:t>
            </w:r>
          </w:p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повышение цифровой грамотности; </w:t>
            </w:r>
          </w:p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>наставничество и «цифровые чемпионы»</w:t>
            </w:r>
          </w:p>
        </w:tc>
      </w:tr>
      <w:tr w:rsidR="0013238B" w:rsidRPr="0013238B" w:rsidTr="005460BD">
        <w:tc>
          <w:tcPr>
            <w:tcW w:w="2022" w:type="pct"/>
            <w:vAlign w:val="center"/>
          </w:tcPr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Style w:val="a8"/>
                <w:rFonts w:ascii="Times New Roman" w:hAnsi="Times New Roman" w:cs="Times New Roman"/>
                <w:b w:val="0"/>
                <w:color w:val="0F1115"/>
                <w:sz w:val="20"/>
              </w:rPr>
              <w:t>Организационная культура</w:t>
            </w:r>
          </w:p>
        </w:tc>
        <w:tc>
          <w:tcPr>
            <w:tcW w:w="2978" w:type="pct"/>
            <w:vAlign w:val="center"/>
          </w:tcPr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Культура экспериментирования; </w:t>
            </w:r>
          </w:p>
          <w:p w:rsidR="005460BD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 xml:space="preserve">гибкость и адаптивность; </w:t>
            </w:r>
          </w:p>
          <w:p w:rsidR="0013238B" w:rsidRPr="0013238B" w:rsidRDefault="0013238B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  <w:szCs w:val="24"/>
              </w:rPr>
            </w:pPr>
            <w:r w:rsidRPr="0013238B">
              <w:rPr>
                <w:rFonts w:ascii="Times New Roman" w:hAnsi="Times New Roman" w:cs="Times New Roman"/>
                <w:color w:val="0F1115"/>
                <w:sz w:val="20"/>
              </w:rPr>
              <w:t>ориентация на непрерывные улучшения</w:t>
            </w:r>
          </w:p>
        </w:tc>
      </w:tr>
      <w:tr w:rsidR="005460BD" w:rsidRPr="0013238B" w:rsidTr="005460BD">
        <w:tc>
          <w:tcPr>
            <w:tcW w:w="5000" w:type="pct"/>
            <w:gridSpan w:val="2"/>
            <w:vAlign w:val="center"/>
          </w:tcPr>
          <w:p w:rsidR="005460BD" w:rsidRPr="00584656" w:rsidRDefault="005460BD" w:rsidP="00D55E3A">
            <w:pPr>
              <w:widowControl w:val="0"/>
              <w:jc w:val="both"/>
              <w:rPr>
                <w:rFonts w:ascii="Times New Roman" w:hAnsi="Times New Roman" w:cs="Times New Roman"/>
                <w:color w:val="0F1115"/>
                <w:sz w:val="20"/>
              </w:rPr>
            </w:pPr>
            <w:r>
              <w:rPr>
                <w:rFonts w:ascii="Times New Roman" w:hAnsi="Times New Roman" w:cs="Times New Roman"/>
                <w:color w:val="0F1115"/>
                <w:sz w:val="20"/>
              </w:rPr>
              <w:t xml:space="preserve">Источник: </w:t>
            </w:r>
            <w:r w:rsidR="00584656">
              <w:rPr>
                <w:rFonts w:ascii="Times New Roman" w:hAnsi="Times New Roman" w:cs="Times New Roman"/>
                <w:color w:val="0F1115"/>
                <w:sz w:val="20"/>
              </w:rPr>
              <w:t xml:space="preserve">составлено автором на основе </w:t>
            </w:r>
            <w:r w:rsidR="00584656" w:rsidRPr="00584656">
              <w:rPr>
                <w:rFonts w:ascii="Times New Roman" w:hAnsi="Times New Roman" w:cs="Times New Roman"/>
                <w:color w:val="0F1115"/>
                <w:sz w:val="20"/>
              </w:rPr>
              <w:t>[</w:t>
            </w:r>
            <w:r w:rsidR="00584656">
              <w:rPr>
                <w:rFonts w:ascii="Times New Roman" w:hAnsi="Times New Roman" w:cs="Times New Roman"/>
                <w:color w:val="0F1115"/>
                <w:sz w:val="20"/>
              </w:rPr>
              <w:t>2, 4, 6, 7</w:t>
            </w:r>
            <w:r w:rsidR="00584656" w:rsidRPr="00584656">
              <w:rPr>
                <w:rFonts w:ascii="Times New Roman" w:hAnsi="Times New Roman" w:cs="Times New Roman"/>
                <w:color w:val="0F1115"/>
                <w:sz w:val="20"/>
              </w:rPr>
              <w:t>]</w:t>
            </w:r>
          </w:p>
        </w:tc>
      </w:tr>
    </w:tbl>
    <w:p w:rsidR="0013238B" w:rsidRDefault="0013238B" w:rsidP="00D55E3A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color w:val="0F1115"/>
        </w:rPr>
      </w:pPr>
    </w:p>
    <w:p w:rsidR="00C93CA9" w:rsidRPr="005460BD" w:rsidRDefault="00C93CA9" w:rsidP="00D55E3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5460BD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lastRenderedPageBreak/>
        <w:t>Представленные факторы находятся в тесной взаимосвязи: цифровое лидерство создает условия для вовлечения персонала, развитие компетенций усиливает организационную культуру, а вовлеченность работников выступает необходимым условием реализации стратегических инициатив руководства.</w:t>
      </w:r>
    </w:p>
    <w:p w:rsidR="005460BD" w:rsidRPr="00C93CA9" w:rsidRDefault="00C93CA9" w:rsidP="00D55E3A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iCs/>
          <w:color w:val="0F1115"/>
        </w:rPr>
      </w:pPr>
      <w:r w:rsidRPr="005460BD">
        <w:rPr>
          <w:iCs/>
          <w:color w:val="0F1115"/>
        </w:rPr>
        <w:t>Таким образом, цифровая трансформация машиностроения выступает не столько технологическим, сколько социотехническим и управленческим вызовом. Устойчивость цифровых преобразований обеспечивается не только и не столько техническими параметрами внедряемых систем, сколько готовностью управленческих команд к перестройке практик управления, развитием кадрового потенциала и формированием организационной культуры, поддерживающей инновации.</w:t>
      </w:r>
      <w:r>
        <w:rPr>
          <w:iCs/>
          <w:color w:val="0F1115"/>
        </w:rPr>
        <w:t xml:space="preserve"> </w:t>
      </w:r>
      <w:r w:rsidR="005460BD" w:rsidRPr="005460BD">
        <w:rPr>
          <w:iCs/>
          <w:color w:val="0F1115"/>
        </w:rPr>
        <w:t>В этой связи дальнейшие исследования должны быть направлены на разработку инструментов диагностики социальной готовности предприятий к цифровой трансформации и формирование моделей адаптивного управления в условиях цифровой экономики.</w:t>
      </w:r>
    </w:p>
    <w:p w:rsidR="0013238B" w:rsidRPr="005460BD" w:rsidRDefault="0013238B" w:rsidP="00D55E3A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</w:p>
    <w:p w:rsidR="00C46C8D" w:rsidRPr="00C46C8D" w:rsidRDefault="00C46C8D" w:rsidP="00D55E3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8"/>
        </w:rPr>
      </w:pPr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Статья подготовлена в соответствии с государственным заданием </w:t>
      </w:r>
      <w:proofErr w:type="spellStart"/>
      <w:r w:rsidRPr="00C46C8D">
        <w:rPr>
          <w:rFonts w:ascii="Times New Roman" w:eastAsia="TimesNewRomanPSMT" w:hAnsi="Times New Roman" w:cs="Times New Roman"/>
          <w:sz w:val="24"/>
          <w:szCs w:val="28"/>
        </w:rPr>
        <w:t>Минобрнауки</w:t>
      </w:r>
      <w:proofErr w:type="spellEnd"/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 России для Оренбургского филиала Федерального государственного бюджетного </w:t>
      </w:r>
      <w:proofErr w:type="gramStart"/>
      <w:r w:rsidRPr="00C46C8D">
        <w:rPr>
          <w:rFonts w:ascii="Times New Roman" w:eastAsia="TimesNewRomanPSMT" w:hAnsi="Times New Roman" w:cs="Times New Roman"/>
          <w:sz w:val="24"/>
          <w:szCs w:val="28"/>
        </w:rPr>
        <w:t>учреждения науки Института экономики Уральского отделения Российской академии наук</w:t>
      </w:r>
      <w:proofErr w:type="gramEnd"/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 на 2024-2026 гг. по теме: «Методология функционирования и взаимодействия отраслевых и региональных экономических и логистических систем в условиях цифровой трансформации бизнеса» (№ FUWS-2024-0021).</w:t>
      </w:r>
    </w:p>
    <w:p w:rsidR="00C46C8D" w:rsidRPr="008E2138" w:rsidRDefault="00C46C8D" w:rsidP="00D55E3A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</w:p>
    <w:p w:rsidR="005F4054" w:rsidRPr="002E1784" w:rsidRDefault="005F4054" w:rsidP="00D55E3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:rsidR="00475BAA" w:rsidRPr="002D66C9" w:rsidRDefault="00475BAA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>
        <w:rPr>
          <w:color w:val="0F1115"/>
        </w:rPr>
        <w:t xml:space="preserve">1 </w:t>
      </w:r>
      <w:r w:rsidRPr="002D66C9">
        <w:rPr>
          <w:color w:val="0F1115"/>
        </w:rPr>
        <w:t xml:space="preserve">Приказ Росстата от 28.07.2025 № 364 «Об утверждении форм федерального статистического наблюдения </w:t>
      </w:r>
      <w:r w:rsidR="00282335">
        <w:rPr>
          <w:color w:val="0F1115"/>
        </w:rPr>
        <w:t xml:space="preserve">и указаний по их заполнению </w:t>
      </w:r>
      <w:r w:rsidRPr="002D66C9">
        <w:rPr>
          <w:color w:val="0F1115"/>
        </w:rPr>
        <w:t xml:space="preserve">для организации федерального статистического наблюдения за </w:t>
      </w:r>
      <w:r w:rsidR="00282335">
        <w:rPr>
          <w:color w:val="0F1115"/>
        </w:rPr>
        <w:t xml:space="preserve">деятельностью в сфере образования, науки и </w:t>
      </w:r>
      <w:r w:rsidRPr="002D66C9">
        <w:rPr>
          <w:color w:val="0F1115"/>
        </w:rPr>
        <w:t>инноваци</w:t>
      </w:r>
      <w:r w:rsidR="00282335">
        <w:rPr>
          <w:color w:val="0F1115"/>
        </w:rPr>
        <w:t xml:space="preserve">й» [Электронный ресурс]. URL: </w:t>
      </w:r>
      <w:r w:rsidR="00282335" w:rsidRPr="00282335">
        <w:rPr>
          <w:color w:val="0F1115"/>
        </w:rPr>
        <w:t>https://www.consultant.ru/document/cons_doc_LAW_512677/</w:t>
      </w:r>
      <w:r w:rsidR="00282335" w:rsidRPr="002D66C9">
        <w:rPr>
          <w:color w:val="0F1115"/>
        </w:rPr>
        <w:t xml:space="preserve"> </w:t>
      </w:r>
      <w:r w:rsidRPr="002D66C9">
        <w:rPr>
          <w:color w:val="0F1115"/>
        </w:rPr>
        <w:t>(дата обращения: 23.03.2026).</w:t>
      </w:r>
    </w:p>
    <w:p w:rsidR="00475BAA" w:rsidRPr="005103B2" w:rsidRDefault="00475BAA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2 </w:t>
      </w:r>
      <w:hyperlink r:id="rId6" w:anchor="auth-Marcel_Manuel-Sanchez_Martin-Aff1" w:history="1"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Martin</w:t>
        </w:r>
      </w:hyperlink>
      <w:r w:rsidR="005103B2"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M. M. S.,</w:t>
      </w:r>
      <w:hyperlink r:id="rId7" w:anchor="auth-Sarah-Reichel-Aff1" w:history="1"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 xml:space="preserve"> </w:t>
        </w:r>
        <w:proofErr w:type="spellStart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Reichel</w:t>
        </w:r>
        <w:proofErr w:type="spellEnd"/>
      </w:hyperlink>
      <w:r w:rsidR="005103B2"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S., </w:t>
      </w:r>
      <w:hyperlink r:id="rId8" w:anchor="auth-Sabrina-Brodesser-Aff1" w:history="1">
        <w:proofErr w:type="spellStart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Brodesser</w:t>
        </w:r>
        <w:proofErr w:type="spellEnd"/>
      </w:hyperlink>
      <w:r w:rsidR="005103B2"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S., </w:t>
      </w:r>
      <w:hyperlink r:id="rId9" w:anchor="auth-Marcus-Schweitzer-Aff1" w:history="1"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Schweitzer</w:t>
        </w:r>
      </w:hyperlink>
      <w:r w:rsidR="005103B2"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M. </w:t>
      </w:r>
      <w:hyperlink r:id="rId10" w:anchor="auth-Aparecido_Fabiano_Pinatti-Carvalho-Aff2" w:history="1">
        <w:proofErr w:type="spellStart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Aparecido</w:t>
        </w:r>
        <w:proofErr w:type="spellEnd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 xml:space="preserve"> Fabiano </w:t>
        </w:r>
        <w:proofErr w:type="spellStart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Pinatti</w:t>
        </w:r>
        <w:proofErr w:type="spellEnd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 xml:space="preserve"> de </w:t>
        </w:r>
        <w:proofErr w:type="spellStart"/>
        <w:r w:rsidR="005103B2" w:rsidRPr="00C93CA9">
          <w:rPr>
            <w:rFonts w:ascii="Times New Roman" w:eastAsia="Times New Roman" w:hAnsi="Times New Roman" w:cs="Times New Roman"/>
            <w:color w:val="0F1115"/>
            <w:sz w:val="24"/>
            <w:szCs w:val="24"/>
            <w:lang w:val="en-US" w:eastAsia="ru-RU"/>
          </w:rPr>
          <w:t>Carvalho</w:t>
        </w:r>
        <w:proofErr w:type="spellEnd"/>
      </w:hyperlink>
      <w:r w:rsidRPr="00C93CA9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. Awareness, Motivation and Leadership in Production Systems: A Socio-Technical Perspective // Computer Supported Cooperative Work (CSCW). </w:t>
      </w:r>
      <w:r w:rsidRPr="005103B2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2025. </w:t>
      </w:r>
      <w:proofErr w:type="spellStart"/>
      <w:r w:rsidRPr="005103B2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Vol</w:t>
      </w:r>
      <w:proofErr w:type="spellEnd"/>
      <w:r w:rsidRPr="005103B2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 34. P. 687</w:t>
      </w:r>
      <w:r w:rsidR="00282335" w:rsidRPr="005103B2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-</w:t>
      </w:r>
      <w:r w:rsidRPr="005103B2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740.</w:t>
      </w:r>
    </w:p>
    <w:p w:rsidR="00475BAA" w:rsidRPr="005103B2" w:rsidRDefault="00475BAA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</w:pPr>
      <w:r w:rsidRPr="005103B2">
        <w:t>3 Исследование РФРИТ и НАФИ «</w:t>
      </w:r>
      <w:r w:rsidR="005103B2" w:rsidRPr="005103B2">
        <w:t>О ц</w:t>
      </w:r>
      <w:r w:rsidRPr="005103B2">
        <w:t>ифров</w:t>
      </w:r>
      <w:r w:rsidR="005103B2" w:rsidRPr="005103B2">
        <w:t>ой</w:t>
      </w:r>
      <w:r w:rsidRPr="005103B2">
        <w:t xml:space="preserve"> зрелост</w:t>
      </w:r>
      <w:r w:rsidR="005103B2" w:rsidRPr="005103B2">
        <w:t>и</w:t>
      </w:r>
      <w:r w:rsidRPr="005103B2">
        <w:t xml:space="preserve"> российских </w:t>
      </w:r>
      <w:r w:rsidR="005103B2" w:rsidRPr="005103B2">
        <w:t xml:space="preserve">промышленных предприятий» [Электронный ресурс]. URL: </w:t>
      </w:r>
      <w:hyperlink r:id="rId11" w:tgtFrame="_blank" w:history="1">
        <w:r w:rsidRPr="005103B2">
          <w:rPr>
            <w:rStyle w:val="a3"/>
            <w:color w:val="auto"/>
            <w:u w:val="none"/>
          </w:rPr>
          <w:t>https://www.novostiitkanala.ru/news/detail.php?ID=183407</w:t>
        </w:r>
      </w:hyperlink>
      <w:r w:rsidR="005103B2" w:rsidRPr="005103B2">
        <w:t xml:space="preserve"> </w:t>
      </w:r>
      <w:r w:rsidRPr="005103B2">
        <w:t>(дата обращения: 23.03.2026).</w:t>
      </w:r>
    </w:p>
    <w:p w:rsidR="00475BAA" w:rsidRPr="002D66C9" w:rsidRDefault="00475BAA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>
        <w:rPr>
          <w:color w:val="0F1115"/>
        </w:rPr>
        <w:t xml:space="preserve">4 </w:t>
      </w:r>
      <w:r w:rsidRPr="002D66C9">
        <w:rPr>
          <w:color w:val="0F1115"/>
        </w:rPr>
        <w:t>Приказ Рос</w:t>
      </w:r>
      <w:r w:rsidR="005103B2">
        <w:rPr>
          <w:color w:val="0F1115"/>
        </w:rPr>
        <w:t>стата от 21.08.2025 №</w:t>
      </w:r>
      <w:r w:rsidRPr="002D66C9">
        <w:rPr>
          <w:color w:val="0F1115"/>
        </w:rPr>
        <w:t>415 «Об утверждении Официальной статистической методологии формирования официальной статистической информации по статистике техноло</w:t>
      </w:r>
      <w:r w:rsidR="005103B2">
        <w:rPr>
          <w:color w:val="0F1115"/>
        </w:rPr>
        <w:t xml:space="preserve">гий» [Электронный ресурс]. URL: </w:t>
      </w:r>
      <w:hyperlink r:id="rId12" w:tgtFrame="_blank" w:history="1">
        <w:r w:rsidRPr="005103B2">
          <w:rPr>
            <w:color w:val="0F1115"/>
          </w:rPr>
          <w:t>https://legalacts.ru/doc/prikaz-rosstata-ot-21082025-n-415-ob-utverzhdenii-ofitsialnoi/</w:t>
        </w:r>
      </w:hyperlink>
      <w:r w:rsidR="005103B2">
        <w:rPr>
          <w:color w:val="0F1115"/>
        </w:rPr>
        <w:t xml:space="preserve"> </w:t>
      </w:r>
      <w:r w:rsidRPr="002D66C9">
        <w:rPr>
          <w:color w:val="0F1115"/>
        </w:rPr>
        <w:t>(дата обращения: 23.03.2026).</w:t>
      </w:r>
    </w:p>
    <w:p w:rsidR="00475BAA" w:rsidRPr="002D66C9" w:rsidRDefault="005103B2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5103B2">
        <w:rPr>
          <w:color w:val="0F1115"/>
        </w:rPr>
        <w:t>5</w:t>
      </w:r>
      <w:r w:rsidR="00475BAA">
        <w:rPr>
          <w:color w:val="0F1115"/>
        </w:rPr>
        <w:t xml:space="preserve"> </w:t>
      </w:r>
      <w:r w:rsidR="00475BAA" w:rsidRPr="002D66C9">
        <w:rPr>
          <w:color w:val="0F1115"/>
        </w:rPr>
        <w:t xml:space="preserve">Доля машиностроительных предприятий с цифровыми решениями </w:t>
      </w:r>
      <w:proofErr w:type="spellStart"/>
      <w:r w:rsidR="00475BAA" w:rsidRPr="002D66C9">
        <w:rPr>
          <w:color w:val="0F1115"/>
        </w:rPr>
        <w:t>ТОиР</w:t>
      </w:r>
      <w:proofErr w:type="spellEnd"/>
      <w:r w:rsidR="00475BAA" w:rsidRPr="002D66C9">
        <w:rPr>
          <w:color w:val="0F1115"/>
        </w:rPr>
        <w:t xml:space="preserve"> растет // РБК Компании, 25.03.</w:t>
      </w:r>
      <w:r>
        <w:rPr>
          <w:color w:val="0F1115"/>
        </w:rPr>
        <w:t xml:space="preserve">2025 [Электронный ресурс]. URL: </w:t>
      </w:r>
      <w:hyperlink r:id="rId13" w:tgtFrame="_blank" w:history="1">
        <w:r w:rsidR="00475BAA" w:rsidRPr="005103B2">
          <w:rPr>
            <w:color w:val="0F1115"/>
          </w:rPr>
          <w:t>https://companies.rbc.ru/news/h76xYQTDoL/dolya-mashinostroitelnyih-predpriyatij-s-tsifrovyimi-resheniyami-toir-rastet/</w:t>
        </w:r>
      </w:hyperlink>
      <w:r>
        <w:rPr>
          <w:color w:val="0F1115"/>
        </w:rPr>
        <w:t xml:space="preserve"> </w:t>
      </w:r>
      <w:r w:rsidR="00475BAA" w:rsidRPr="002D66C9">
        <w:rPr>
          <w:color w:val="0F1115"/>
        </w:rPr>
        <w:t>(дата обращения: 23.03.2026).</w:t>
      </w:r>
    </w:p>
    <w:p w:rsidR="00475BAA" w:rsidRPr="002D66C9" w:rsidRDefault="005103B2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>
        <w:rPr>
          <w:color w:val="0F1115"/>
        </w:rPr>
        <w:t>6</w:t>
      </w:r>
      <w:r w:rsidR="00475BAA">
        <w:rPr>
          <w:color w:val="0F1115"/>
        </w:rPr>
        <w:t xml:space="preserve"> </w:t>
      </w:r>
      <w:r w:rsidR="00475BAA" w:rsidRPr="002D66C9">
        <w:rPr>
          <w:color w:val="0F1115"/>
        </w:rPr>
        <w:t xml:space="preserve">Росстат ввел новые формы отчетности о научных исследованиях </w:t>
      </w:r>
      <w:r>
        <w:rPr>
          <w:color w:val="0F1115"/>
        </w:rPr>
        <w:t xml:space="preserve">и инновационной деятельности // </w:t>
      </w:r>
      <w:hyperlink r:id="rId14" w:tgtFrame="_blank" w:history="1">
        <w:r w:rsidR="00475BAA" w:rsidRPr="005103B2">
          <w:rPr>
            <w:color w:val="0F1115"/>
          </w:rPr>
          <w:t>BUH.RU</w:t>
        </w:r>
      </w:hyperlink>
      <w:r>
        <w:rPr>
          <w:color w:val="0F1115"/>
        </w:rPr>
        <w:t xml:space="preserve">, </w:t>
      </w:r>
      <w:r w:rsidR="00475BAA" w:rsidRPr="002D66C9">
        <w:rPr>
          <w:color w:val="0F1115"/>
        </w:rPr>
        <w:t>25.08.</w:t>
      </w:r>
      <w:r>
        <w:rPr>
          <w:color w:val="0F1115"/>
        </w:rPr>
        <w:t xml:space="preserve">2025 [Электронный ресурс]. URL: </w:t>
      </w:r>
      <w:hyperlink r:id="rId15" w:tgtFrame="_blank" w:history="1">
        <w:r w:rsidR="00475BAA" w:rsidRPr="005103B2">
          <w:rPr>
            <w:color w:val="0F1115"/>
          </w:rPr>
          <w:t>https://buh.ru/news/rosstat-vvel-novye-formy-otchetnosti-o-nauchnykh-issledovaniyakh-i-innovatsionnoy-deyatelnosti.html</w:t>
        </w:r>
      </w:hyperlink>
      <w:r>
        <w:rPr>
          <w:color w:val="0F1115"/>
        </w:rPr>
        <w:t xml:space="preserve"> </w:t>
      </w:r>
      <w:r w:rsidR="00475BAA" w:rsidRPr="002D66C9">
        <w:rPr>
          <w:color w:val="0F1115"/>
        </w:rPr>
        <w:t>(дата обращения: 23.03.2026).</w:t>
      </w:r>
    </w:p>
    <w:p w:rsidR="00475BAA" w:rsidRPr="002D66C9" w:rsidRDefault="005103B2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584656">
        <w:rPr>
          <w:color w:val="0F1115"/>
          <w:lang w:val="en-US"/>
        </w:rPr>
        <w:t>7</w:t>
      </w:r>
      <w:r w:rsidR="00475BAA" w:rsidRPr="00584656">
        <w:rPr>
          <w:color w:val="0F1115"/>
          <w:lang w:val="en-US"/>
        </w:rPr>
        <w:t xml:space="preserve"> </w:t>
      </w:r>
      <w:proofErr w:type="spellStart"/>
      <w:r w:rsidR="00584656" w:rsidRPr="00584656">
        <w:rPr>
          <w:bCs/>
          <w:color w:val="0F1115"/>
          <w:lang w:val="en-US"/>
        </w:rPr>
        <w:t>Marcon</w:t>
      </w:r>
      <w:proofErr w:type="spellEnd"/>
      <w:r w:rsidR="00584656" w:rsidRPr="00584656">
        <w:rPr>
          <w:bCs/>
          <w:color w:val="0F1115"/>
          <w:lang w:val="en-US"/>
        </w:rPr>
        <w:t xml:space="preserve"> </w:t>
      </w:r>
      <w:r w:rsidR="00584656" w:rsidRPr="00C93CA9">
        <w:rPr>
          <w:bCs/>
          <w:color w:val="0F1115"/>
          <w:lang w:val="en-US"/>
        </w:rPr>
        <w:t>E</w:t>
      </w:r>
      <w:r w:rsidR="00584656" w:rsidRPr="00584656">
        <w:rPr>
          <w:bCs/>
          <w:color w:val="0F1115"/>
          <w:lang w:val="en-US"/>
        </w:rPr>
        <w:t xml:space="preserve">., </w:t>
      </w:r>
      <w:proofErr w:type="spellStart"/>
      <w:r w:rsidR="00584656" w:rsidRPr="00584656">
        <w:rPr>
          <w:bCs/>
          <w:color w:val="0F1115"/>
          <w:lang w:val="en-US"/>
        </w:rPr>
        <w:t>Soliman</w:t>
      </w:r>
      <w:proofErr w:type="spellEnd"/>
      <w:r w:rsidR="00584656" w:rsidRPr="00C93CA9">
        <w:rPr>
          <w:bCs/>
          <w:color w:val="0F1115"/>
          <w:lang w:val="en-US"/>
        </w:rPr>
        <w:t xml:space="preserve"> </w:t>
      </w:r>
      <w:r w:rsidR="00584656" w:rsidRPr="00584656">
        <w:rPr>
          <w:bCs/>
          <w:color w:val="0F1115"/>
          <w:lang w:val="en-US"/>
        </w:rPr>
        <w:t xml:space="preserve">M., Ayala N. F., Sturgeon T., Frank A. G. </w:t>
      </w:r>
      <w:r w:rsidR="00475BAA" w:rsidRPr="00584656">
        <w:rPr>
          <w:color w:val="0F1115"/>
          <w:lang w:val="en-US"/>
        </w:rPr>
        <w:t>A system view of</w:t>
      </w:r>
      <w:r w:rsidR="00475BAA" w:rsidRPr="002D66C9">
        <w:rPr>
          <w:color w:val="0F1115"/>
          <w:lang w:val="en-US"/>
        </w:rPr>
        <w:t xml:space="preserve"> how balancing sociotechnical factors in Industry 4.0 implementation: Evidence from interviews and ethnographic research // Computers &amp; Industrial Engineering. </w:t>
      </w:r>
      <w:r w:rsidR="00475BAA" w:rsidRPr="002D66C9">
        <w:rPr>
          <w:color w:val="0F1115"/>
        </w:rPr>
        <w:t xml:space="preserve">2025. </w:t>
      </w:r>
      <w:proofErr w:type="spellStart"/>
      <w:r w:rsidR="00475BAA" w:rsidRPr="002D66C9">
        <w:rPr>
          <w:color w:val="0F1115"/>
        </w:rPr>
        <w:t>Vol</w:t>
      </w:r>
      <w:proofErr w:type="spellEnd"/>
      <w:r w:rsidR="00475BAA" w:rsidRPr="002D66C9">
        <w:rPr>
          <w:color w:val="0F1115"/>
        </w:rPr>
        <w:t>. 203. P. 111047.</w:t>
      </w:r>
    </w:p>
    <w:p w:rsidR="00584656" w:rsidRDefault="005103B2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>
        <w:rPr>
          <w:color w:val="0F1115"/>
        </w:rPr>
        <w:t>8</w:t>
      </w:r>
      <w:r w:rsidR="00475BAA">
        <w:rPr>
          <w:color w:val="0F1115"/>
        </w:rPr>
        <w:t xml:space="preserve"> </w:t>
      </w:r>
      <w:r w:rsidR="00475BAA" w:rsidRPr="002D66C9">
        <w:rPr>
          <w:color w:val="0F1115"/>
        </w:rPr>
        <w:t>Кузнецов В.</w:t>
      </w:r>
      <w:r w:rsidR="00584656">
        <w:rPr>
          <w:color w:val="0F1115"/>
        </w:rPr>
        <w:t xml:space="preserve"> </w:t>
      </w:r>
      <w:r w:rsidR="00475BAA" w:rsidRPr="002D66C9">
        <w:rPr>
          <w:color w:val="0F1115"/>
        </w:rPr>
        <w:t>П., Лаврентьева Е.</w:t>
      </w:r>
      <w:r w:rsidR="00584656">
        <w:rPr>
          <w:color w:val="0F1115"/>
        </w:rPr>
        <w:t xml:space="preserve"> </w:t>
      </w:r>
      <w:r w:rsidR="00475BAA" w:rsidRPr="002D66C9">
        <w:rPr>
          <w:color w:val="0F1115"/>
        </w:rPr>
        <w:t xml:space="preserve">В. Оптимизация бизнес-процессов предприятий машиностроения на базе модернизированной системы управления производством (MES) // Вестник </w:t>
      </w:r>
      <w:proofErr w:type="spellStart"/>
      <w:r w:rsidR="00475BAA" w:rsidRPr="002D66C9">
        <w:rPr>
          <w:color w:val="0F1115"/>
        </w:rPr>
        <w:t>ТвГУ</w:t>
      </w:r>
      <w:proofErr w:type="spellEnd"/>
      <w:r w:rsidR="00475BAA" w:rsidRPr="002D66C9">
        <w:rPr>
          <w:color w:val="0F1115"/>
        </w:rPr>
        <w:t>. Серия</w:t>
      </w:r>
      <w:r w:rsidR="00475BAA" w:rsidRPr="00C93CA9">
        <w:rPr>
          <w:color w:val="0F1115"/>
        </w:rPr>
        <w:t xml:space="preserve">: </w:t>
      </w:r>
      <w:r w:rsidR="00475BAA" w:rsidRPr="002D66C9">
        <w:rPr>
          <w:color w:val="0F1115"/>
        </w:rPr>
        <w:t>Экономика</w:t>
      </w:r>
      <w:r w:rsidR="00475BAA" w:rsidRPr="00C93CA9">
        <w:rPr>
          <w:color w:val="0F1115"/>
        </w:rPr>
        <w:t xml:space="preserve"> </w:t>
      </w:r>
      <w:r w:rsidR="00475BAA" w:rsidRPr="002D66C9">
        <w:rPr>
          <w:color w:val="0F1115"/>
        </w:rPr>
        <w:t>и</w:t>
      </w:r>
      <w:r w:rsidR="00475BAA" w:rsidRPr="00C93CA9">
        <w:rPr>
          <w:color w:val="0F1115"/>
        </w:rPr>
        <w:t xml:space="preserve"> </w:t>
      </w:r>
      <w:r w:rsidR="00475BAA" w:rsidRPr="002D66C9">
        <w:rPr>
          <w:color w:val="0F1115"/>
        </w:rPr>
        <w:t>управление</w:t>
      </w:r>
      <w:r w:rsidR="00475BAA" w:rsidRPr="00C93CA9">
        <w:rPr>
          <w:color w:val="0F1115"/>
        </w:rPr>
        <w:t xml:space="preserve">. 2025. </w:t>
      </w:r>
      <w:r w:rsidR="00475BAA" w:rsidRPr="00584656">
        <w:rPr>
          <w:color w:val="0F1115"/>
        </w:rPr>
        <w:t xml:space="preserve">№ 3. </w:t>
      </w:r>
      <w:r w:rsidR="00475BAA" w:rsidRPr="002D66C9">
        <w:rPr>
          <w:color w:val="0F1115"/>
        </w:rPr>
        <w:t>С</w:t>
      </w:r>
      <w:r w:rsidR="00475BAA" w:rsidRPr="00584656">
        <w:rPr>
          <w:color w:val="0F1115"/>
        </w:rPr>
        <w:t>. 231</w:t>
      </w:r>
      <w:r w:rsidR="00584656" w:rsidRPr="00584656">
        <w:rPr>
          <w:color w:val="0F1115"/>
        </w:rPr>
        <w:t>-</w:t>
      </w:r>
      <w:r w:rsidR="00475BAA" w:rsidRPr="00584656">
        <w:rPr>
          <w:color w:val="0F1115"/>
        </w:rPr>
        <w:t>244.</w:t>
      </w:r>
    </w:p>
    <w:p w:rsidR="00475BAA" w:rsidRPr="00584656" w:rsidRDefault="005103B2" w:rsidP="00D55E3A">
      <w:pPr>
        <w:pStyle w:val="ds-markdown-paragraph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Cs/>
          <w:color w:val="0F1115"/>
        </w:rPr>
      </w:pPr>
      <w:r w:rsidRPr="00584656">
        <w:rPr>
          <w:bCs/>
          <w:color w:val="0F1115"/>
        </w:rPr>
        <w:t>9</w:t>
      </w:r>
      <w:r w:rsidR="00475BAA" w:rsidRPr="00584656">
        <w:rPr>
          <w:bCs/>
          <w:color w:val="0F1115"/>
        </w:rPr>
        <w:t xml:space="preserve"> </w:t>
      </w:r>
      <w:r w:rsidR="00584656" w:rsidRPr="00584656">
        <w:rPr>
          <w:bCs/>
          <w:color w:val="0F1115"/>
        </w:rPr>
        <w:t>Кузнецов Д</w:t>
      </w:r>
      <w:r w:rsidR="00475BAA" w:rsidRPr="00584656">
        <w:rPr>
          <w:bCs/>
          <w:color w:val="0F1115"/>
        </w:rPr>
        <w:t xml:space="preserve">. </w:t>
      </w:r>
      <w:r w:rsidR="00584656" w:rsidRPr="00584656">
        <w:rPr>
          <w:bCs/>
          <w:color w:val="0F1115"/>
        </w:rPr>
        <w:t xml:space="preserve">Цифровизация открывает новые возможности для </w:t>
      </w:r>
      <w:proofErr w:type="spellStart"/>
      <w:r w:rsidR="00584656" w:rsidRPr="00584656">
        <w:rPr>
          <w:bCs/>
          <w:color w:val="0F1115"/>
        </w:rPr>
        <w:t>несырьевого</w:t>
      </w:r>
      <w:proofErr w:type="spellEnd"/>
      <w:r w:rsidR="00584656" w:rsidRPr="00584656">
        <w:rPr>
          <w:bCs/>
          <w:color w:val="0F1115"/>
        </w:rPr>
        <w:t xml:space="preserve"> </w:t>
      </w:r>
      <w:r w:rsidR="00584656" w:rsidRPr="00584656">
        <w:rPr>
          <w:bCs/>
          <w:color w:val="0F1115"/>
        </w:rPr>
        <w:lastRenderedPageBreak/>
        <w:t xml:space="preserve">экспорта России </w:t>
      </w:r>
      <w:r w:rsidR="00475BAA" w:rsidRPr="00584656">
        <w:rPr>
          <w:bCs/>
          <w:color w:val="0F1115"/>
        </w:rPr>
        <w:t xml:space="preserve">[Электронный ресурс]. </w:t>
      </w:r>
      <w:r w:rsidR="00584656" w:rsidRPr="00584656">
        <w:rPr>
          <w:bCs/>
          <w:color w:val="0F1115"/>
        </w:rPr>
        <w:t xml:space="preserve">URL: </w:t>
      </w:r>
      <w:hyperlink r:id="rId16" w:tgtFrame="_blank" w:history="1">
        <w:r w:rsidR="00475BAA" w:rsidRPr="00584656">
          <w:rPr>
            <w:bCs/>
            <w:color w:val="0F1115"/>
          </w:rPr>
          <w:t>https://www.iep.ru/en/dmitry-kuznetsov-digitalization-opens-up-new-opportunities-for-russia-s-non-resource-exports.html</w:t>
        </w:r>
      </w:hyperlink>
      <w:r w:rsidR="00584656" w:rsidRPr="00584656">
        <w:rPr>
          <w:bCs/>
          <w:color w:val="0F1115"/>
        </w:rPr>
        <w:t xml:space="preserve"> </w:t>
      </w:r>
      <w:r w:rsidR="00475BAA" w:rsidRPr="00584656">
        <w:rPr>
          <w:bCs/>
          <w:color w:val="0F1115"/>
        </w:rPr>
        <w:t>(дата обращения: 23.03.2026).</w:t>
      </w:r>
    </w:p>
    <w:p w:rsidR="00382EDB" w:rsidRDefault="00382EDB" w:rsidP="00D55E3A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5F4054" w:rsidRPr="002E1784" w:rsidRDefault="005F4054" w:rsidP="00D55E3A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:rsidR="005F4054" w:rsidRPr="00507A39" w:rsidRDefault="001C4297" w:rsidP="00D55E3A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</w:rPr>
        <w:t>Коровина Анастасия Антоновна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</w:t>
      </w:r>
      <w:r w:rsidR="005F4054" w:rsidRPr="002E1784">
        <w:rPr>
          <w:rFonts w:ascii="Times New Roman" w:eastAsia="Calibri" w:hAnsi="Times New Roman" w:cs="Times New Roman"/>
          <w:sz w:val="24"/>
        </w:rPr>
        <w:t>, г</w:t>
      </w:r>
      <w:r>
        <w:rPr>
          <w:rFonts w:ascii="Times New Roman" w:eastAsia="Calibri" w:hAnsi="Times New Roman" w:cs="Times New Roman"/>
          <w:sz w:val="24"/>
        </w:rPr>
        <w:t>. Оренбург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младший научный сотрудник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1C4297">
        <w:rPr>
          <w:rFonts w:ascii="Times New Roman" w:eastAsia="Calibri" w:hAnsi="Times New Roman" w:cs="Times New Roman"/>
          <w:sz w:val="24"/>
        </w:rPr>
        <w:t xml:space="preserve">Оренбургский филиал Федерального государственного бюджетного </w:t>
      </w:r>
      <w:proofErr w:type="gramStart"/>
      <w:r w:rsidRPr="001C4297">
        <w:rPr>
          <w:rFonts w:ascii="Times New Roman" w:eastAsia="Calibri" w:hAnsi="Times New Roman" w:cs="Times New Roman"/>
          <w:sz w:val="24"/>
        </w:rPr>
        <w:t>учреждения науки Института экономики Уральского отделения Рос</w:t>
      </w:r>
      <w:r>
        <w:rPr>
          <w:rFonts w:ascii="Times New Roman" w:eastAsia="Calibri" w:hAnsi="Times New Roman" w:cs="Times New Roman"/>
          <w:sz w:val="24"/>
        </w:rPr>
        <w:t>сийской академии</w:t>
      </w:r>
      <w:proofErr w:type="gramEnd"/>
      <w:r>
        <w:rPr>
          <w:rFonts w:ascii="Times New Roman" w:eastAsia="Calibri" w:hAnsi="Times New Roman" w:cs="Times New Roman"/>
          <w:sz w:val="24"/>
        </w:rPr>
        <w:t xml:space="preserve"> наук </w:t>
      </w:r>
      <w:r w:rsidR="005F4054" w:rsidRPr="002E1784">
        <w:rPr>
          <w:rFonts w:ascii="Times New Roman" w:eastAsia="Calibri" w:hAnsi="Times New Roman" w:cs="Times New Roman"/>
          <w:sz w:val="24"/>
        </w:rPr>
        <w:t>(</w:t>
      </w:r>
      <w:r>
        <w:rPr>
          <w:rFonts w:ascii="Times New Roman" w:eastAsia="Calibri" w:hAnsi="Times New Roman" w:cs="Times New Roman"/>
          <w:sz w:val="24"/>
        </w:rPr>
        <w:t xml:space="preserve">Россия, </w:t>
      </w:r>
      <w:r w:rsidRPr="001C4297">
        <w:rPr>
          <w:rFonts w:ascii="Times New Roman" w:eastAsia="Calibri" w:hAnsi="Times New Roman" w:cs="Times New Roman"/>
          <w:sz w:val="24"/>
        </w:rPr>
        <w:t xml:space="preserve">г. Оренбург, </w:t>
      </w:r>
      <w:r>
        <w:rPr>
          <w:rFonts w:ascii="Times New Roman" w:eastAsia="Calibri" w:hAnsi="Times New Roman" w:cs="Times New Roman"/>
          <w:sz w:val="24"/>
        </w:rPr>
        <w:t>ул. Пионерская</w:t>
      </w:r>
      <w:r w:rsidRPr="00507A39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д</w:t>
      </w:r>
      <w:r w:rsidRPr="00507A39">
        <w:rPr>
          <w:rFonts w:ascii="Times New Roman" w:eastAsia="Calibri" w:hAnsi="Times New Roman" w:cs="Times New Roman"/>
          <w:sz w:val="24"/>
          <w:lang w:val="en-US"/>
        </w:rPr>
        <w:t>. 11</w:t>
      </w:r>
      <w:r w:rsidR="005F4054" w:rsidRPr="00507A39">
        <w:rPr>
          <w:rFonts w:ascii="Times New Roman" w:eastAsia="Calibri" w:hAnsi="Times New Roman" w:cs="Times New Roman"/>
          <w:sz w:val="24"/>
          <w:lang w:val="en-US"/>
        </w:rPr>
        <w:t xml:space="preserve">, </w:t>
      </w:r>
      <w:r w:rsidR="00526C1C" w:rsidRPr="00507A39">
        <w:rPr>
          <w:rFonts w:ascii="Times New Roman" w:eastAsia="Calibri" w:hAnsi="Times New Roman" w:cs="Times New Roman"/>
          <w:sz w:val="24"/>
          <w:lang w:val="en-US"/>
        </w:rPr>
        <w:t>waldmannasta98@mail.ru</w:t>
      </w:r>
      <w:r w:rsidR="005F4054" w:rsidRPr="00507A39">
        <w:rPr>
          <w:rFonts w:ascii="Times New Roman" w:eastAsia="Calibri" w:hAnsi="Times New Roman" w:cs="Times New Roman"/>
          <w:sz w:val="24"/>
          <w:lang w:val="en-US"/>
        </w:rPr>
        <w:t>).</w:t>
      </w:r>
    </w:p>
    <w:p w:rsidR="005F4054" w:rsidRPr="00507A39" w:rsidRDefault="005F4054" w:rsidP="00D55E3A">
      <w:pPr>
        <w:widowControl w:val="0"/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</w:p>
    <w:p w:rsidR="005F4054" w:rsidRPr="00507A39" w:rsidRDefault="001C4297" w:rsidP="00D55E3A">
      <w:pPr>
        <w:widowControl w:val="0"/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 w:rsidRPr="00507A39">
        <w:rPr>
          <w:rFonts w:ascii="Times New Roman" w:eastAsia="Calibri" w:hAnsi="Times New Roman" w:cs="Times New Roman"/>
          <w:b/>
          <w:sz w:val="24"/>
          <w:lang w:val="en-US"/>
        </w:rPr>
        <w:t>Korovina</w:t>
      </w:r>
      <w:proofErr w:type="spellEnd"/>
      <w:r w:rsidRPr="00507A39">
        <w:rPr>
          <w:rFonts w:ascii="Times New Roman" w:eastAsia="Calibri" w:hAnsi="Times New Roman" w:cs="Times New Roman"/>
          <w:b/>
          <w:sz w:val="24"/>
          <w:lang w:val="en-US"/>
        </w:rPr>
        <w:t xml:space="preserve"> A.A.</w:t>
      </w:r>
      <w:r w:rsidR="005F4054" w:rsidRPr="00507A39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:rsidR="001C4297" w:rsidRPr="005E6975" w:rsidRDefault="005E6975" w:rsidP="00D55E3A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5E6975">
        <w:rPr>
          <w:rFonts w:ascii="Times New Roman" w:eastAsia="Calibri" w:hAnsi="Times New Roman" w:cs="Times New Roman"/>
          <w:b/>
          <w:sz w:val="24"/>
          <w:lang w:val="en-US"/>
        </w:rPr>
        <w:t xml:space="preserve">DIGITAL TRANSFORMATION AS </w:t>
      </w:r>
      <w:proofErr w:type="gramStart"/>
      <w:r w:rsidRPr="005E6975">
        <w:rPr>
          <w:rFonts w:ascii="Times New Roman" w:eastAsia="Calibri" w:hAnsi="Times New Roman" w:cs="Times New Roman"/>
          <w:b/>
          <w:sz w:val="24"/>
          <w:lang w:val="en-US"/>
        </w:rPr>
        <w:t>A</w:t>
      </w:r>
      <w:proofErr w:type="gramEnd"/>
      <w:r w:rsidRPr="005E6975">
        <w:rPr>
          <w:rFonts w:ascii="Times New Roman" w:eastAsia="Calibri" w:hAnsi="Times New Roman" w:cs="Times New Roman"/>
          <w:b/>
          <w:sz w:val="24"/>
          <w:lang w:val="en-US"/>
        </w:rPr>
        <w:t xml:space="preserve"> FACTOR OF SUSTAINABLE DEVELOPMENT OF MECHANICAL ENGINEERING: A SOCIOLOGICAL ANALYSIS OF MANAGEMENT PRACTICES</w:t>
      </w:r>
    </w:p>
    <w:p w:rsidR="00CB6FDC" w:rsidRPr="002D0727" w:rsidRDefault="00CB6FDC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:rsidR="00C93CA9" w:rsidRPr="00DD5355" w:rsidRDefault="001C4297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 w:rsidRPr="00507A3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Abstract. </w:t>
      </w:r>
      <w:r w:rsidR="00C93CA9" w:rsidRPr="00C93CA9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The article considers the digital transformation of machine-building enterprises as a sociotechnical process requiring the restructuring of management practices and organizational culture. Based on the analysis of </w:t>
      </w:r>
      <w:proofErr w:type="spellStart"/>
      <w:r w:rsidR="00C93CA9" w:rsidRPr="00C93CA9">
        <w:rPr>
          <w:rFonts w:ascii="Times New Roman" w:eastAsia="Times New Roman" w:hAnsi="Times New Roman" w:cs="Times New Roman"/>
          <w:iCs/>
          <w:sz w:val="24"/>
          <w:lang w:val="en-US" w:eastAsia="ru-RU"/>
        </w:rPr>
        <w:t>Rosstat</w:t>
      </w:r>
      <w:proofErr w:type="spellEnd"/>
      <w:r w:rsidR="00C93CA9" w:rsidRPr="00C93CA9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 data and empirical research, the social factors of successful digitalization are revealed.</w:t>
      </w:r>
    </w:p>
    <w:p w:rsidR="001C4297" w:rsidRPr="00C93CA9" w:rsidRDefault="001C4297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 w:rsidRPr="001C429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Keywords: </w:t>
      </w:r>
      <w:r w:rsidR="005E6975" w:rsidRPr="005E6975">
        <w:rPr>
          <w:rFonts w:ascii="Times New Roman" w:eastAsia="Times New Roman" w:hAnsi="Times New Roman" w:cs="Times New Roman"/>
          <w:iCs/>
          <w:sz w:val="24"/>
          <w:lang w:val="en-US" w:eastAsia="ru-RU"/>
        </w:rPr>
        <w:t>digital transformation, mechanical engineering, sustainable development, management practices, sociotechnical approach, digital leadership.</w:t>
      </w:r>
    </w:p>
    <w:p w:rsidR="005E6975" w:rsidRPr="00C93CA9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526C1C" w:rsidRPr="00507A39" w:rsidRDefault="00526C1C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Anastasia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Antonovna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Korovina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(Russia, Orenburg) – Junior Researcher, Orenburg Branch of the Federal State Budgetary Institution of Science, Institute of Economics, Ural Branch of the Russian Academy of Sciences (Russia, Orenburg,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Pionerskaya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str., 11, waldmannasta98@mail.ru ).</w:t>
      </w:r>
    </w:p>
    <w:p w:rsidR="00526C1C" w:rsidRPr="00507A39" w:rsidRDefault="00526C1C" w:rsidP="00D55E3A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5F4054" w:rsidRPr="00507A39" w:rsidRDefault="005F4054" w:rsidP="00D55E3A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507A3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507A3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507A3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507A3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1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Rosstat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Order No. 364 dated 07/28/2025 "On Approval of Federal Statistical Observation Forms and Instructions for Completing them for the organization of federal Statistical Monitoring of activities in the field of education, science and innovation" [Electronic resource]. URL: https://www.consultant.ru/document/cons_doc_LAW_512677 / (date of access: 03/23/2026).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proofErr w:type="gram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2 Martin M. M. S.,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Reichel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S.,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Brodesser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S., Schweitzer M.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Aparecido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Fabiano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Pinatti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de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Carvalho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.</w:t>
      </w:r>
      <w:proofErr w:type="gram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Awareness, Motivation and Leadership in Production Systems: A Socio-Technical Perspective // Computer Supported Cooperative Work (CSCW). 2025. Vol. 34. P. 687-740.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3 Research by RFRIT and NAFI «On the digital maturity of Russian industrial enterprises» [Electronic resource]. URL: https://www.novostiitkanala.ru/news/detail.php?ID=183407 (date of request: 03/23/2026).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4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Rosstat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Order No. 415 dated 08/21/2025 «On approval of the Official Statistical Methodology for the Formation of Official statistical information on technology statistics» [Electronic resource]. URL: https://legalacts.ru/doc/prikaz-rosstata-ot-21082025-n-415-ob-utverzhdenii-ofitsialnoi / (date of access: 03/23/2026).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5 The share of machine-building enterprises with digital MRO solutions is growing // RBC Companies, 03/25/2025 [Electronic resource]. URL: https://companies.rbc.ru/news/h76xYQTDoL/dolya-mashinostroitelnyih-predpriyatij-s-tsifrovyimi-resheniyami-toir-rastet / (date of access: 03/23/2026).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6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Rosstat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introduced new forms of reporting on scientific research and innovation activities // BUH.RU, 08/25/2025 [Electronic resource]. URL: https://buh.ru/news/rosstat-vvel-novye-formy-otchetnosti-o-nauchnykh-issledovaniyakh-i-innovatsionnoy-deyatelnosti.html (date of access: 03/23/2026).</w:t>
      </w:r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7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Marcon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E.,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Soliman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M., Ayala N. F., Sturgeon T., Frank A. G. A system view of how balancing socio-technical factors in Industry 4.0 implementation: Evidence from interviews and ethnographic research // Computers &amp; Industrial Engineering. 2025. Vol. 203. </w:t>
      </w:r>
      <w:proofErr w:type="gram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P. 111047.</w:t>
      </w:r>
      <w:proofErr w:type="gramEnd"/>
    </w:p>
    <w:p w:rsidR="005E6975" w:rsidRPr="005E6975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lastRenderedPageBreak/>
        <w:t xml:space="preserve">8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Kuznetsov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V. P.,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Lavrentieva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E. V. Optimization of business processes of machine-building enterprises based on a modernized production management system (MES) // Bulletin of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TvSU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. Series: Economics and Management. </w:t>
      </w:r>
      <w:proofErr w:type="gram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2025. No. 3.</w:t>
      </w:r>
      <w:proofErr w:type="gram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pp. 231-244.</w:t>
      </w:r>
    </w:p>
    <w:p w:rsidR="00514B65" w:rsidRPr="00FB753D" w:rsidRDefault="005E6975" w:rsidP="00D55E3A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gram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9 </w:t>
      </w:r>
      <w:proofErr w:type="spellStart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>Kuznetsov</w:t>
      </w:r>
      <w:proofErr w:type="spell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D. Digitalization opens up new opportunities for non-primary exports of Russia [Electronic resource].</w:t>
      </w:r>
      <w:proofErr w:type="gramEnd"/>
      <w:r w:rsidRPr="005E6975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 URL: https://www.iep.ru/en/dmitry-kuznetsov-digitalization-opens-up-new-opportunities-for-russia-s-non-resource-exports.html (date of access: 03/23/2026).</w:t>
      </w:r>
    </w:p>
    <w:sectPr w:rsidR="00514B65" w:rsidRPr="00FB753D" w:rsidSect="002D66C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201811"/>
    <w:multiLevelType w:val="multilevel"/>
    <w:tmpl w:val="F1444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86"/>
    <w:rsid w:val="00081D74"/>
    <w:rsid w:val="00121E29"/>
    <w:rsid w:val="0013238B"/>
    <w:rsid w:val="001C4297"/>
    <w:rsid w:val="00233D71"/>
    <w:rsid w:val="00282335"/>
    <w:rsid w:val="002D0727"/>
    <w:rsid w:val="002D66C9"/>
    <w:rsid w:val="003428E6"/>
    <w:rsid w:val="00382EDB"/>
    <w:rsid w:val="00475BAA"/>
    <w:rsid w:val="004D33A3"/>
    <w:rsid w:val="00507A39"/>
    <w:rsid w:val="005103B2"/>
    <w:rsid w:val="00514B65"/>
    <w:rsid w:val="00526C1C"/>
    <w:rsid w:val="005460BD"/>
    <w:rsid w:val="005578ED"/>
    <w:rsid w:val="00565C9D"/>
    <w:rsid w:val="00584656"/>
    <w:rsid w:val="005E6975"/>
    <w:rsid w:val="005F4054"/>
    <w:rsid w:val="00675B4D"/>
    <w:rsid w:val="008544B7"/>
    <w:rsid w:val="00884CDA"/>
    <w:rsid w:val="008E2138"/>
    <w:rsid w:val="008F7884"/>
    <w:rsid w:val="009377ED"/>
    <w:rsid w:val="009C4FDE"/>
    <w:rsid w:val="00B63F86"/>
    <w:rsid w:val="00C46C8D"/>
    <w:rsid w:val="00C93CA9"/>
    <w:rsid w:val="00CB2DB9"/>
    <w:rsid w:val="00CB6FDC"/>
    <w:rsid w:val="00D55E3A"/>
    <w:rsid w:val="00DB5F1C"/>
    <w:rsid w:val="00DD5355"/>
    <w:rsid w:val="00DE2D9A"/>
    <w:rsid w:val="00E95270"/>
    <w:rsid w:val="00FB7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D07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D072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4B6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4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4054"/>
    <w:rPr>
      <w:rFonts w:ascii="Tahoma" w:hAnsi="Tahoma" w:cs="Tahoma"/>
      <w:sz w:val="16"/>
      <w:szCs w:val="16"/>
    </w:rPr>
  </w:style>
  <w:style w:type="paragraph" w:styleId="a6">
    <w:name w:val="Normal (Web)"/>
    <w:aliases w:val="Обычный (Web),Обычный (Web)1,Обычный (Web)11,Знак Знак Знак Знак,Знак Знак Знак,Знак Знак,Знак,Обычный (веб) Знак1 Знак,Обычный (веб) Знак Знак Знак,Обычный (Web) Знак Знак Знак Знак,Знак Знак Знак Знак1 Знак Знак Знак,Обычный (веб)1,Знак1"/>
    <w:basedOn w:val="a"/>
    <w:link w:val="a7"/>
    <w:uiPriority w:val="99"/>
    <w:unhideWhenUsed/>
    <w:qFormat/>
    <w:rsid w:val="00382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бычный (веб) Знак"/>
    <w:aliases w:val="Обычный (Web) Знак,Обычный (Web)1 Знак,Обычный (Web)11 Знак,Знак Знак Знак Знак Знак,Знак Знак Знак Знак1,Знак Знак Знак1,Знак Знак1,Обычный (веб) Знак1 Знак Знак,Обычный (веб) Знак Знак Знак Знак,Обычный (веб)1 Знак,Знак1 Знак"/>
    <w:link w:val="a6"/>
    <w:uiPriority w:val="99"/>
    <w:locked/>
    <w:rsid w:val="00382ED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D072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D072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s-markdown-paragraph">
    <w:name w:val="ds-markdown-paragraph"/>
    <w:basedOn w:val="a"/>
    <w:rsid w:val="002D07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2D0727"/>
    <w:rPr>
      <w:b/>
      <w:bCs/>
    </w:rPr>
  </w:style>
  <w:style w:type="character" w:styleId="a9">
    <w:name w:val="Emphasis"/>
    <w:basedOn w:val="a0"/>
    <w:uiPriority w:val="20"/>
    <w:qFormat/>
    <w:rsid w:val="002D0727"/>
    <w:rPr>
      <w:i/>
      <w:iCs/>
    </w:rPr>
  </w:style>
  <w:style w:type="character" w:customStyle="1" w:styleId="669a677">
    <w:name w:val="_669a677"/>
    <w:basedOn w:val="a0"/>
    <w:rsid w:val="002D0727"/>
  </w:style>
  <w:style w:type="table" w:styleId="aa">
    <w:name w:val="Table Grid"/>
    <w:basedOn w:val="a1"/>
    <w:uiPriority w:val="59"/>
    <w:rsid w:val="001323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D07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D072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4B6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4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4054"/>
    <w:rPr>
      <w:rFonts w:ascii="Tahoma" w:hAnsi="Tahoma" w:cs="Tahoma"/>
      <w:sz w:val="16"/>
      <w:szCs w:val="16"/>
    </w:rPr>
  </w:style>
  <w:style w:type="paragraph" w:styleId="a6">
    <w:name w:val="Normal (Web)"/>
    <w:aliases w:val="Обычный (Web),Обычный (Web)1,Обычный (Web)11,Знак Знак Знак Знак,Знак Знак Знак,Знак Знак,Знак,Обычный (веб) Знак1 Знак,Обычный (веб) Знак Знак Знак,Обычный (Web) Знак Знак Знак Знак,Знак Знак Знак Знак1 Знак Знак Знак,Обычный (веб)1,Знак1"/>
    <w:basedOn w:val="a"/>
    <w:link w:val="a7"/>
    <w:uiPriority w:val="99"/>
    <w:unhideWhenUsed/>
    <w:qFormat/>
    <w:rsid w:val="00382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бычный (веб) Знак"/>
    <w:aliases w:val="Обычный (Web) Знак,Обычный (Web)1 Знак,Обычный (Web)11 Знак,Знак Знак Знак Знак Знак,Знак Знак Знак Знак1,Знак Знак Знак1,Знак Знак1,Обычный (веб) Знак1 Знак Знак,Обычный (веб) Знак Знак Знак Знак,Обычный (веб)1 Знак,Знак1 Знак"/>
    <w:link w:val="a6"/>
    <w:uiPriority w:val="99"/>
    <w:locked/>
    <w:rsid w:val="00382ED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D072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D072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s-markdown-paragraph">
    <w:name w:val="ds-markdown-paragraph"/>
    <w:basedOn w:val="a"/>
    <w:rsid w:val="002D07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2D0727"/>
    <w:rPr>
      <w:b/>
      <w:bCs/>
    </w:rPr>
  </w:style>
  <w:style w:type="character" w:styleId="a9">
    <w:name w:val="Emphasis"/>
    <w:basedOn w:val="a0"/>
    <w:uiPriority w:val="20"/>
    <w:qFormat/>
    <w:rsid w:val="002D0727"/>
    <w:rPr>
      <w:i/>
      <w:iCs/>
    </w:rPr>
  </w:style>
  <w:style w:type="character" w:customStyle="1" w:styleId="669a677">
    <w:name w:val="_669a677"/>
    <w:basedOn w:val="a0"/>
    <w:rsid w:val="002D0727"/>
  </w:style>
  <w:style w:type="table" w:styleId="aa">
    <w:name w:val="Table Grid"/>
    <w:basedOn w:val="a1"/>
    <w:uiPriority w:val="59"/>
    <w:rsid w:val="001323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0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8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5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08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10879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355832">
                  <w:marLeft w:val="9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308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7178246">
                      <w:marLeft w:val="-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605700">
                      <w:marLeft w:val="-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107345">
                      <w:marLeft w:val="-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03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.springer.com/article/10.1007/s10606-025-09520-6" TargetMode="External"/><Relationship Id="rId13" Type="http://schemas.openxmlformats.org/officeDocument/2006/relationships/hyperlink" Target="https://companies.rbc.ru/news/h76xYQTDoL/dolya-mashinostroitelnyih-predpriyatij-s-tsifrovyimi-resheniyami-toir-rastet/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link.springer.com/article/10.1007/s10606-025-09520-6" TargetMode="External"/><Relationship Id="rId12" Type="http://schemas.openxmlformats.org/officeDocument/2006/relationships/hyperlink" Target="https://legalacts.ru/doc/prikaz-rosstata-ot-21082025-n-415-ob-utverzhdenii-ofitsialnoi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iep.ru/en/dmitry-kuznetsov-digitalization-opens-up-new-opportunities-for-russia-s-non-resource-exports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link.springer.com/article/10.1007/s10606-025-09520-6" TargetMode="External"/><Relationship Id="rId11" Type="http://schemas.openxmlformats.org/officeDocument/2006/relationships/hyperlink" Target="https://www.novostiitkanala.ru/news/detail.php?ID=18340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uh.ru/news/rosstat-vvel-novye-formy-otchetnosti-o-nauchnykh-issledovaniyakh-i-innovatsionnoy-deyatelnosti.html" TargetMode="External"/><Relationship Id="rId10" Type="http://schemas.openxmlformats.org/officeDocument/2006/relationships/hyperlink" Target="https://link.springer.com/article/10.1007/s10606-025-09520-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ink.springer.com/article/10.1007/s10606-025-09520-6" TargetMode="External"/><Relationship Id="rId14" Type="http://schemas.openxmlformats.org/officeDocument/2006/relationships/hyperlink" Target="https://buh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5</Pages>
  <Words>2358</Words>
  <Characters>13444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</dc:creator>
  <cp:lastModifiedBy>Макс</cp:lastModifiedBy>
  <cp:revision>31</cp:revision>
  <cp:lastPrinted>2025-05-06T06:46:00Z</cp:lastPrinted>
  <dcterms:created xsi:type="dcterms:W3CDTF">2025-05-05T13:40:00Z</dcterms:created>
  <dcterms:modified xsi:type="dcterms:W3CDTF">2026-03-23T07:53:00Z</dcterms:modified>
</cp:coreProperties>
</file>