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1D8980" w14:textId="69A2BA5C" w:rsidR="00F90615" w:rsidRPr="00847AAC" w:rsidRDefault="00E032E8" w:rsidP="00847AAC">
      <w:pPr>
        <w:shd w:val="clear" w:color="auto" w:fill="FFFFFF"/>
        <w:ind w:firstLine="0"/>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УДК 316.334.2</w:t>
      </w:r>
    </w:p>
    <w:p w14:paraId="5CD92E22" w14:textId="1CE072D9" w:rsidR="00160128" w:rsidRPr="00847AAC" w:rsidRDefault="00E032E8" w:rsidP="00847AAC">
      <w:pPr>
        <w:shd w:val="clear" w:color="auto" w:fill="FFFFFF"/>
        <w:ind w:firstLine="0"/>
        <w:jc w:val="right"/>
        <w:rPr>
          <w:rFonts w:ascii="Times New Roman" w:eastAsia="Times New Roman" w:hAnsi="Times New Roman" w:cs="Times New Roman"/>
          <w:bCs/>
          <w:color w:val="0F1115"/>
          <w:sz w:val="24"/>
          <w:szCs w:val="24"/>
          <w:lang w:eastAsia="ru-RU"/>
        </w:rPr>
      </w:pPr>
      <w:r w:rsidRPr="00F90615">
        <w:rPr>
          <w:rFonts w:ascii="Times New Roman" w:eastAsia="Times New Roman" w:hAnsi="Times New Roman" w:cs="Times New Roman"/>
          <w:bCs/>
          <w:color w:val="0F1115"/>
          <w:sz w:val="24"/>
          <w:szCs w:val="24"/>
          <w:lang w:eastAsia="ru-RU"/>
        </w:rPr>
        <w:t>Пожиткова А.С.</w:t>
      </w:r>
    </w:p>
    <w:p w14:paraId="12CBBB4D" w14:textId="77777777" w:rsidR="00160128" w:rsidRPr="00F90615" w:rsidRDefault="00160128" w:rsidP="00F90615">
      <w:pPr>
        <w:shd w:val="clear" w:color="auto" w:fill="FFFFFF"/>
        <w:ind w:firstLine="709"/>
        <w:rPr>
          <w:rFonts w:ascii="Times New Roman" w:eastAsia="Times New Roman" w:hAnsi="Times New Roman" w:cs="Times New Roman"/>
          <w:color w:val="0F1115"/>
          <w:sz w:val="24"/>
          <w:szCs w:val="24"/>
          <w:lang w:eastAsia="ru-RU"/>
        </w:rPr>
      </w:pPr>
    </w:p>
    <w:p w14:paraId="2CDD307F" w14:textId="77777777" w:rsidR="00E032E8" w:rsidRPr="00F90615" w:rsidRDefault="00E032E8" w:rsidP="00F90615">
      <w:pPr>
        <w:shd w:val="clear" w:color="auto" w:fill="FFFFFF"/>
        <w:ind w:firstLine="0"/>
        <w:jc w:val="center"/>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b/>
          <w:bCs/>
          <w:color w:val="0F1115"/>
          <w:sz w:val="24"/>
          <w:szCs w:val="24"/>
          <w:lang w:eastAsia="ru-RU"/>
        </w:rPr>
        <w:t>УПРАВЛЕНИЕ ВЗАИМОДЕЙСТВИЕМ С МОБИЛЬНЫМИ РАБОТНИКАМИ: СОЦИАЛЬНЫЙ ПОРТРЕТ И СТРАТЕГИИ АДАПТАЦИИ ПРИНИМАЮЩИХ СООБЩЕСТВ</w:t>
      </w:r>
    </w:p>
    <w:p w14:paraId="3C9A4277" w14:textId="77777777" w:rsidR="00E032E8" w:rsidRPr="00F90615" w:rsidRDefault="00E032E8" w:rsidP="00F90615">
      <w:pPr>
        <w:shd w:val="clear" w:color="auto" w:fill="FFFFFF"/>
        <w:ind w:firstLine="709"/>
        <w:rPr>
          <w:rFonts w:ascii="Times New Roman" w:eastAsia="Times New Roman" w:hAnsi="Times New Roman" w:cs="Times New Roman"/>
          <w:b/>
          <w:bCs/>
          <w:color w:val="0F1115"/>
          <w:sz w:val="24"/>
          <w:szCs w:val="24"/>
          <w:lang w:eastAsia="ru-RU"/>
        </w:rPr>
      </w:pPr>
    </w:p>
    <w:p w14:paraId="17FD476F" w14:textId="77777777" w:rsidR="00E27EA8" w:rsidRDefault="00E27EA8" w:rsidP="00F90615">
      <w:pPr>
        <w:shd w:val="clear" w:color="auto" w:fill="FFFFFF"/>
        <w:ind w:firstLine="709"/>
        <w:rPr>
          <w:rFonts w:ascii="Times New Roman" w:eastAsia="Times New Roman" w:hAnsi="Times New Roman" w:cs="Times New Roman"/>
          <w:b/>
          <w:bCs/>
          <w:color w:val="0F1115"/>
          <w:sz w:val="24"/>
          <w:szCs w:val="24"/>
          <w:lang w:eastAsia="ru-RU"/>
        </w:rPr>
      </w:pPr>
    </w:p>
    <w:p w14:paraId="17CA467E" w14:textId="74B59A0D" w:rsidR="00E27EA8" w:rsidRDefault="00E27EA8" w:rsidP="00F90615">
      <w:pPr>
        <w:shd w:val="clear" w:color="auto" w:fill="FFFFFF"/>
        <w:ind w:firstLine="709"/>
        <w:rPr>
          <w:rFonts w:ascii="Times New Roman" w:eastAsia="Times New Roman" w:hAnsi="Times New Roman" w:cs="Times New Roman"/>
          <w:color w:val="0F1115"/>
          <w:sz w:val="24"/>
          <w:szCs w:val="24"/>
          <w:lang w:eastAsia="ru-RU"/>
        </w:rPr>
      </w:pPr>
      <w:r>
        <w:rPr>
          <w:rFonts w:ascii="Times New Roman" w:eastAsia="Times New Roman" w:hAnsi="Times New Roman" w:cs="Times New Roman"/>
          <w:b/>
          <w:bCs/>
          <w:color w:val="0F1115"/>
          <w:sz w:val="24"/>
          <w:szCs w:val="24"/>
          <w:lang w:eastAsia="ru-RU"/>
        </w:rPr>
        <w:t xml:space="preserve">Аннотация. </w:t>
      </w:r>
      <w:r>
        <w:rPr>
          <w:rFonts w:ascii="Times New Roman" w:eastAsia="Times New Roman" w:hAnsi="Times New Roman" w:cs="Times New Roman"/>
          <w:color w:val="0F1115"/>
          <w:sz w:val="24"/>
          <w:szCs w:val="24"/>
          <w:lang w:eastAsia="ru-RU"/>
        </w:rPr>
        <w:t xml:space="preserve">В статье исследуется феномен мобильной занятости как объекта социологии управления. На основе опроса студентов трех вузов города Уфы, был составлен примерный социальный протрет мобильных работников, выявлены их мотивационные приоритеты и миграционные установки. Особое внимание уделяется управленческим аспектам присутствия данной категории специалистов в сообществах. Предложены рекомендации по адаптации зарубежных практик (Таллин, Лиссабон) к российским условиям. </w:t>
      </w:r>
    </w:p>
    <w:p w14:paraId="2CD46631" w14:textId="2AEC2038" w:rsidR="00E27EA8" w:rsidRPr="00E27EA8" w:rsidRDefault="00E27EA8" w:rsidP="00F90615">
      <w:pPr>
        <w:shd w:val="clear" w:color="auto" w:fill="FFFFFF"/>
        <w:ind w:firstLine="709"/>
        <w:rPr>
          <w:rFonts w:ascii="Times New Roman" w:eastAsia="Times New Roman" w:hAnsi="Times New Roman" w:cs="Times New Roman"/>
          <w:b/>
          <w:bCs/>
          <w:i/>
          <w:iCs/>
          <w:color w:val="0F1115"/>
          <w:sz w:val="24"/>
          <w:szCs w:val="24"/>
          <w:lang w:eastAsia="ru-RU"/>
        </w:rPr>
      </w:pPr>
      <w:r>
        <w:rPr>
          <w:rFonts w:ascii="Times New Roman" w:eastAsia="Times New Roman" w:hAnsi="Times New Roman" w:cs="Times New Roman"/>
          <w:b/>
          <w:bCs/>
          <w:color w:val="0F1115"/>
          <w:sz w:val="24"/>
          <w:szCs w:val="24"/>
          <w:lang w:eastAsia="ru-RU"/>
        </w:rPr>
        <w:t xml:space="preserve">Ключевые слова: </w:t>
      </w:r>
      <w:r w:rsidRPr="00E27EA8">
        <w:rPr>
          <w:rFonts w:ascii="Times New Roman" w:eastAsia="Times New Roman" w:hAnsi="Times New Roman" w:cs="Times New Roman"/>
          <w:color w:val="0F1115"/>
          <w:sz w:val="24"/>
          <w:szCs w:val="24"/>
          <w:lang w:eastAsia="ru-RU"/>
        </w:rPr>
        <w:t>мобильные работники, социальный портрет, трудовая мобильность, принимающие сообщества, удаленная занятость, стейкхолдер.</w:t>
      </w:r>
      <w:r w:rsidRPr="00E27EA8">
        <w:rPr>
          <w:rFonts w:ascii="Times New Roman" w:eastAsia="Times New Roman" w:hAnsi="Times New Roman" w:cs="Times New Roman"/>
          <w:b/>
          <w:bCs/>
          <w:i/>
          <w:iCs/>
          <w:color w:val="0F1115"/>
          <w:sz w:val="24"/>
          <w:szCs w:val="24"/>
          <w:lang w:eastAsia="ru-RU"/>
        </w:rPr>
        <w:t xml:space="preserve"> </w:t>
      </w:r>
    </w:p>
    <w:p w14:paraId="7B3919F7" w14:textId="35582694" w:rsidR="00E27EA8" w:rsidRPr="00F55BC2" w:rsidRDefault="00E27EA8" w:rsidP="00F55BC2">
      <w:pPr>
        <w:shd w:val="clear" w:color="auto" w:fill="FFFFFF"/>
        <w:ind w:firstLine="709"/>
        <w:rPr>
          <w:rFonts w:ascii="Times New Roman" w:eastAsia="Times New Roman" w:hAnsi="Times New Roman" w:cs="Times New Roman"/>
          <w:color w:val="0F1115"/>
          <w:sz w:val="24"/>
          <w:szCs w:val="24"/>
          <w:lang w:eastAsia="ru-RU"/>
        </w:rPr>
      </w:pPr>
      <w:r>
        <w:rPr>
          <w:rFonts w:ascii="Times New Roman" w:eastAsia="Times New Roman" w:hAnsi="Times New Roman" w:cs="Times New Roman"/>
          <w:color w:val="0F1115"/>
          <w:sz w:val="24"/>
          <w:szCs w:val="24"/>
          <w:lang w:eastAsia="ru-RU"/>
        </w:rPr>
        <w:t xml:space="preserve">Современный этап общественного развития характеризуется качественными изменениями в структуре занятости. Распространение цифровых технологий, трансформация организационных структур и изменение ценностных ориентаций работников способствует формированию нового социального строя – мобильных работников. Эта новообразованная группа включает в себя как «цифровых кочевников», которые практикуют </w:t>
      </w:r>
      <w:r w:rsidR="00F55BC2">
        <w:rPr>
          <w:rFonts w:ascii="Times New Roman" w:eastAsia="Times New Roman" w:hAnsi="Times New Roman" w:cs="Times New Roman"/>
          <w:color w:val="0F1115"/>
          <w:sz w:val="24"/>
          <w:szCs w:val="24"/>
          <w:lang w:eastAsia="ru-RU"/>
        </w:rPr>
        <w:t xml:space="preserve">удаленную работу из любой точки мира, так и специалистов, использующих вахтовый метод, временные командировки, или регулярную смену локации без изменения постоянного места жительства. </w:t>
      </w:r>
    </w:p>
    <w:p w14:paraId="429AC9B0" w14:textId="77777777" w:rsidR="00E032E8" w:rsidRDefault="00E032E8" w:rsidP="00F90615">
      <w:pPr>
        <w:shd w:val="clear" w:color="auto" w:fill="FFFFFF"/>
        <w:ind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Как отмечает классик социологии мобильности Дж. Урри, современное общество следует понимать через динамику перемещений людей, информации и объектов, что делает мобильность не исключением, а нормой социальной жизни [</w:t>
      </w:r>
      <w:r w:rsidR="00160128" w:rsidRPr="00F90615">
        <w:rPr>
          <w:rFonts w:ascii="Times New Roman" w:eastAsia="Times New Roman" w:hAnsi="Times New Roman" w:cs="Times New Roman"/>
          <w:color w:val="0F1115"/>
          <w:sz w:val="24"/>
          <w:szCs w:val="24"/>
          <w:lang w:eastAsia="ru-RU"/>
        </w:rPr>
        <w:t>6</w:t>
      </w:r>
      <w:r w:rsidRPr="00F90615">
        <w:rPr>
          <w:rFonts w:ascii="Times New Roman" w:eastAsia="Times New Roman" w:hAnsi="Times New Roman" w:cs="Times New Roman"/>
          <w:color w:val="0F1115"/>
          <w:sz w:val="24"/>
          <w:szCs w:val="24"/>
          <w:lang w:eastAsia="ru-RU"/>
        </w:rPr>
        <w:t>, с. 23]. Это требует пересмотра традиционных управленческих подходов, ориентированных на стационарные коллективы и территориальную привязку.</w:t>
      </w:r>
    </w:p>
    <w:p w14:paraId="4738455F" w14:textId="5F2634B3" w:rsidR="00E032E8" w:rsidRPr="00F90615" w:rsidRDefault="00F55BC2" w:rsidP="00F55BC2">
      <w:pPr>
        <w:shd w:val="clear" w:color="auto" w:fill="FFFFFF"/>
        <w:ind w:firstLine="709"/>
        <w:rPr>
          <w:rFonts w:ascii="Times New Roman" w:eastAsia="Times New Roman" w:hAnsi="Times New Roman" w:cs="Times New Roman"/>
          <w:color w:val="0F1115"/>
          <w:sz w:val="24"/>
          <w:szCs w:val="24"/>
          <w:lang w:eastAsia="ru-RU"/>
        </w:rPr>
      </w:pPr>
      <w:r>
        <w:rPr>
          <w:rFonts w:ascii="Times New Roman" w:eastAsia="Times New Roman" w:hAnsi="Times New Roman" w:cs="Times New Roman"/>
          <w:color w:val="0F1115"/>
          <w:sz w:val="24"/>
          <w:szCs w:val="24"/>
          <w:lang w:eastAsia="ru-RU"/>
        </w:rPr>
        <w:t xml:space="preserve">Актуальность исследования обусловлена не только темпом количественного роста мобильных работников, но и их многоплановым воздействием на сообщества и группы. С точки зрения социологии управления, эта группа представляет собой специфический объект воздействия, который сам по себе обладает высокой автономией и слабо поддается традиционным формам административного контроля. В следствии чего и требует выработки новых механизмов регуляции, основанных на координации и кооперации </w:t>
      </w:r>
      <w:r w:rsidR="00E032E8" w:rsidRPr="00F90615">
        <w:rPr>
          <w:rFonts w:ascii="Times New Roman" w:eastAsia="Times New Roman" w:hAnsi="Times New Roman" w:cs="Times New Roman"/>
          <w:color w:val="0F1115"/>
          <w:sz w:val="24"/>
          <w:szCs w:val="24"/>
          <w:lang w:eastAsia="ru-RU"/>
        </w:rPr>
        <w:t>[1, с. 45</w:t>
      </w:r>
      <w:r w:rsidR="00D874F9" w:rsidRPr="00F90615">
        <w:rPr>
          <w:rFonts w:ascii="Times New Roman" w:eastAsia="Times New Roman" w:hAnsi="Times New Roman" w:cs="Times New Roman"/>
          <w:color w:val="0F1115"/>
          <w:sz w:val="24"/>
          <w:szCs w:val="24"/>
          <w:lang w:eastAsia="ru-RU"/>
        </w:rPr>
        <w:t>; 2, с.</w:t>
      </w:r>
      <w:r w:rsidR="00160128" w:rsidRPr="00F90615">
        <w:rPr>
          <w:rFonts w:ascii="Times New Roman" w:eastAsia="Times New Roman" w:hAnsi="Times New Roman" w:cs="Times New Roman"/>
          <w:color w:val="0F1115"/>
          <w:sz w:val="24"/>
          <w:szCs w:val="24"/>
          <w:lang w:eastAsia="ru-RU"/>
        </w:rPr>
        <w:t>143</w:t>
      </w:r>
      <w:r w:rsidR="00E032E8" w:rsidRPr="00F90615">
        <w:rPr>
          <w:rFonts w:ascii="Times New Roman" w:eastAsia="Times New Roman" w:hAnsi="Times New Roman" w:cs="Times New Roman"/>
          <w:color w:val="0F1115"/>
          <w:sz w:val="24"/>
          <w:szCs w:val="24"/>
          <w:lang w:eastAsia="ru-RU"/>
        </w:rPr>
        <w:t>].</w:t>
      </w:r>
    </w:p>
    <w:p w14:paraId="54CA1E95" w14:textId="77777777" w:rsidR="00E032E8" w:rsidRPr="00F90615" w:rsidRDefault="00E032E8" w:rsidP="00F90615">
      <w:pPr>
        <w:shd w:val="clear" w:color="auto" w:fill="FFFFFF"/>
        <w:ind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Цель работы – определение социального портрета мобильных работников и анализ управленческих стратегий регуляции их влияния на принимающие сообщества.</w:t>
      </w:r>
    </w:p>
    <w:p w14:paraId="6904287F" w14:textId="77777777" w:rsidR="00E032E8" w:rsidRDefault="00E032E8" w:rsidP="00F90615">
      <w:pPr>
        <w:shd w:val="clear" w:color="auto" w:fill="FFFFFF"/>
        <w:ind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В социологии управления управленческие отношения представляют собой систему взаимных зависимостей и обязанностей, создаваемых для реализации функций целеполагания, организации и контроля [1, с. 12]. Применительно к мобильным работникам классические механизмы, основанные на территориальной привязке и иерархии, перестают работать. На смену им приходят сетевые структуры и горизонтальные связи.</w:t>
      </w:r>
    </w:p>
    <w:p w14:paraId="4F264484" w14:textId="77777777" w:rsidR="009205A0" w:rsidRDefault="009205A0" w:rsidP="009205A0">
      <w:pPr>
        <w:shd w:val="clear" w:color="auto" w:fill="FFFFFF"/>
        <w:ind w:firstLine="709"/>
        <w:rPr>
          <w:rFonts w:ascii="Times New Roman" w:eastAsia="Times New Roman" w:hAnsi="Times New Roman" w:cs="Times New Roman"/>
          <w:color w:val="0F1115"/>
          <w:sz w:val="24"/>
          <w:szCs w:val="24"/>
          <w:lang w:eastAsia="ru-RU"/>
        </w:rPr>
      </w:pPr>
      <w:r>
        <w:rPr>
          <w:rFonts w:ascii="Times New Roman" w:eastAsia="Times New Roman" w:hAnsi="Times New Roman" w:cs="Times New Roman"/>
          <w:color w:val="0F1115"/>
          <w:sz w:val="24"/>
          <w:szCs w:val="24"/>
          <w:lang w:eastAsia="ru-RU"/>
        </w:rPr>
        <w:t xml:space="preserve">При рассмотрении этого вопроса следует правильно разграничивать два похожих понятия «миграция» и «мобильность». Если миграция предполагает смену постоянного места жительства, то мобильность, в свою очередь, включает временные перемещения без изменения резидентского статуса. Эта временность дислоцирования создает специфический вызов для управления: мобильный работник присутствует в локальной экономике, но слабо интегрирован в местные социальные институты.      </w:t>
      </w:r>
    </w:p>
    <w:p w14:paraId="122BA8A3" w14:textId="754ABC49" w:rsidR="00E032E8" w:rsidRPr="00F90615" w:rsidRDefault="00E032E8" w:rsidP="009205A0">
      <w:pPr>
        <w:shd w:val="clear" w:color="auto" w:fill="FFFFFF"/>
        <w:ind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С позиции теории стейкхолдеров, мобильные работники становятся важной группой влияния, чьи интересы необходимо учитывать при разработке муниципальных стратегий. Исследователь С.Н. Иванов подчеркивает, что игнорирование интересов временного населения ведет к росту социальной напряженности и джентрификации [</w:t>
      </w:r>
      <w:r w:rsidR="00160128" w:rsidRPr="00F90615">
        <w:rPr>
          <w:rFonts w:ascii="Times New Roman" w:eastAsia="Times New Roman" w:hAnsi="Times New Roman" w:cs="Times New Roman"/>
          <w:color w:val="0F1115"/>
          <w:sz w:val="24"/>
          <w:szCs w:val="24"/>
          <w:lang w:eastAsia="ru-RU"/>
        </w:rPr>
        <w:t>7</w:t>
      </w:r>
      <w:r w:rsidRPr="00F90615">
        <w:rPr>
          <w:rFonts w:ascii="Times New Roman" w:eastAsia="Times New Roman" w:hAnsi="Times New Roman" w:cs="Times New Roman"/>
          <w:color w:val="0F1115"/>
          <w:sz w:val="24"/>
          <w:szCs w:val="24"/>
          <w:lang w:eastAsia="ru-RU"/>
        </w:rPr>
        <w:t>, с. 115].</w:t>
      </w:r>
    </w:p>
    <w:p w14:paraId="2FF13701" w14:textId="77777777" w:rsidR="00EE2A6F" w:rsidRPr="00F90615" w:rsidRDefault="00E032E8" w:rsidP="00F90615">
      <w:pPr>
        <w:ind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lastRenderedPageBreak/>
        <w:t>Для изучения социального портрета был проведен опрос студентов трех ведущих вузов г. Уфы (Уфимский университет науки и технологий, Уфимский государственный нефтяной технический университет, Башкирский государственный аграрный университет). Выбор студентов технических и IT-специальностей (более 76% выборки) обусловлен тем, что они составляют кадровый резерв формирующейся группы мобильных работников. Объем выборки – более 150 респондентов. Метод сбора данных – онлайн-анкетирование.</w:t>
      </w:r>
    </w:p>
    <w:p w14:paraId="53D7E745" w14:textId="0A1F4982" w:rsidR="0037052F" w:rsidRDefault="00EE2A6F" w:rsidP="00F90615">
      <w:pPr>
        <w:ind w:firstLine="709"/>
        <w:rPr>
          <w:rFonts w:ascii="Times New Roman" w:hAnsi="Times New Roman" w:cs="Times New Roman"/>
          <w:sz w:val="24"/>
          <w:szCs w:val="24"/>
        </w:rPr>
      </w:pPr>
      <w:r w:rsidRPr="00F90615">
        <w:rPr>
          <w:rFonts w:ascii="Times New Roman" w:hAnsi="Times New Roman" w:cs="Times New Roman"/>
          <w:sz w:val="24"/>
          <w:szCs w:val="24"/>
        </w:rPr>
        <w:t xml:space="preserve">На основе ответов респондентов удалось получить </w:t>
      </w:r>
      <w:r w:rsidR="0037052F" w:rsidRPr="00F90615">
        <w:rPr>
          <w:rFonts w:ascii="Times New Roman" w:hAnsi="Times New Roman" w:cs="Times New Roman"/>
          <w:sz w:val="24"/>
          <w:szCs w:val="24"/>
        </w:rPr>
        <w:t>следующие результаты.</w:t>
      </w:r>
    </w:p>
    <w:p w14:paraId="4C5CF4CE" w14:textId="77777777" w:rsidR="00B80C3B" w:rsidRDefault="009205A0" w:rsidP="00B80C3B">
      <w:pPr>
        <w:ind w:firstLine="709"/>
        <w:rPr>
          <w:rFonts w:ascii="Times New Roman" w:hAnsi="Times New Roman" w:cs="Times New Roman"/>
          <w:sz w:val="24"/>
          <w:szCs w:val="24"/>
        </w:rPr>
      </w:pPr>
      <w:r>
        <w:rPr>
          <w:rFonts w:ascii="Times New Roman" w:hAnsi="Times New Roman" w:cs="Times New Roman"/>
          <w:sz w:val="24"/>
          <w:szCs w:val="24"/>
        </w:rPr>
        <w:t xml:space="preserve">Социально-демографические характеристики респондентов: возрастная категория: 18-21 год – примерно 60 процентов опрошенных, 22-25 лет – </w:t>
      </w:r>
      <w:r w:rsidR="00B80C3B">
        <w:rPr>
          <w:rFonts w:ascii="Times New Roman" w:hAnsi="Times New Roman" w:cs="Times New Roman"/>
          <w:sz w:val="24"/>
          <w:szCs w:val="24"/>
        </w:rPr>
        <w:t xml:space="preserve">40 </w:t>
      </w:r>
      <w:r>
        <w:rPr>
          <w:rFonts w:ascii="Times New Roman" w:hAnsi="Times New Roman" w:cs="Times New Roman"/>
          <w:sz w:val="24"/>
          <w:szCs w:val="24"/>
        </w:rPr>
        <w:t>процентов</w:t>
      </w:r>
      <w:r w:rsidR="00B80C3B">
        <w:rPr>
          <w:rFonts w:ascii="Times New Roman" w:hAnsi="Times New Roman" w:cs="Times New Roman"/>
          <w:sz w:val="24"/>
          <w:szCs w:val="24"/>
        </w:rPr>
        <w:t xml:space="preserve">. Среди них мужчин: 57%, женщин: 435; свыше 76% обучаются в сфере </w:t>
      </w:r>
      <w:r w:rsidR="00B80C3B">
        <w:rPr>
          <w:rFonts w:ascii="Times New Roman" w:hAnsi="Times New Roman" w:cs="Times New Roman"/>
          <w:sz w:val="24"/>
          <w:szCs w:val="24"/>
          <w:lang w:val="en-US"/>
        </w:rPr>
        <w:t>IT</w:t>
      </w:r>
      <w:r w:rsidR="00B80C3B">
        <w:rPr>
          <w:rFonts w:ascii="Times New Roman" w:hAnsi="Times New Roman" w:cs="Times New Roman"/>
          <w:sz w:val="24"/>
          <w:szCs w:val="24"/>
        </w:rPr>
        <w:t xml:space="preserve">-безопасности. </w:t>
      </w:r>
    </w:p>
    <w:p w14:paraId="798025C8" w14:textId="4F500858" w:rsidR="00EE2A6F" w:rsidRPr="00F90615" w:rsidRDefault="00EE2A6F" w:rsidP="00B80C3B">
      <w:pPr>
        <w:ind w:firstLine="709"/>
        <w:rPr>
          <w:rFonts w:ascii="Times New Roman" w:hAnsi="Times New Roman" w:cs="Times New Roman"/>
          <w:sz w:val="24"/>
          <w:szCs w:val="24"/>
        </w:rPr>
      </w:pPr>
      <w:r w:rsidRPr="00F90615">
        <w:rPr>
          <w:rFonts w:ascii="Times New Roman" w:hAnsi="Times New Roman" w:cs="Times New Roman"/>
          <w:sz w:val="24"/>
          <w:szCs w:val="24"/>
        </w:rPr>
        <w:t>Образ жизни, предполагающий мобильность, оценивают как привлекательный 72,2% опрошенных. Рассматривают для себя возможность стать мобильным работником 52%.</w:t>
      </w:r>
    </w:p>
    <w:p w14:paraId="08E9D7FE" w14:textId="67581A97" w:rsidR="00CD6FDC" w:rsidRDefault="00CD6FDC" w:rsidP="00F90615">
      <w:pPr>
        <w:ind w:firstLine="709"/>
        <w:rPr>
          <w:rFonts w:ascii="Times New Roman" w:hAnsi="Times New Roman" w:cs="Times New Roman"/>
          <w:sz w:val="24"/>
          <w:szCs w:val="24"/>
        </w:rPr>
      </w:pPr>
      <w:r>
        <w:rPr>
          <w:rFonts w:ascii="Times New Roman" w:hAnsi="Times New Roman" w:cs="Times New Roman"/>
          <w:sz w:val="24"/>
          <w:szCs w:val="24"/>
        </w:rPr>
        <w:t xml:space="preserve">На рисунке ниже видно, что ключевым преимуществом выступает потребность в автономии: свобода и гибкий график, который и лидирует с большим отрывом. Далее идут независимость и отсутствие необходимости работать в офисе. Это свидетельствует о том, что традиционные методы мотивации, основанные на материальном вознаграждении, могут быть не эффективными для данной категории </w:t>
      </w:r>
      <w:r w:rsidRPr="00CD6FDC">
        <w:rPr>
          <w:rFonts w:ascii="Times New Roman" w:hAnsi="Times New Roman" w:cs="Times New Roman"/>
          <w:sz w:val="24"/>
          <w:szCs w:val="24"/>
        </w:rPr>
        <w:t>[4, с. 58].</w:t>
      </w:r>
    </w:p>
    <w:p w14:paraId="096A141F" w14:textId="77777777" w:rsidR="00202C53" w:rsidRPr="00F90615" w:rsidRDefault="00202C53" w:rsidP="00F90615">
      <w:pPr>
        <w:ind w:firstLine="709"/>
        <w:rPr>
          <w:rFonts w:ascii="Times New Roman" w:hAnsi="Times New Roman" w:cs="Times New Roman"/>
          <w:sz w:val="24"/>
          <w:szCs w:val="24"/>
        </w:rPr>
      </w:pPr>
    </w:p>
    <w:p w14:paraId="4305FB2B" w14:textId="67AB2E2F" w:rsidR="00EE2A6F" w:rsidRPr="00B36ADF" w:rsidRDefault="00193C21" w:rsidP="00B36ADF">
      <w:pPr>
        <w:shd w:val="clear" w:color="auto" w:fill="FFFFFF"/>
        <w:ind w:firstLine="709"/>
        <w:rPr>
          <w:rFonts w:ascii="Times New Roman" w:eastAsia="Times New Roman" w:hAnsi="Times New Roman" w:cs="Times New Roman"/>
          <w:color w:val="0F1115"/>
          <w:sz w:val="24"/>
          <w:szCs w:val="24"/>
          <w:lang w:eastAsia="ru-RU"/>
        </w:rPr>
      </w:pPr>
      <w:r>
        <w:rPr>
          <w:rFonts w:ascii="Times New Roman" w:eastAsia="Times New Roman" w:hAnsi="Times New Roman" w:cs="Times New Roman"/>
          <w:noProof/>
          <w:color w:val="0F1115"/>
          <w:sz w:val="24"/>
          <w:szCs w:val="24"/>
          <w:lang w:val="en-US" w:eastAsia="ru-RU"/>
        </w:rPr>
        <w:drawing>
          <wp:inline distT="0" distB="0" distL="0" distR="0" wp14:anchorId="3ADB5FBD" wp14:editId="76F95AF4">
            <wp:extent cx="5486400" cy="2887980"/>
            <wp:effectExtent l="0" t="0" r="0" b="0"/>
            <wp:docPr id="110620163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57818746" w14:textId="0525ADA9" w:rsidR="00E032E8" w:rsidRPr="00F90615" w:rsidRDefault="00202C53" w:rsidP="00B36ADF">
      <w:pPr>
        <w:shd w:val="clear" w:color="auto" w:fill="FFFFFF"/>
        <w:ind w:firstLine="0"/>
        <w:jc w:val="center"/>
        <w:rPr>
          <w:rFonts w:ascii="Times New Roman" w:eastAsia="Times New Roman" w:hAnsi="Times New Roman" w:cs="Times New Roman"/>
          <w:color w:val="0F1115"/>
          <w:sz w:val="24"/>
          <w:szCs w:val="24"/>
          <w:lang w:eastAsia="ru-RU"/>
        </w:rPr>
      </w:pPr>
      <w:r>
        <w:rPr>
          <w:rFonts w:ascii="Times New Roman" w:eastAsia="Times New Roman" w:hAnsi="Times New Roman" w:cs="Times New Roman"/>
          <w:iCs/>
          <w:color w:val="0F1115"/>
          <w:sz w:val="24"/>
          <w:szCs w:val="24"/>
          <w:lang w:eastAsia="ru-RU"/>
        </w:rPr>
        <w:t>Рисунок</w:t>
      </w:r>
      <w:r w:rsidR="00E032E8" w:rsidRPr="00F90615">
        <w:rPr>
          <w:rFonts w:ascii="Times New Roman" w:eastAsia="Times New Roman" w:hAnsi="Times New Roman" w:cs="Times New Roman"/>
          <w:iCs/>
          <w:color w:val="0F1115"/>
          <w:sz w:val="24"/>
          <w:szCs w:val="24"/>
          <w:lang w:eastAsia="ru-RU"/>
        </w:rPr>
        <w:t xml:space="preserve"> 1. Оценка преимуществ удаленной работы</w:t>
      </w:r>
    </w:p>
    <w:p w14:paraId="1F2F5C6D" w14:textId="77777777" w:rsidR="00EE2A6F" w:rsidRPr="00F90615" w:rsidRDefault="00EE2A6F" w:rsidP="00F90615">
      <w:pPr>
        <w:shd w:val="clear" w:color="auto" w:fill="FFFFFF"/>
        <w:ind w:firstLine="709"/>
        <w:rPr>
          <w:rFonts w:ascii="Times New Roman" w:eastAsia="Times New Roman" w:hAnsi="Times New Roman" w:cs="Times New Roman"/>
          <w:color w:val="0F1115"/>
          <w:sz w:val="24"/>
          <w:szCs w:val="24"/>
          <w:lang w:eastAsia="ru-RU"/>
        </w:rPr>
      </w:pPr>
    </w:p>
    <w:p w14:paraId="773362B3" w14:textId="7EEA33B1" w:rsidR="00B80C3B" w:rsidRDefault="00B80C3B" w:rsidP="00F90615">
      <w:pPr>
        <w:shd w:val="clear" w:color="auto" w:fill="FFFFFF"/>
        <w:ind w:firstLine="709"/>
        <w:rPr>
          <w:rFonts w:ascii="Times New Roman" w:eastAsia="Times New Roman" w:hAnsi="Times New Roman" w:cs="Times New Roman"/>
          <w:color w:val="0F1115"/>
          <w:sz w:val="24"/>
          <w:szCs w:val="24"/>
          <w:lang w:eastAsia="ru-RU"/>
        </w:rPr>
      </w:pPr>
    </w:p>
    <w:p w14:paraId="76F98CD3" w14:textId="37D595FC" w:rsidR="00E032E8" w:rsidRDefault="00E032E8" w:rsidP="00F90615">
      <w:pPr>
        <w:shd w:val="clear" w:color="auto" w:fill="FFFFFF"/>
        <w:ind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Среди негативных аспектов удаленной работы указываются: размытие границ между работой и личной жизнью (35,1%), сложности с коммуникацией (28,5%), необходимость самоорганизации (20,5%). Эти данные коррелируют с выводами А.В. Шевчука о трудностях цифровых кочевни</w:t>
      </w:r>
      <w:r w:rsidR="003D6F67" w:rsidRPr="00F90615">
        <w:rPr>
          <w:rFonts w:ascii="Times New Roman" w:eastAsia="Times New Roman" w:hAnsi="Times New Roman" w:cs="Times New Roman"/>
          <w:color w:val="0F1115"/>
          <w:sz w:val="24"/>
          <w:szCs w:val="24"/>
          <w:lang w:eastAsia="ru-RU"/>
        </w:rPr>
        <w:t xml:space="preserve">ков на российском рынке труда </w:t>
      </w:r>
      <w:r w:rsidR="00160128" w:rsidRPr="00F90615">
        <w:rPr>
          <w:rFonts w:ascii="Times New Roman" w:eastAsia="Times New Roman" w:hAnsi="Times New Roman" w:cs="Times New Roman"/>
          <w:color w:val="0F1115"/>
          <w:sz w:val="24"/>
          <w:szCs w:val="24"/>
          <w:lang w:eastAsia="ru-RU"/>
        </w:rPr>
        <w:t>[8</w:t>
      </w:r>
      <w:r w:rsidRPr="00F90615">
        <w:rPr>
          <w:rFonts w:ascii="Times New Roman" w:eastAsia="Times New Roman" w:hAnsi="Times New Roman" w:cs="Times New Roman"/>
          <w:color w:val="0F1115"/>
          <w:sz w:val="24"/>
          <w:szCs w:val="24"/>
          <w:lang w:eastAsia="ru-RU"/>
        </w:rPr>
        <w:t>, с. 52].</w:t>
      </w:r>
      <w:r w:rsidR="00B80C3B">
        <w:rPr>
          <w:rFonts w:ascii="Times New Roman" w:eastAsia="Times New Roman" w:hAnsi="Times New Roman" w:cs="Times New Roman"/>
          <w:color w:val="0F1115"/>
          <w:sz w:val="24"/>
          <w:szCs w:val="24"/>
          <w:lang w:eastAsia="ru-RU"/>
        </w:rPr>
        <w:t xml:space="preserve"> </w:t>
      </w:r>
    </w:p>
    <w:p w14:paraId="0069DC05" w14:textId="2B093C6B" w:rsidR="00CF2684" w:rsidRPr="00F90615" w:rsidRDefault="00CF2684" w:rsidP="00202C53">
      <w:pPr>
        <w:shd w:val="clear" w:color="auto" w:fill="FFFFFF"/>
        <w:ind w:firstLine="709"/>
        <w:rPr>
          <w:rFonts w:ascii="Times New Roman" w:eastAsia="Times New Roman" w:hAnsi="Times New Roman" w:cs="Times New Roman"/>
          <w:color w:val="0F1115"/>
          <w:sz w:val="24"/>
          <w:szCs w:val="24"/>
          <w:lang w:eastAsia="ru-RU"/>
        </w:rPr>
      </w:pPr>
      <w:r>
        <w:rPr>
          <w:rFonts w:ascii="Times New Roman" w:eastAsia="Times New Roman" w:hAnsi="Times New Roman" w:cs="Times New Roman"/>
          <w:color w:val="0F1115"/>
          <w:sz w:val="24"/>
          <w:szCs w:val="24"/>
          <w:lang w:eastAsia="ru-RU"/>
        </w:rPr>
        <w:t>В миграционных установках респонденты демонстрируют рациональный подход. Главным приоритетом при выборе страны или региона, для опрашиваемых, являются</w:t>
      </w:r>
      <w:r w:rsidR="00202C53">
        <w:rPr>
          <w:rFonts w:ascii="Times New Roman" w:eastAsia="Times New Roman" w:hAnsi="Times New Roman" w:cs="Times New Roman"/>
          <w:color w:val="0F1115"/>
          <w:sz w:val="24"/>
          <w:szCs w:val="24"/>
          <w:lang w:eastAsia="ru-RU"/>
        </w:rPr>
        <w:t xml:space="preserve"> уровень заработной платы, </w:t>
      </w:r>
      <w:r>
        <w:rPr>
          <w:rFonts w:ascii="Times New Roman" w:eastAsia="Times New Roman" w:hAnsi="Times New Roman" w:cs="Times New Roman"/>
          <w:color w:val="0F1115"/>
          <w:sz w:val="24"/>
          <w:szCs w:val="24"/>
          <w:lang w:eastAsia="ru-RU"/>
        </w:rPr>
        <w:t>что почти в полтора раза превышает значимость культурной среды и климата.</w:t>
      </w:r>
      <w:r w:rsidR="00202C53">
        <w:rPr>
          <w:rFonts w:ascii="Times New Roman" w:eastAsia="Times New Roman" w:hAnsi="Times New Roman" w:cs="Times New Roman"/>
          <w:color w:val="0F1115"/>
          <w:sz w:val="24"/>
          <w:szCs w:val="24"/>
          <w:lang w:eastAsia="ru-RU"/>
        </w:rPr>
        <w:t xml:space="preserve"> На втором месте стоит уровень жизни и безопасности.</w:t>
      </w:r>
      <w:r>
        <w:rPr>
          <w:rFonts w:ascii="Times New Roman" w:eastAsia="Times New Roman" w:hAnsi="Times New Roman" w:cs="Times New Roman"/>
          <w:color w:val="0F1115"/>
          <w:sz w:val="24"/>
          <w:szCs w:val="24"/>
          <w:lang w:eastAsia="ru-RU"/>
        </w:rPr>
        <w:t xml:space="preserve"> Наименьшее</w:t>
      </w:r>
      <w:r w:rsidR="00202C53">
        <w:rPr>
          <w:rFonts w:ascii="Times New Roman" w:eastAsia="Times New Roman" w:hAnsi="Times New Roman" w:cs="Times New Roman"/>
          <w:color w:val="0F1115"/>
          <w:sz w:val="24"/>
          <w:szCs w:val="24"/>
          <w:lang w:eastAsia="ru-RU"/>
        </w:rPr>
        <w:t xml:space="preserve"> же</w:t>
      </w:r>
      <w:r>
        <w:rPr>
          <w:rFonts w:ascii="Times New Roman" w:eastAsia="Times New Roman" w:hAnsi="Times New Roman" w:cs="Times New Roman"/>
          <w:color w:val="0F1115"/>
          <w:sz w:val="24"/>
          <w:szCs w:val="24"/>
          <w:lang w:eastAsia="ru-RU"/>
        </w:rPr>
        <w:t xml:space="preserve"> влияние, в 11%, оказывает простота получения рабочей визы</w:t>
      </w:r>
      <w:r w:rsidR="00202C53">
        <w:rPr>
          <w:rFonts w:ascii="Times New Roman" w:eastAsia="Times New Roman" w:hAnsi="Times New Roman" w:cs="Times New Roman"/>
          <w:color w:val="0F1115"/>
          <w:sz w:val="24"/>
          <w:szCs w:val="24"/>
          <w:lang w:eastAsia="ru-RU"/>
        </w:rPr>
        <w:t xml:space="preserve"> (см. рис.2)</w:t>
      </w:r>
      <w:r>
        <w:rPr>
          <w:rFonts w:ascii="Times New Roman" w:eastAsia="Times New Roman" w:hAnsi="Times New Roman" w:cs="Times New Roman"/>
          <w:color w:val="0F1115"/>
          <w:sz w:val="24"/>
          <w:szCs w:val="24"/>
          <w:lang w:eastAsia="ru-RU"/>
        </w:rPr>
        <w:t xml:space="preserve">. </w:t>
      </w:r>
    </w:p>
    <w:p w14:paraId="3768A213" w14:textId="228028E9" w:rsidR="00EE2A6F" w:rsidRPr="00F90615" w:rsidRDefault="00254E60" w:rsidP="00254E60">
      <w:pPr>
        <w:shd w:val="clear" w:color="auto" w:fill="FFFFFF"/>
        <w:ind w:firstLine="0"/>
        <w:jc w:val="center"/>
        <w:rPr>
          <w:sz w:val="24"/>
          <w:szCs w:val="24"/>
        </w:rPr>
      </w:pPr>
      <w:r>
        <w:rPr>
          <w:noProof/>
          <w:sz w:val="24"/>
          <w:szCs w:val="24"/>
        </w:rPr>
        <w:lastRenderedPageBreak/>
        <w:drawing>
          <wp:inline distT="0" distB="0" distL="0" distR="0" wp14:anchorId="025D6BE2" wp14:editId="6059EFD9">
            <wp:extent cx="5128260" cy="2613660"/>
            <wp:effectExtent l="0" t="0" r="0" b="0"/>
            <wp:docPr id="168525922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441E7524" w14:textId="0891727D" w:rsidR="0037052F" w:rsidRPr="00F90615" w:rsidRDefault="00202C53" w:rsidP="00F90615">
      <w:pPr>
        <w:shd w:val="clear" w:color="auto" w:fill="FFFFFF"/>
        <w:ind w:firstLine="709"/>
        <w:jc w:val="center"/>
        <w:rPr>
          <w:rFonts w:ascii="Times New Roman" w:eastAsia="Times New Roman" w:hAnsi="Times New Roman" w:cs="Times New Roman"/>
          <w:iCs/>
          <w:color w:val="0F1115"/>
          <w:sz w:val="24"/>
          <w:szCs w:val="24"/>
          <w:lang w:eastAsia="ru-RU"/>
        </w:rPr>
      </w:pPr>
      <w:r>
        <w:rPr>
          <w:rFonts w:ascii="Times New Roman" w:eastAsia="Times New Roman" w:hAnsi="Times New Roman" w:cs="Times New Roman"/>
          <w:iCs/>
          <w:color w:val="0F1115"/>
          <w:sz w:val="24"/>
          <w:szCs w:val="24"/>
          <w:lang w:eastAsia="ru-RU"/>
        </w:rPr>
        <w:t>Рисунок</w:t>
      </w:r>
      <w:r w:rsidR="00E032E8" w:rsidRPr="00F90615">
        <w:rPr>
          <w:rFonts w:ascii="Times New Roman" w:eastAsia="Times New Roman" w:hAnsi="Times New Roman" w:cs="Times New Roman"/>
          <w:iCs/>
          <w:color w:val="0F1115"/>
          <w:sz w:val="24"/>
          <w:szCs w:val="24"/>
          <w:lang w:eastAsia="ru-RU"/>
        </w:rPr>
        <w:t xml:space="preserve"> 2. Оценка ключевых факторов при выборе страны </w:t>
      </w:r>
    </w:p>
    <w:p w14:paraId="5F80AF6E" w14:textId="77777777" w:rsidR="00E032E8" w:rsidRPr="00F90615" w:rsidRDefault="00E032E8" w:rsidP="00F90615">
      <w:pPr>
        <w:shd w:val="clear" w:color="auto" w:fill="FFFFFF"/>
        <w:ind w:firstLine="709"/>
        <w:jc w:val="center"/>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iCs/>
          <w:color w:val="0F1115"/>
          <w:sz w:val="24"/>
          <w:szCs w:val="24"/>
          <w:lang w:eastAsia="ru-RU"/>
        </w:rPr>
        <w:t>или региона</w:t>
      </w:r>
    </w:p>
    <w:p w14:paraId="66D7087E" w14:textId="77777777" w:rsidR="00B90345" w:rsidRPr="00F90615" w:rsidRDefault="00B90345" w:rsidP="00F90615">
      <w:pPr>
        <w:shd w:val="clear" w:color="auto" w:fill="FFFFFF"/>
        <w:ind w:firstLine="709"/>
        <w:rPr>
          <w:rFonts w:ascii="Times New Roman" w:eastAsia="Times New Roman" w:hAnsi="Times New Roman" w:cs="Times New Roman"/>
          <w:color w:val="0F1115"/>
          <w:sz w:val="24"/>
          <w:szCs w:val="24"/>
          <w:lang w:eastAsia="ru-RU"/>
        </w:rPr>
      </w:pPr>
    </w:p>
    <w:p w14:paraId="2E49671E" w14:textId="77777777" w:rsidR="00B80C3B" w:rsidRDefault="00B80C3B" w:rsidP="00F90615">
      <w:pPr>
        <w:shd w:val="clear" w:color="auto" w:fill="FFFFFF"/>
        <w:ind w:firstLine="709"/>
        <w:rPr>
          <w:rFonts w:ascii="Times New Roman" w:eastAsia="Times New Roman" w:hAnsi="Times New Roman" w:cs="Times New Roman"/>
          <w:color w:val="0F1115"/>
          <w:sz w:val="24"/>
          <w:szCs w:val="24"/>
          <w:lang w:eastAsia="ru-RU"/>
        </w:rPr>
      </w:pPr>
    </w:p>
    <w:p w14:paraId="60509396" w14:textId="594E1249" w:rsidR="00B80C3B" w:rsidRDefault="00B80C3B" w:rsidP="00CF2684">
      <w:pPr>
        <w:shd w:val="clear" w:color="auto" w:fill="FFFFFF"/>
        <w:rPr>
          <w:rFonts w:ascii="Times New Roman" w:eastAsia="Times New Roman" w:hAnsi="Times New Roman" w:cs="Times New Roman"/>
          <w:color w:val="0F1115"/>
          <w:sz w:val="24"/>
          <w:szCs w:val="24"/>
          <w:lang w:eastAsia="ru-RU"/>
        </w:rPr>
      </w:pPr>
    </w:p>
    <w:p w14:paraId="626DBB70" w14:textId="5105A325" w:rsidR="00E032E8" w:rsidRPr="00F90615" w:rsidRDefault="00E032E8" w:rsidP="00F90615">
      <w:pPr>
        <w:shd w:val="clear" w:color="auto" w:fill="FFFFFF"/>
        <w:ind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Анализ полученных данных в сочетании с изучением современных управленческих концепций позволяет выделить три уровня управленческого воздействия, связанных с присутствием мобильных работников.</w:t>
      </w:r>
    </w:p>
    <w:p w14:paraId="26BCA695" w14:textId="77777777" w:rsidR="00E032E8" w:rsidRPr="00F90615" w:rsidRDefault="00E032E8" w:rsidP="00F90615">
      <w:pPr>
        <w:shd w:val="clear" w:color="auto" w:fill="FFFFFF"/>
        <w:ind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bCs/>
          <w:color w:val="0F1115"/>
          <w:sz w:val="24"/>
          <w:szCs w:val="24"/>
          <w:lang w:eastAsia="ru-RU"/>
        </w:rPr>
        <w:t>1. Уровень территории (муниципальное и региональное управление).</w:t>
      </w:r>
      <w:r w:rsidR="00B90345" w:rsidRPr="00F90615">
        <w:rPr>
          <w:rFonts w:ascii="Times New Roman" w:eastAsia="Times New Roman" w:hAnsi="Times New Roman" w:cs="Times New Roman"/>
          <w:color w:val="0F1115"/>
          <w:sz w:val="24"/>
          <w:szCs w:val="24"/>
          <w:lang w:eastAsia="ru-RU"/>
        </w:rPr>
        <w:t xml:space="preserve"> </w:t>
      </w:r>
      <w:r w:rsidRPr="00F90615">
        <w:rPr>
          <w:rFonts w:ascii="Times New Roman" w:eastAsia="Times New Roman" w:hAnsi="Times New Roman" w:cs="Times New Roman"/>
          <w:color w:val="0F1115"/>
          <w:sz w:val="24"/>
          <w:szCs w:val="24"/>
          <w:lang w:eastAsia="ru-RU"/>
        </w:rPr>
        <w:t>Присутствие мобильных работников создает дополнительные налоговые поступления и стимулирует развитие сферы услуг (коворкинги, коливинги, общественное питание). Однако оно же провоцирует риски джентрификации и роста цен на аренду жилья. Исследования Р. Флориды показывают, что креативный класс выбирает города с высоким уровнем толерантности, технологий и таланта (концепция 3T) [</w:t>
      </w:r>
      <w:r w:rsidR="003D6F67" w:rsidRPr="00F90615">
        <w:rPr>
          <w:rFonts w:ascii="Times New Roman" w:eastAsia="Times New Roman" w:hAnsi="Times New Roman" w:cs="Times New Roman"/>
          <w:color w:val="0F1115"/>
          <w:sz w:val="24"/>
          <w:szCs w:val="24"/>
          <w:lang w:eastAsia="ru-RU"/>
        </w:rPr>
        <w:t>5</w:t>
      </w:r>
      <w:r w:rsidRPr="00F90615">
        <w:rPr>
          <w:rFonts w:ascii="Times New Roman" w:eastAsia="Times New Roman" w:hAnsi="Times New Roman" w:cs="Times New Roman"/>
          <w:color w:val="0F1115"/>
          <w:sz w:val="24"/>
          <w:szCs w:val="24"/>
          <w:lang w:eastAsia="ru-RU"/>
        </w:rPr>
        <w:t>, с. 89]. Следовательно, муниципальная политика должна быть направлена на создание открытой инфраструктуры.</w:t>
      </w:r>
      <w:r w:rsidR="0037052F" w:rsidRPr="00F90615">
        <w:rPr>
          <w:rFonts w:ascii="Times New Roman" w:eastAsia="Times New Roman" w:hAnsi="Times New Roman" w:cs="Times New Roman"/>
          <w:color w:val="0F1115"/>
          <w:sz w:val="24"/>
          <w:szCs w:val="24"/>
          <w:lang w:eastAsia="ru-RU"/>
        </w:rPr>
        <w:t xml:space="preserve"> </w:t>
      </w:r>
      <w:r w:rsidR="006B7AC9" w:rsidRPr="00F90615">
        <w:rPr>
          <w:rFonts w:ascii="Times New Roman" w:eastAsia="Times New Roman" w:hAnsi="Times New Roman" w:cs="Times New Roman"/>
          <w:iCs/>
          <w:color w:val="0F1115"/>
          <w:sz w:val="24"/>
          <w:szCs w:val="24"/>
          <w:lang w:eastAsia="ru-RU"/>
        </w:rPr>
        <w:t>Управленческ</w:t>
      </w:r>
      <w:r w:rsidR="00B90345" w:rsidRPr="00F90615">
        <w:rPr>
          <w:rFonts w:ascii="Times New Roman" w:eastAsia="Times New Roman" w:hAnsi="Times New Roman" w:cs="Times New Roman"/>
          <w:iCs/>
          <w:color w:val="0F1115"/>
          <w:sz w:val="24"/>
          <w:szCs w:val="24"/>
          <w:lang w:eastAsia="ru-RU"/>
        </w:rPr>
        <w:t>ие решения должны заключаться</w:t>
      </w:r>
      <w:r w:rsidR="00B90345" w:rsidRPr="00F90615">
        <w:rPr>
          <w:rFonts w:ascii="Times New Roman" w:eastAsia="Times New Roman" w:hAnsi="Times New Roman" w:cs="Times New Roman"/>
          <w:i/>
          <w:iCs/>
          <w:color w:val="0F1115"/>
          <w:sz w:val="24"/>
          <w:szCs w:val="24"/>
          <w:lang w:eastAsia="ru-RU"/>
        </w:rPr>
        <w:t xml:space="preserve"> </w:t>
      </w:r>
      <w:r w:rsidR="00B90345" w:rsidRPr="00F90615">
        <w:rPr>
          <w:rFonts w:ascii="Times New Roman" w:eastAsia="Times New Roman" w:hAnsi="Times New Roman" w:cs="Times New Roman"/>
          <w:iCs/>
          <w:color w:val="0F1115"/>
          <w:sz w:val="24"/>
          <w:szCs w:val="24"/>
          <w:lang w:eastAsia="ru-RU"/>
        </w:rPr>
        <w:t>в</w:t>
      </w:r>
      <w:r w:rsidR="006B7AC9" w:rsidRPr="00F90615">
        <w:rPr>
          <w:rFonts w:ascii="Times New Roman" w:eastAsia="Times New Roman" w:hAnsi="Times New Roman" w:cs="Times New Roman"/>
          <w:i/>
          <w:iCs/>
          <w:color w:val="0F1115"/>
          <w:sz w:val="24"/>
          <w:szCs w:val="24"/>
          <w:lang w:eastAsia="ru-RU"/>
        </w:rPr>
        <w:t xml:space="preserve"> </w:t>
      </w:r>
      <w:r w:rsidRPr="00F90615">
        <w:rPr>
          <w:rFonts w:ascii="Times New Roman" w:eastAsia="Times New Roman" w:hAnsi="Times New Roman" w:cs="Times New Roman"/>
          <w:color w:val="0F1115"/>
          <w:sz w:val="24"/>
          <w:szCs w:val="24"/>
          <w:lang w:eastAsia="ru-RU"/>
        </w:rPr>
        <w:t>переход</w:t>
      </w:r>
      <w:r w:rsidR="006B7AC9" w:rsidRPr="00F90615">
        <w:rPr>
          <w:rFonts w:ascii="Times New Roman" w:eastAsia="Times New Roman" w:hAnsi="Times New Roman" w:cs="Times New Roman"/>
          <w:color w:val="0F1115"/>
          <w:sz w:val="24"/>
          <w:szCs w:val="24"/>
          <w:lang w:eastAsia="ru-RU"/>
        </w:rPr>
        <w:t>е</w:t>
      </w:r>
      <w:r w:rsidRPr="00F90615">
        <w:rPr>
          <w:rFonts w:ascii="Times New Roman" w:eastAsia="Times New Roman" w:hAnsi="Times New Roman" w:cs="Times New Roman"/>
          <w:color w:val="0F1115"/>
          <w:sz w:val="24"/>
          <w:szCs w:val="24"/>
          <w:lang w:eastAsia="ru-RU"/>
        </w:rPr>
        <w:t xml:space="preserve"> от стихийной адаптации к проактивному управлению. Мировой опыт демонстрирует эффективность создания специализированных виз и инфраструктурных хабов. Например, в Таллине (Эстония) создана сеть коворкингов и консультационных центров для цифровых кочевников, в Лиссабоне (Португалия) действуют налоговые льготы для приезжих специалистов [</w:t>
      </w:r>
      <w:r w:rsidR="00160128" w:rsidRPr="00F90615">
        <w:rPr>
          <w:rFonts w:ascii="Times New Roman" w:eastAsia="Times New Roman" w:hAnsi="Times New Roman" w:cs="Times New Roman"/>
          <w:color w:val="0F1115"/>
          <w:sz w:val="24"/>
          <w:szCs w:val="24"/>
          <w:lang w:eastAsia="ru-RU"/>
        </w:rPr>
        <w:t>4</w:t>
      </w:r>
      <w:r w:rsidRPr="00F90615">
        <w:rPr>
          <w:rFonts w:ascii="Times New Roman" w:eastAsia="Times New Roman" w:hAnsi="Times New Roman" w:cs="Times New Roman"/>
          <w:color w:val="0F1115"/>
          <w:sz w:val="24"/>
          <w:szCs w:val="24"/>
          <w:lang w:eastAsia="ru-RU"/>
        </w:rPr>
        <w:t>, с. 65]. Для российских регионов актуальна адаптация этих моделей с упором на интеграционные программы.</w:t>
      </w:r>
    </w:p>
    <w:p w14:paraId="2E4F7560" w14:textId="77777777" w:rsidR="00E032E8" w:rsidRPr="00F90615" w:rsidRDefault="00E032E8" w:rsidP="00F90615">
      <w:pPr>
        <w:shd w:val="clear" w:color="auto" w:fill="FFFFFF"/>
        <w:ind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bCs/>
          <w:color w:val="0F1115"/>
          <w:sz w:val="24"/>
          <w:szCs w:val="24"/>
          <w:lang w:eastAsia="ru-RU"/>
        </w:rPr>
        <w:t>2. Уровень организации (корпоративное управление).</w:t>
      </w:r>
      <w:r w:rsidR="00EE2A6F" w:rsidRPr="00F90615">
        <w:rPr>
          <w:rFonts w:ascii="Times New Roman" w:eastAsia="Times New Roman" w:hAnsi="Times New Roman" w:cs="Times New Roman"/>
          <w:color w:val="0F1115"/>
          <w:sz w:val="24"/>
          <w:szCs w:val="24"/>
          <w:lang w:eastAsia="ru-RU"/>
        </w:rPr>
        <w:t xml:space="preserve"> </w:t>
      </w:r>
      <w:r w:rsidRPr="00F90615">
        <w:rPr>
          <w:rFonts w:ascii="Times New Roman" w:eastAsia="Times New Roman" w:hAnsi="Times New Roman" w:cs="Times New Roman"/>
          <w:color w:val="0F1115"/>
          <w:sz w:val="24"/>
          <w:szCs w:val="24"/>
          <w:lang w:eastAsia="ru-RU"/>
        </w:rPr>
        <w:t>Для компаний, нанимающих мобильных сотрудников, ключевой задачей становится пересмотр корпоративной культуры. Традиционная бюрократическая культура, основанная на должностных инструкциях и иерархии, неэффективна. Наиболее адекватна культура задачи, где фундаментом власти являются знания и компетентность [</w:t>
      </w:r>
      <w:r w:rsidR="00160128" w:rsidRPr="00F90615">
        <w:rPr>
          <w:rFonts w:ascii="Times New Roman" w:eastAsia="Times New Roman" w:hAnsi="Times New Roman" w:cs="Times New Roman"/>
          <w:color w:val="0F1115"/>
          <w:sz w:val="24"/>
          <w:szCs w:val="24"/>
          <w:lang w:eastAsia="ru-RU"/>
        </w:rPr>
        <w:t>3</w:t>
      </w:r>
      <w:r w:rsidRPr="00F90615">
        <w:rPr>
          <w:rFonts w:ascii="Times New Roman" w:eastAsia="Times New Roman" w:hAnsi="Times New Roman" w:cs="Times New Roman"/>
          <w:color w:val="0F1115"/>
          <w:sz w:val="24"/>
          <w:szCs w:val="24"/>
          <w:lang w:eastAsia="ru-RU"/>
        </w:rPr>
        <w:t>, с. 132]. Управление должно быть направлено на удержание сотрудников через создание чувства принадлежности к команде, несмотря на географическую удаленность. Это требует внедрения гибких форм труда и инвестиций в цифровую коммуникационную инфраструктуру.</w:t>
      </w:r>
    </w:p>
    <w:p w14:paraId="3956B626" w14:textId="77777777" w:rsidR="00E032E8" w:rsidRPr="00F90615" w:rsidRDefault="00E032E8" w:rsidP="00F90615">
      <w:pPr>
        <w:shd w:val="clear" w:color="auto" w:fill="FFFFFF"/>
        <w:ind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bCs/>
          <w:color w:val="0F1115"/>
          <w:sz w:val="24"/>
          <w:szCs w:val="24"/>
          <w:lang w:eastAsia="ru-RU"/>
        </w:rPr>
        <w:t>3. Уровень социального взаимодействия (интеграция).</w:t>
      </w:r>
      <w:r w:rsidR="00EE2A6F" w:rsidRPr="00F90615">
        <w:rPr>
          <w:rFonts w:ascii="Times New Roman" w:eastAsia="Times New Roman" w:hAnsi="Times New Roman" w:cs="Times New Roman"/>
          <w:color w:val="0F1115"/>
          <w:sz w:val="24"/>
          <w:szCs w:val="24"/>
          <w:lang w:eastAsia="ru-RU"/>
        </w:rPr>
        <w:t xml:space="preserve"> </w:t>
      </w:r>
      <w:r w:rsidRPr="00F90615">
        <w:rPr>
          <w:rFonts w:ascii="Times New Roman" w:eastAsia="Times New Roman" w:hAnsi="Times New Roman" w:cs="Times New Roman"/>
          <w:color w:val="0F1115"/>
          <w:sz w:val="24"/>
          <w:szCs w:val="24"/>
          <w:lang w:eastAsia="ru-RU"/>
        </w:rPr>
        <w:t xml:space="preserve">Мобильные работники склонны образовывать замкнутые профессиональные сообщества, что создает риски культурного разобщения. Управленческие механизмы здесь должны реализовывать интегративную функцию, формируя ощущение принадлежности к локальному сообществу. </w:t>
      </w:r>
      <w:r w:rsidR="006B7AC9" w:rsidRPr="00F90615">
        <w:rPr>
          <w:rFonts w:ascii="Times New Roman" w:eastAsia="Times New Roman" w:hAnsi="Times New Roman" w:cs="Times New Roman"/>
          <w:iCs/>
          <w:color w:val="0F1115"/>
          <w:sz w:val="24"/>
          <w:szCs w:val="24"/>
          <w:lang w:eastAsia="ru-RU"/>
        </w:rPr>
        <w:t>В данном случае важна</w:t>
      </w:r>
      <w:r w:rsidR="006B7AC9" w:rsidRPr="00F90615">
        <w:rPr>
          <w:rFonts w:ascii="Times New Roman" w:eastAsia="Times New Roman" w:hAnsi="Times New Roman" w:cs="Times New Roman"/>
          <w:i/>
          <w:iCs/>
          <w:color w:val="0F1115"/>
          <w:sz w:val="24"/>
          <w:szCs w:val="24"/>
          <w:lang w:eastAsia="ru-RU"/>
        </w:rPr>
        <w:t xml:space="preserve"> </w:t>
      </w:r>
      <w:r w:rsidRPr="00F90615">
        <w:rPr>
          <w:rFonts w:ascii="Times New Roman" w:eastAsia="Times New Roman" w:hAnsi="Times New Roman" w:cs="Times New Roman"/>
          <w:color w:val="0F1115"/>
          <w:sz w:val="24"/>
          <w:szCs w:val="24"/>
          <w:lang w:eastAsia="ru-RU"/>
        </w:rPr>
        <w:t>поддержка гибридных событий (онлайн + офлайн), создание общественных пространств, где мобильные работники могли бы взаимодействовать с местными жителями и предпринимателями.</w:t>
      </w:r>
    </w:p>
    <w:p w14:paraId="4E969437" w14:textId="07165A3B" w:rsidR="006B7AC9" w:rsidRDefault="00E032E8" w:rsidP="00F90615">
      <w:pPr>
        <w:ind w:firstLine="709"/>
        <w:rPr>
          <w:rFonts w:ascii="Times New Roman" w:hAnsi="Times New Roman" w:cs="Times New Roman"/>
          <w:sz w:val="24"/>
          <w:szCs w:val="24"/>
        </w:rPr>
      </w:pPr>
      <w:r w:rsidRPr="00F90615">
        <w:rPr>
          <w:rFonts w:ascii="Times New Roman" w:eastAsia="Times New Roman" w:hAnsi="Times New Roman" w:cs="Times New Roman"/>
          <w:color w:val="0F1115"/>
          <w:sz w:val="24"/>
          <w:szCs w:val="24"/>
          <w:lang w:eastAsia="ru-RU"/>
        </w:rPr>
        <w:lastRenderedPageBreak/>
        <w:t xml:space="preserve">Проведенное исследование позволяет сделать </w:t>
      </w:r>
      <w:r w:rsidR="006B7AC9" w:rsidRPr="00F90615">
        <w:rPr>
          <w:rFonts w:ascii="Times New Roman" w:eastAsia="Times New Roman" w:hAnsi="Times New Roman" w:cs="Times New Roman"/>
          <w:color w:val="0F1115"/>
          <w:sz w:val="24"/>
          <w:szCs w:val="24"/>
          <w:lang w:eastAsia="ru-RU"/>
        </w:rPr>
        <w:t>ряд выводов</w:t>
      </w:r>
      <w:r w:rsidRPr="00F90615">
        <w:rPr>
          <w:rFonts w:ascii="Times New Roman" w:eastAsia="Times New Roman" w:hAnsi="Times New Roman" w:cs="Times New Roman"/>
          <w:color w:val="0F1115"/>
          <w:sz w:val="24"/>
          <w:szCs w:val="24"/>
          <w:lang w:eastAsia="ru-RU"/>
        </w:rPr>
        <w:t>.</w:t>
      </w:r>
      <w:r w:rsidR="006B7AC9" w:rsidRPr="00F90615">
        <w:rPr>
          <w:rFonts w:ascii="Times New Roman" w:eastAsia="Times New Roman" w:hAnsi="Times New Roman" w:cs="Times New Roman"/>
          <w:color w:val="0F1115"/>
          <w:sz w:val="24"/>
          <w:szCs w:val="24"/>
          <w:lang w:eastAsia="ru-RU"/>
        </w:rPr>
        <w:t xml:space="preserve"> </w:t>
      </w:r>
      <w:r w:rsidR="006B7AC9" w:rsidRPr="00F90615">
        <w:rPr>
          <w:rFonts w:ascii="Times New Roman" w:eastAsia="Times New Roman" w:hAnsi="Times New Roman" w:cs="Times New Roman"/>
          <w:bCs/>
          <w:color w:val="0F1115"/>
          <w:sz w:val="24"/>
          <w:szCs w:val="24"/>
          <w:lang w:eastAsia="ru-RU"/>
        </w:rPr>
        <w:t xml:space="preserve">Социальный портрет </w:t>
      </w:r>
      <w:r w:rsidR="006B7AC9" w:rsidRPr="00F90615">
        <w:rPr>
          <w:rFonts w:ascii="Times New Roman" w:eastAsia="Times New Roman" w:hAnsi="Times New Roman" w:cs="Times New Roman"/>
          <w:color w:val="0F1115"/>
          <w:sz w:val="24"/>
          <w:szCs w:val="24"/>
          <w:lang w:eastAsia="ru-RU"/>
        </w:rPr>
        <w:t>потенциальных</w:t>
      </w:r>
      <w:r w:rsidRPr="00F90615">
        <w:rPr>
          <w:rFonts w:ascii="Times New Roman" w:eastAsia="Times New Roman" w:hAnsi="Times New Roman" w:cs="Times New Roman"/>
          <w:color w:val="0F1115"/>
          <w:sz w:val="24"/>
          <w:szCs w:val="24"/>
          <w:lang w:eastAsia="ru-RU"/>
        </w:rPr>
        <w:t xml:space="preserve"> мобильны</w:t>
      </w:r>
      <w:r w:rsidR="006B7AC9" w:rsidRPr="00F90615">
        <w:rPr>
          <w:rFonts w:ascii="Times New Roman" w:eastAsia="Times New Roman" w:hAnsi="Times New Roman" w:cs="Times New Roman"/>
          <w:color w:val="0F1115"/>
          <w:sz w:val="24"/>
          <w:szCs w:val="24"/>
          <w:lang w:eastAsia="ru-RU"/>
        </w:rPr>
        <w:t>х</w:t>
      </w:r>
      <w:r w:rsidRPr="00F90615">
        <w:rPr>
          <w:rFonts w:ascii="Times New Roman" w:eastAsia="Times New Roman" w:hAnsi="Times New Roman" w:cs="Times New Roman"/>
          <w:color w:val="0F1115"/>
          <w:sz w:val="24"/>
          <w:szCs w:val="24"/>
          <w:lang w:eastAsia="ru-RU"/>
        </w:rPr>
        <w:t xml:space="preserve"> работник</w:t>
      </w:r>
      <w:r w:rsidR="006B7AC9" w:rsidRPr="00F90615">
        <w:rPr>
          <w:rFonts w:ascii="Times New Roman" w:eastAsia="Times New Roman" w:hAnsi="Times New Roman" w:cs="Times New Roman"/>
          <w:color w:val="0F1115"/>
          <w:sz w:val="24"/>
          <w:szCs w:val="24"/>
          <w:lang w:eastAsia="ru-RU"/>
        </w:rPr>
        <w:t xml:space="preserve">ов </w:t>
      </w:r>
      <w:r w:rsidR="00F90615" w:rsidRPr="00F90615">
        <w:rPr>
          <w:rFonts w:ascii="Times New Roman" w:eastAsia="Times New Roman" w:hAnsi="Times New Roman" w:cs="Times New Roman"/>
          <w:color w:val="0F1115"/>
          <w:sz w:val="24"/>
          <w:szCs w:val="24"/>
          <w:lang w:eastAsia="ru-RU"/>
        </w:rPr>
        <w:t>характеризуется преобладанием</w:t>
      </w:r>
      <w:r w:rsidR="006B7AC9" w:rsidRPr="00F90615">
        <w:rPr>
          <w:rFonts w:ascii="Times New Roman" w:eastAsia="Times New Roman" w:hAnsi="Times New Roman" w:cs="Times New Roman"/>
          <w:color w:val="0F1115"/>
          <w:sz w:val="24"/>
          <w:szCs w:val="24"/>
          <w:lang w:eastAsia="ru-RU"/>
        </w:rPr>
        <w:t xml:space="preserve"> </w:t>
      </w:r>
      <w:r w:rsidR="006B7AC9" w:rsidRPr="00F90615">
        <w:rPr>
          <w:rFonts w:ascii="Times New Roman" w:hAnsi="Times New Roman" w:cs="Times New Roman"/>
          <w:sz w:val="24"/>
          <w:szCs w:val="24"/>
        </w:rPr>
        <w:t xml:space="preserve">молодых возрастов </w:t>
      </w:r>
      <w:r w:rsidR="006B7AC9" w:rsidRPr="00F90615">
        <w:rPr>
          <w:rFonts w:ascii="Times New Roman" w:eastAsia="Times New Roman" w:hAnsi="Times New Roman" w:cs="Times New Roman"/>
          <w:color w:val="0F1115"/>
          <w:sz w:val="24"/>
          <w:szCs w:val="24"/>
          <w:lang w:eastAsia="ru-RU"/>
        </w:rPr>
        <w:t>(18-25 лет)</w:t>
      </w:r>
      <w:r w:rsidR="006B7AC9" w:rsidRPr="00F90615">
        <w:rPr>
          <w:rFonts w:ascii="Times New Roman" w:hAnsi="Times New Roman" w:cs="Times New Roman"/>
          <w:sz w:val="24"/>
          <w:szCs w:val="24"/>
        </w:rPr>
        <w:t xml:space="preserve"> </w:t>
      </w:r>
      <w:r w:rsidRPr="00F90615">
        <w:rPr>
          <w:rFonts w:ascii="Times New Roman" w:eastAsia="Times New Roman" w:hAnsi="Times New Roman" w:cs="Times New Roman"/>
          <w:color w:val="0F1115"/>
          <w:sz w:val="24"/>
          <w:szCs w:val="24"/>
          <w:lang w:eastAsia="ru-RU"/>
        </w:rPr>
        <w:t>с IT-компетенциями, для котор</w:t>
      </w:r>
      <w:r w:rsidR="006B7AC9" w:rsidRPr="00F90615">
        <w:rPr>
          <w:rFonts w:ascii="Times New Roman" w:eastAsia="Times New Roman" w:hAnsi="Times New Roman" w:cs="Times New Roman"/>
          <w:color w:val="0F1115"/>
          <w:sz w:val="24"/>
          <w:szCs w:val="24"/>
          <w:lang w:eastAsia="ru-RU"/>
        </w:rPr>
        <w:t xml:space="preserve">ых </w:t>
      </w:r>
      <w:r w:rsidRPr="00F90615">
        <w:rPr>
          <w:rFonts w:ascii="Times New Roman" w:eastAsia="Times New Roman" w:hAnsi="Times New Roman" w:cs="Times New Roman"/>
          <w:color w:val="0F1115"/>
          <w:sz w:val="24"/>
          <w:szCs w:val="24"/>
          <w:lang w:eastAsia="ru-RU"/>
        </w:rPr>
        <w:t xml:space="preserve">ключевыми ценностями являются автономия и гибкость, а не сиюминутный высокий доход. </w:t>
      </w:r>
      <w:r w:rsidR="006B7AC9" w:rsidRPr="00F90615">
        <w:rPr>
          <w:rFonts w:ascii="Times New Roman" w:hAnsi="Times New Roman" w:cs="Times New Roman"/>
          <w:sz w:val="24"/>
          <w:szCs w:val="24"/>
        </w:rPr>
        <w:t>Миграционные установки потенциальных мобильных работников отличаются рациональностью: решение о переезде принимается с учетом конкретных социально-экономических условий, среди которых приоритетны уровень заработной платы, безопасность и качество жизни.</w:t>
      </w:r>
    </w:p>
    <w:p w14:paraId="1C58579C" w14:textId="3BD128B1" w:rsidR="00947981" w:rsidRDefault="00947981" w:rsidP="00F90615">
      <w:pPr>
        <w:ind w:firstLine="709"/>
        <w:rPr>
          <w:rFonts w:ascii="Times New Roman" w:hAnsi="Times New Roman" w:cs="Times New Roman"/>
          <w:sz w:val="24"/>
          <w:szCs w:val="24"/>
        </w:rPr>
      </w:pPr>
      <w:r>
        <w:rPr>
          <w:rFonts w:ascii="Times New Roman" w:hAnsi="Times New Roman" w:cs="Times New Roman"/>
          <w:sz w:val="24"/>
          <w:szCs w:val="24"/>
        </w:rPr>
        <w:t xml:space="preserve">Влияние мобильных работников на принимающие сообщества носить двойственный характер. С одной стороны, их присутствие стимулирует собой развитие малого бизнеса и повышает культурное разнообразие страны и (или) региона. С другой, немаловажной стороны – создает риски роста цен, социальной напряженности и дополнительной нагрузки на инфраструктуру. От органов управления это требует выработки более гибкой и сбалансированной политики на разных уровнях: от государственного и муниципального уровня до уровня отдельных организаций. Управленческие решения должны быть направлены на создание условий для интеграции мобильных работников в местную среду, развитие необходимой инфраструктуры и рабочего климата, и совершенствование правового регулирования их статуса.  </w:t>
      </w:r>
    </w:p>
    <w:p w14:paraId="5DCF43B2" w14:textId="77777777" w:rsidR="006B7AC9" w:rsidRPr="00F90615" w:rsidRDefault="006B7AC9" w:rsidP="00947981">
      <w:pPr>
        <w:shd w:val="clear" w:color="auto" w:fill="FFFFFF"/>
        <w:ind w:firstLine="0"/>
        <w:rPr>
          <w:rFonts w:ascii="Times New Roman" w:eastAsia="Times New Roman" w:hAnsi="Times New Roman" w:cs="Times New Roman"/>
          <w:color w:val="0F1115"/>
          <w:sz w:val="24"/>
          <w:szCs w:val="24"/>
          <w:lang w:eastAsia="ru-RU"/>
        </w:rPr>
      </w:pPr>
    </w:p>
    <w:p w14:paraId="7364D9D5" w14:textId="77777777" w:rsidR="00E032E8" w:rsidRPr="00F90615" w:rsidRDefault="00E032E8" w:rsidP="009C5C38">
      <w:pPr>
        <w:shd w:val="clear" w:color="auto" w:fill="FFFFFF"/>
        <w:ind w:firstLine="0"/>
        <w:jc w:val="center"/>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b/>
          <w:bCs/>
          <w:color w:val="0F1115"/>
          <w:sz w:val="24"/>
          <w:szCs w:val="24"/>
          <w:lang w:eastAsia="ru-RU"/>
        </w:rPr>
        <w:t>Библиографический список</w:t>
      </w:r>
    </w:p>
    <w:p w14:paraId="7F05ACDF" w14:textId="793A207F" w:rsidR="00D874F9" w:rsidRPr="00F90615" w:rsidRDefault="00E032E8" w:rsidP="00F90615">
      <w:pPr>
        <w:numPr>
          <w:ilvl w:val="0"/>
          <w:numId w:val="3"/>
        </w:numPr>
        <w:shd w:val="clear" w:color="auto" w:fill="FFFFFF"/>
        <w:ind w:left="0" w:firstLine="709"/>
        <w:rPr>
          <w:rFonts w:ascii="Times New Roman" w:eastAsia="Times New Roman" w:hAnsi="Times New Roman" w:cs="Times New Roman"/>
          <w:strike/>
          <w:color w:val="0F1115"/>
          <w:sz w:val="24"/>
          <w:szCs w:val="24"/>
          <w:lang w:eastAsia="ru-RU"/>
        </w:rPr>
      </w:pPr>
      <w:r w:rsidRPr="00F90615">
        <w:rPr>
          <w:rFonts w:ascii="Times New Roman" w:eastAsia="Times New Roman" w:hAnsi="Times New Roman" w:cs="Times New Roman"/>
          <w:color w:val="0F1115"/>
          <w:sz w:val="24"/>
          <w:szCs w:val="24"/>
          <w:lang w:eastAsia="ru-RU"/>
        </w:rPr>
        <w:t xml:space="preserve">Даутова, Т.А. Социология управления: учебное пособие / Т.А. Даутова; Уфимский университет науки и технологий. – Уфа: Уфимский университет, 2025. – 210 с. </w:t>
      </w:r>
    </w:p>
    <w:p w14:paraId="17C5E7D1" w14:textId="7F904D64" w:rsidR="00B90345" w:rsidRPr="00F90615" w:rsidRDefault="00B90345" w:rsidP="00F90615">
      <w:pPr>
        <w:numPr>
          <w:ilvl w:val="0"/>
          <w:numId w:val="3"/>
        </w:numPr>
        <w:shd w:val="clear" w:color="auto" w:fill="FFFFFF"/>
        <w:ind w:left="0" w:firstLine="709"/>
        <w:rPr>
          <w:rFonts w:ascii="Times New Roman" w:eastAsia="Times New Roman" w:hAnsi="Times New Roman" w:cs="Times New Roman"/>
          <w:strike/>
          <w:color w:val="0F1115"/>
          <w:sz w:val="24"/>
          <w:szCs w:val="24"/>
          <w:lang w:eastAsia="ru-RU"/>
        </w:rPr>
      </w:pPr>
      <w:r w:rsidRPr="00F90615">
        <w:rPr>
          <w:rFonts w:ascii="Times New Roman" w:hAnsi="Times New Roman" w:cs="Times New Roman"/>
          <w:sz w:val="24"/>
          <w:szCs w:val="24"/>
        </w:rPr>
        <w:t xml:space="preserve">Даутова, Т. А. Миграционные установки современной молодежи: мнения, взгляды, настроения (на примере Республики Башкортостан) / Т. А. Даутова, И. Ю. Фролова, З. Ф. Бикметова // Власть. – 2023. – Т. 31, № 4. – С. 96-103. </w:t>
      </w:r>
    </w:p>
    <w:p w14:paraId="1E5AF9B2" w14:textId="77777777" w:rsidR="00E032E8" w:rsidRPr="00F90615" w:rsidRDefault="00E032E8" w:rsidP="00F90615">
      <w:pPr>
        <w:numPr>
          <w:ilvl w:val="0"/>
          <w:numId w:val="3"/>
        </w:numPr>
        <w:shd w:val="clear" w:color="auto" w:fill="FFFFFF"/>
        <w:ind w:left="0"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Кривцова, Е.В. Цифровое кочевничество студенческой молодежи: жизненные ценности, профессиональные возможности и социальные риски / Е.В. Кривцова, Т.Н. Мартынова // Профессиональное образование в России и за рубежом. – 2023. – № 1 (49). – С. 127-135.</w:t>
      </w:r>
    </w:p>
    <w:p w14:paraId="2329E10E" w14:textId="77777777" w:rsidR="00E032E8" w:rsidRPr="00F90615" w:rsidRDefault="00E032E8" w:rsidP="00F90615">
      <w:pPr>
        <w:numPr>
          <w:ilvl w:val="0"/>
          <w:numId w:val="3"/>
        </w:numPr>
        <w:shd w:val="clear" w:color="auto" w:fill="FFFFFF"/>
        <w:ind w:left="0"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Шерстнева, А.Р. Резидентная мобильность цифровых кочевников в агломерации Денпасара / А.Р. Шерстнева // Городские исследования и практики. – 2023. – № 3. – С. 57-71.</w:t>
      </w:r>
    </w:p>
    <w:p w14:paraId="18ABA331" w14:textId="77777777" w:rsidR="00E032E8" w:rsidRPr="00F90615" w:rsidRDefault="00E032E8" w:rsidP="00F90615">
      <w:pPr>
        <w:numPr>
          <w:ilvl w:val="0"/>
          <w:numId w:val="3"/>
        </w:numPr>
        <w:shd w:val="clear" w:color="auto" w:fill="FFFFFF"/>
        <w:ind w:left="0"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Флорида, Р. Креативный класс: люди, которые меняют будущее / Р. Флорида; пер. с англ. – М.: Манн, Иванов и Фербер, 2021. – 384 с.</w:t>
      </w:r>
    </w:p>
    <w:p w14:paraId="0BA03EC2" w14:textId="77777777" w:rsidR="00E032E8" w:rsidRPr="00F90615" w:rsidRDefault="00E032E8" w:rsidP="00F90615">
      <w:pPr>
        <w:numPr>
          <w:ilvl w:val="0"/>
          <w:numId w:val="3"/>
        </w:numPr>
        <w:shd w:val="clear" w:color="auto" w:fill="FFFFFF"/>
        <w:ind w:left="0"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Урри, Дж. Мобильности / Дж. Урри; пер. с англ. – М.: Праксис, 2022. – 576 с.</w:t>
      </w:r>
    </w:p>
    <w:p w14:paraId="1D94558C" w14:textId="77777777" w:rsidR="00E032E8" w:rsidRPr="00F90615" w:rsidRDefault="00E032E8" w:rsidP="00F90615">
      <w:pPr>
        <w:numPr>
          <w:ilvl w:val="0"/>
          <w:numId w:val="3"/>
        </w:numPr>
        <w:shd w:val="clear" w:color="auto" w:fill="FFFFFF"/>
        <w:ind w:left="0"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Иванов, С.Н. Стейкхолдер-менеджмент в городском развитии: учет интересов временного населения / С.Н. Иванов // Вопросы государственного и муниципального управления. – 2024. – № 1. – С. 112-128.</w:t>
      </w:r>
    </w:p>
    <w:p w14:paraId="1615BFAE" w14:textId="112CC693" w:rsidR="009C5C38" w:rsidRPr="00C60C71" w:rsidRDefault="00E032E8" w:rsidP="00C60C71">
      <w:pPr>
        <w:numPr>
          <w:ilvl w:val="0"/>
          <w:numId w:val="3"/>
        </w:numPr>
        <w:shd w:val="clear" w:color="auto" w:fill="FFFFFF"/>
        <w:ind w:left="0" w:firstLine="709"/>
        <w:rPr>
          <w:rFonts w:ascii="Times New Roman" w:eastAsia="Times New Roman" w:hAnsi="Times New Roman" w:cs="Times New Roman"/>
          <w:color w:val="0F1115"/>
          <w:sz w:val="24"/>
          <w:szCs w:val="24"/>
          <w:lang w:eastAsia="ru-RU"/>
        </w:rPr>
      </w:pPr>
      <w:r w:rsidRPr="00F90615">
        <w:rPr>
          <w:rFonts w:ascii="Times New Roman" w:eastAsia="Times New Roman" w:hAnsi="Times New Roman" w:cs="Times New Roman"/>
          <w:color w:val="0F1115"/>
          <w:sz w:val="24"/>
          <w:szCs w:val="24"/>
          <w:lang w:eastAsia="ru-RU"/>
        </w:rPr>
        <w:t>Шевчук, А.В. От любительства к профессионализму: цифровые кочевники на рынке труда / А.В. Шевчук // Социологические исследования. – 2023. – № 5. – С. 45-58.</w:t>
      </w:r>
    </w:p>
    <w:p w14:paraId="2393EA20" w14:textId="77777777" w:rsidR="009C5C38" w:rsidRDefault="009C5C38" w:rsidP="009C5C38">
      <w:pPr>
        <w:shd w:val="clear" w:color="auto" w:fill="FFFFFF"/>
        <w:ind w:firstLine="0"/>
        <w:rPr>
          <w:rFonts w:ascii="Times New Roman" w:eastAsia="Times New Roman" w:hAnsi="Times New Roman" w:cs="Times New Roman"/>
          <w:color w:val="0F1115"/>
          <w:sz w:val="24"/>
          <w:szCs w:val="24"/>
          <w:lang w:eastAsia="ru-RU"/>
        </w:rPr>
      </w:pPr>
    </w:p>
    <w:p w14:paraId="425E51CA" w14:textId="52C553FF" w:rsidR="009C5C38" w:rsidRDefault="009C5C38" w:rsidP="009C5C38">
      <w:pPr>
        <w:shd w:val="clear" w:color="auto" w:fill="FFFFFF"/>
        <w:ind w:firstLine="0"/>
        <w:jc w:val="center"/>
        <w:rPr>
          <w:rFonts w:ascii="Times New Roman" w:eastAsia="Times New Roman" w:hAnsi="Times New Roman" w:cs="Times New Roman"/>
          <w:b/>
          <w:bCs/>
          <w:color w:val="0F1115"/>
          <w:sz w:val="24"/>
          <w:szCs w:val="24"/>
          <w:lang w:eastAsia="ru-RU"/>
        </w:rPr>
      </w:pPr>
      <w:r w:rsidRPr="009C5C38">
        <w:rPr>
          <w:rFonts w:ascii="Times New Roman" w:eastAsia="Times New Roman" w:hAnsi="Times New Roman" w:cs="Times New Roman"/>
          <w:b/>
          <w:bCs/>
          <w:color w:val="0F1115"/>
          <w:sz w:val="24"/>
          <w:szCs w:val="24"/>
          <w:lang w:eastAsia="ru-RU"/>
        </w:rPr>
        <w:t>Информация об авторе</w:t>
      </w:r>
    </w:p>
    <w:p w14:paraId="2ADF025F" w14:textId="522A0C84" w:rsidR="009C5C38" w:rsidRPr="00E27EA8" w:rsidRDefault="009C5C38" w:rsidP="009C5C38">
      <w:pPr>
        <w:shd w:val="clear" w:color="auto" w:fill="FFFFFF"/>
        <w:ind w:firstLine="0"/>
        <w:rPr>
          <w:rFonts w:ascii="Times New Roman" w:eastAsia="Times New Roman" w:hAnsi="Times New Roman" w:cs="Times New Roman"/>
          <w:color w:val="0F1115"/>
          <w:sz w:val="24"/>
          <w:szCs w:val="24"/>
          <w:lang w:eastAsia="ru-RU"/>
        </w:rPr>
      </w:pPr>
      <w:r>
        <w:rPr>
          <w:rFonts w:ascii="Times New Roman" w:eastAsia="Times New Roman" w:hAnsi="Times New Roman" w:cs="Times New Roman"/>
          <w:color w:val="0F1115"/>
          <w:sz w:val="24"/>
          <w:szCs w:val="24"/>
          <w:lang w:eastAsia="ru-RU"/>
        </w:rPr>
        <w:tab/>
        <w:t>Пожиткова Анна Сергеевна (Россия, Уфа) – студент 3 курса бакалавриата Уфимского университета науки и технологий (</w:t>
      </w:r>
      <w:r w:rsidRPr="009C5C38">
        <w:rPr>
          <w:rFonts w:ascii="Times New Roman" w:eastAsia="Times New Roman" w:hAnsi="Times New Roman" w:cs="Times New Roman"/>
          <w:color w:val="0F1115"/>
          <w:sz w:val="24"/>
          <w:szCs w:val="24"/>
          <w:lang w:eastAsia="ru-RU"/>
        </w:rPr>
        <w:t>450076, Приволжский федеральный округ, Республика Башкортостан, г. Уфа, ул. Заки Валиди, дом 32</w:t>
      </w:r>
      <w:r>
        <w:rPr>
          <w:rFonts w:ascii="Times New Roman" w:eastAsia="Times New Roman" w:hAnsi="Times New Roman" w:cs="Times New Roman"/>
          <w:color w:val="0F1115"/>
          <w:sz w:val="24"/>
          <w:szCs w:val="24"/>
          <w:lang w:eastAsia="ru-RU"/>
        </w:rPr>
        <w:t xml:space="preserve">; </w:t>
      </w:r>
      <w:r w:rsidRPr="009C5C38">
        <w:rPr>
          <w:rFonts w:ascii="Times New Roman" w:eastAsia="Times New Roman" w:hAnsi="Times New Roman" w:cs="Times New Roman"/>
          <w:color w:val="0F1115"/>
          <w:sz w:val="24"/>
          <w:szCs w:val="24"/>
          <w:lang w:eastAsia="ru-RU"/>
        </w:rPr>
        <w:t>e-mail:</w:t>
      </w:r>
      <w:r w:rsidRPr="00E27EA8">
        <w:rPr>
          <w:rFonts w:ascii="Times New Roman" w:eastAsia="Times New Roman" w:hAnsi="Times New Roman" w:cs="Times New Roman"/>
          <w:color w:val="0F1115"/>
          <w:sz w:val="24"/>
          <w:szCs w:val="24"/>
          <w:lang w:eastAsia="ru-RU"/>
        </w:rPr>
        <w:t xml:space="preserve"> </w:t>
      </w:r>
      <w:hyperlink r:id="rId7" w:history="1">
        <w:r w:rsidRPr="006C4683">
          <w:rPr>
            <w:rStyle w:val="a4"/>
            <w:rFonts w:ascii="Times New Roman" w:eastAsia="Times New Roman" w:hAnsi="Times New Roman" w:cs="Times New Roman"/>
            <w:sz w:val="24"/>
            <w:szCs w:val="24"/>
            <w:lang w:val="en-US" w:eastAsia="ru-RU"/>
          </w:rPr>
          <w:t>a</w:t>
        </w:r>
        <w:r w:rsidRPr="00E27EA8">
          <w:rPr>
            <w:rStyle w:val="a4"/>
            <w:rFonts w:ascii="Times New Roman" w:eastAsia="Times New Roman" w:hAnsi="Times New Roman" w:cs="Times New Roman"/>
            <w:sz w:val="24"/>
            <w:szCs w:val="24"/>
            <w:lang w:eastAsia="ru-RU"/>
          </w:rPr>
          <w:t>_</w:t>
        </w:r>
        <w:r w:rsidRPr="006C4683">
          <w:rPr>
            <w:rStyle w:val="a4"/>
            <w:rFonts w:ascii="Times New Roman" w:eastAsia="Times New Roman" w:hAnsi="Times New Roman" w:cs="Times New Roman"/>
            <w:sz w:val="24"/>
            <w:szCs w:val="24"/>
            <w:lang w:val="en-US" w:eastAsia="ru-RU"/>
          </w:rPr>
          <w:t>pozhitkova</w:t>
        </w:r>
        <w:r w:rsidRPr="00E27EA8">
          <w:rPr>
            <w:rStyle w:val="a4"/>
            <w:rFonts w:ascii="Times New Roman" w:eastAsia="Times New Roman" w:hAnsi="Times New Roman" w:cs="Times New Roman"/>
            <w:sz w:val="24"/>
            <w:szCs w:val="24"/>
            <w:lang w:eastAsia="ru-RU"/>
          </w:rPr>
          <w:t>@</w:t>
        </w:r>
        <w:r w:rsidRPr="006C4683">
          <w:rPr>
            <w:rStyle w:val="a4"/>
            <w:rFonts w:ascii="Times New Roman" w:eastAsia="Times New Roman" w:hAnsi="Times New Roman" w:cs="Times New Roman"/>
            <w:sz w:val="24"/>
            <w:szCs w:val="24"/>
            <w:lang w:val="en-US" w:eastAsia="ru-RU"/>
          </w:rPr>
          <w:t>list</w:t>
        </w:r>
        <w:r w:rsidRPr="00E27EA8">
          <w:rPr>
            <w:rStyle w:val="a4"/>
            <w:rFonts w:ascii="Times New Roman" w:eastAsia="Times New Roman" w:hAnsi="Times New Roman" w:cs="Times New Roman"/>
            <w:sz w:val="24"/>
            <w:szCs w:val="24"/>
            <w:lang w:eastAsia="ru-RU"/>
          </w:rPr>
          <w:t>.</w:t>
        </w:r>
        <w:r w:rsidRPr="006C4683">
          <w:rPr>
            <w:rStyle w:val="a4"/>
            <w:rFonts w:ascii="Times New Roman" w:eastAsia="Times New Roman" w:hAnsi="Times New Roman" w:cs="Times New Roman"/>
            <w:sz w:val="24"/>
            <w:szCs w:val="24"/>
            <w:lang w:val="en-US" w:eastAsia="ru-RU"/>
          </w:rPr>
          <w:t>ru</w:t>
        </w:r>
      </w:hyperlink>
      <w:r w:rsidRPr="00E27EA8">
        <w:rPr>
          <w:rFonts w:ascii="Times New Roman" w:eastAsia="Times New Roman" w:hAnsi="Times New Roman" w:cs="Times New Roman"/>
          <w:color w:val="0F1115"/>
          <w:sz w:val="24"/>
          <w:szCs w:val="24"/>
          <w:lang w:eastAsia="ru-RU"/>
        </w:rPr>
        <w:t>)</w:t>
      </w:r>
    </w:p>
    <w:p w14:paraId="423BA528" w14:textId="77777777" w:rsidR="009C5C38" w:rsidRPr="00E27EA8" w:rsidRDefault="009C5C38" w:rsidP="009C5C38">
      <w:pPr>
        <w:shd w:val="clear" w:color="auto" w:fill="FFFFFF"/>
        <w:ind w:firstLine="0"/>
        <w:rPr>
          <w:rFonts w:ascii="Times New Roman" w:eastAsia="Times New Roman" w:hAnsi="Times New Roman" w:cs="Times New Roman"/>
          <w:b/>
          <w:bCs/>
          <w:color w:val="0F1115"/>
          <w:sz w:val="24"/>
          <w:szCs w:val="24"/>
          <w:lang w:eastAsia="ru-RU"/>
        </w:rPr>
      </w:pPr>
    </w:p>
    <w:p w14:paraId="546CDC7E" w14:textId="77777777" w:rsidR="009C5C38" w:rsidRPr="00E27EA8" w:rsidRDefault="009C5C38" w:rsidP="009C5C38">
      <w:pPr>
        <w:shd w:val="clear" w:color="auto" w:fill="FFFFFF"/>
        <w:ind w:firstLine="0"/>
        <w:rPr>
          <w:rFonts w:ascii="Times New Roman" w:eastAsia="Times New Roman" w:hAnsi="Times New Roman" w:cs="Times New Roman"/>
          <w:b/>
          <w:bCs/>
          <w:color w:val="0F1115"/>
          <w:sz w:val="24"/>
          <w:szCs w:val="24"/>
          <w:lang w:eastAsia="ru-RU"/>
        </w:rPr>
      </w:pPr>
    </w:p>
    <w:p w14:paraId="452F626C" w14:textId="5638E15C" w:rsidR="009C5C38" w:rsidRPr="00E27EA8" w:rsidRDefault="009C5C38" w:rsidP="009C5C38">
      <w:pPr>
        <w:shd w:val="clear" w:color="auto" w:fill="FFFFFF"/>
        <w:ind w:firstLine="0"/>
        <w:jc w:val="right"/>
        <w:rPr>
          <w:rFonts w:ascii="Times New Roman" w:eastAsia="Times New Roman" w:hAnsi="Times New Roman" w:cs="Times New Roman"/>
          <w:b/>
          <w:bCs/>
          <w:color w:val="0F1115"/>
          <w:sz w:val="24"/>
          <w:szCs w:val="24"/>
          <w:lang w:eastAsia="ru-RU"/>
        </w:rPr>
      </w:pPr>
      <w:r w:rsidRPr="009C5C38">
        <w:rPr>
          <w:rFonts w:ascii="Times New Roman" w:eastAsia="Times New Roman" w:hAnsi="Times New Roman" w:cs="Times New Roman"/>
          <w:b/>
          <w:bCs/>
          <w:color w:val="0F1115"/>
          <w:sz w:val="24"/>
          <w:szCs w:val="24"/>
          <w:lang w:val="en-US" w:eastAsia="ru-RU"/>
        </w:rPr>
        <w:t>Pozhitkova</w:t>
      </w:r>
      <w:r w:rsidRPr="00E27EA8">
        <w:rPr>
          <w:rFonts w:ascii="Times New Roman" w:eastAsia="Times New Roman" w:hAnsi="Times New Roman" w:cs="Times New Roman"/>
          <w:b/>
          <w:bCs/>
          <w:color w:val="0F1115"/>
          <w:sz w:val="24"/>
          <w:szCs w:val="24"/>
          <w:lang w:eastAsia="ru-RU"/>
        </w:rPr>
        <w:t xml:space="preserve"> </w:t>
      </w:r>
      <w:r w:rsidRPr="009C5C38">
        <w:rPr>
          <w:rFonts w:ascii="Times New Roman" w:eastAsia="Times New Roman" w:hAnsi="Times New Roman" w:cs="Times New Roman"/>
          <w:b/>
          <w:bCs/>
          <w:color w:val="0F1115"/>
          <w:sz w:val="24"/>
          <w:szCs w:val="24"/>
          <w:lang w:val="en-US" w:eastAsia="ru-RU"/>
        </w:rPr>
        <w:t>A</w:t>
      </w:r>
      <w:r w:rsidRPr="00E27EA8">
        <w:rPr>
          <w:rFonts w:ascii="Times New Roman" w:eastAsia="Times New Roman" w:hAnsi="Times New Roman" w:cs="Times New Roman"/>
          <w:b/>
          <w:bCs/>
          <w:color w:val="0F1115"/>
          <w:sz w:val="24"/>
          <w:szCs w:val="24"/>
          <w:lang w:eastAsia="ru-RU"/>
        </w:rPr>
        <w:t>.</w:t>
      </w:r>
      <w:r w:rsidRPr="009C5C38">
        <w:rPr>
          <w:rFonts w:ascii="Times New Roman" w:eastAsia="Times New Roman" w:hAnsi="Times New Roman" w:cs="Times New Roman"/>
          <w:b/>
          <w:bCs/>
          <w:color w:val="0F1115"/>
          <w:sz w:val="24"/>
          <w:szCs w:val="24"/>
          <w:lang w:val="en-US" w:eastAsia="ru-RU"/>
        </w:rPr>
        <w:t>S</w:t>
      </w:r>
      <w:r w:rsidRPr="00E27EA8">
        <w:rPr>
          <w:rFonts w:ascii="Times New Roman" w:eastAsia="Times New Roman" w:hAnsi="Times New Roman" w:cs="Times New Roman"/>
          <w:b/>
          <w:bCs/>
          <w:color w:val="0F1115"/>
          <w:sz w:val="24"/>
          <w:szCs w:val="24"/>
          <w:lang w:eastAsia="ru-RU"/>
        </w:rPr>
        <w:t>.</w:t>
      </w:r>
    </w:p>
    <w:p w14:paraId="45DFA9AB" w14:textId="77777777" w:rsidR="009C5C38" w:rsidRPr="009C5C38" w:rsidRDefault="009C5C38" w:rsidP="009C5C38">
      <w:pPr>
        <w:shd w:val="clear" w:color="auto" w:fill="FFFFFF"/>
        <w:ind w:firstLine="0"/>
        <w:jc w:val="center"/>
        <w:rPr>
          <w:rFonts w:ascii="Times New Roman" w:eastAsia="Times New Roman" w:hAnsi="Times New Roman" w:cs="Times New Roman"/>
          <w:b/>
          <w:bCs/>
          <w:color w:val="0F1115"/>
          <w:sz w:val="24"/>
          <w:szCs w:val="24"/>
          <w:lang w:val="en-US" w:eastAsia="ru-RU"/>
        </w:rPr>
      </w:pPr>
      <w:r w:rsidRPr="009C5C38">
        <w:rPr>
          <w:rFonts w:ascii="Times New Roman" w:eastAsia="Times New Roman" w:hAnsi="Times New Roman" w:cs="Times New Roman"/>
          <w:b/>
          <w:bCs/>
          <w:color w:val="0F1115"/>
          <w:sz w:val="24"/>
          <w:szCs w:val="24"/>
          <w:lang w:val="en-US" w:eastAsia="ru-RU"/>
        </w:rPr>
        <w:t>MANAGING INTERACTIONS WITH MOBILE WORKERS: SOCIAL PORTRAIT AND ADAPTATION STRATEGIES FOR HOST COMMUNITIES</w:t>
      </w:r>
    </w:p>
    <w:p w14:paraId="307CD632" w14:textId="77777777" w:rsidR="009C5C38" w:rsidRPr="009C5C38" w:rsidRDefault="009C5C38" w:rsidP="009C5C38">
      <w:pPr>
        <w:shd w:val="clear" w:color="auto" w:fill="FFFFFF"/>
        <w:ind w:firstLine="0"/>
        <w:rPr>
          <w:rFonts w:ascii="Times New Roman" w:eastAsia="Times New Roman" w:hAnsi="Times New Roman" w:cs="Times New Roman"/>
          <w:color w:val="0F1115"/>
          <w:sz w:val="24"/>
          <w:szCs w:val="24"/>
          <w:lang w:val="en-US" w:eastAsia="ru-RU"/>
        </w:rPr>
      </w:pPr>
    </w:p>
    <w:p w14:paraId="59D6D4D0" w14:textId="0B971D12" w:rsidR="009C5C38" w:rsidRPr="006E3F00" w:rsidRDefault="009C5C38" w:rsidP="006E3F00">
      <w:pPr>
        <w:shd w:val="clear" w:color="auto" w:fill="FFFFFF"/>
        <w:ind w:firstLine="708"/>
        <w:rPr>
          <w:rFonts w:ascii="Times New Roman" w:eastAsia="Times New Roman" w:hAnsi="Times New Roman" w:cs="Times New Roman"/>
          <w:color w:val="0F1115"/>
          <w:sz w:val="24"/>
          <w:szCs w:val="24"/>
          <w:lang w:eastAsia="ru-RU"/>
        </w:rPr>
      </w:pPr>
      <w:r w:rsidRPr="009C5C38">
        <w:rPr>
          <w:rFonts w:ascii="Times New Roman" w:eastAsia="Times New Roman" w:hAnsi="Times New Roman" w:cs="Times New Roman"/>
          <w:b/>
          <w:bCs/>
          <w:color w:val="0F1115"/>
          <w:sz w:val="24"/>
          <w:szCs w:val="24"/>
          <w:lang w:val="en-US" w:eastAsia="ru-RU"/>
        </w:rPr>
        <w:t>Abstract.</w:t>
      </w:r>
      <w:r w:rsidRPr="009C5C38">
        <w:rPr>
          <w:rFonts w:ascii="Times New Roman" w:eastAsia="Times New Roman" w:hAnsi="Times New Roman" w:cs="Times New Roman"/>
          <w:color w:val="0F1115"/>
          <w:sz w:val="24"/>
          <w:szCs w:val="24"/>
          <w:lang w:val="en-US" w:eastAsia="ru-RU"/>
        </w:rPr>
        <w:t xml:space="preserve"> </w:t>
      </w:r>
      <w:r w:rsidR="006E3F00" w:rsidRPr="006E3F00">
        <w:rPr>
          <w:rFonts w:ascii="Times New Roman" w:eastAsia="Times New Roman" w:hAnsi="Times New Roman" w:cs="Times New Roman"/>
          <w:color w:val="0F1115"/>
          <w:sz w:val="24"/>
          <w:szCs w:val="24"/>
          <w:lang w:val="en-US" w:eastAsia="ru-RU"/>
        </w:rPr>
        <w:t xml:space="preserve">This article examines the phenomenon of mobile employment as an object of management sociology. Based on a survey of students at three universities in Ufa, a rough social </w:t>
      </w:r>
      <w:r w:rsidR="006E3F00" w:rsidRPr="006E3F00">
        <w:rPr>
          <w:rFonts w:ascii="Times New Roman" w:eastAsia="Times New Roman" w:hAnsi="Times New Roman" w:cs="Times New Roman"/>
          <w:color w:val="0F1115"/>
          <w:sz w:val="24"/>
          <w:szCs w:val="24"/>
          <w:lang w:val="en-US" w:eastAsia="ru-RU"/>
        </w:rPr>
        <w:lastRenderedPageBreak/>
        <w:t>profile of mobile workers was compiled, identifying their motivational priorities and migration attitudes. Particular attention is paid to the management aspects of this category of professionals' presence in communities. Recommendations for adapting international practices (Tallinn, Lisbon) to Russian conditions are offered.</w:t>
      </w:r>
    </w:p>
    <w:p w14:paraId="79F58550" w14:textId="3E9FE8AD" w:rsidR="009C5C38" w:rsidRPr="009C5C38" w:rsidRDefault="009C5C38" w:rsidP="00C60C71">
      <w:pPr>
        <w:shd w:val="clear" w:color="auto" w:fill="FFFFFF"/>
        <w:ind w:firstLine="708"/>
        <w:rPr>
          <w:rFonts w:ascii="Times New Roman" w:eastAsia="Times New Roman" w:hAnsi="Times New Roman" w:cs="Times New Roman"/>
          <w:color w:val="0F1115"/>
          <w:sz w:val="24"/>
          <w:szCs w:val="24"/>
          <w:lang w:val="en-US" w:eastAsia="ru-RU"/>
        </w:rPr>
      </w:pPr>
      <w:r w:rsidRPr="00C60C71">
        <w:rPr>
          <w:rFonts w:ascii="Times New Roman" w:eastAsia="Times New Roman" w:hAnsi="Times New Roman" w:cs="Times New Roman"/>
          <w:b/>
          <w:bCs/>
          <w:color w:val="0F1115"/>
          <w:sz w:val="24"/>
          <w:szCs w:val="24"/>
          <w:lang w:val="en-US" w:eastAsia="ru-RU"/>
        </w:rPr>
        <w:t xml:space="preserve">Keywords: </w:t>
      </w:r>
      <w:r w:rsidRPr="009C5C38">
        <w:rPr>
          <w:rFonts w:ascii="Times New Roman" w:eastAsia="Times New Roman" w:hAnsi="Times New Roman" w:cs="Times New Roman"/>
          <w:color w:val="0F1115"/>
          <w:sz w:val="24"/>
          <w:szCs w:val="24"/>
          <w:lang w:val="en-US" w:eastAsia="ru-RU"/>
        </w:rPr>
        <w:t>mobile workers, social profile, labor mobility, host communities, remote employment, stakeholder.</w:t>
      </w:r>
    </w:p>
    <w:p w14:paraId="401C5AE2" w14:textId="77777777" w:rsidR="009C5C38" w:rsidRDefault="009C5C38" w:rsidP="009C5C38">
      <w:pPr>
        <w:shd w:val="clear" w:color="auto" w:fill="FFFFFF"/>
        <w:ind w:firstLine="0"/>
        <w:rPr>
          <w:rFonts w:ascii="Times New Roman" w:eastAsia="Times New Roman" w:hAnsi="Times New Roman" w:cs="Times New Roman"/>
          <w:b/>
          <w:bCs/>
          <w:color w:val="0F1115"/>
          <w:sz w:val="24"/>
          <w:szCs w:val="24"/>
          <w:lang w:val="en-US" w:eastAsia="ru-RU"/>
        </w:rPr>
      </w:pPr>
    </w:p>
    <w:p w14:paraId="27BEEC03" w14:textId="221AAA8B" w:rsidR="00C60C71" w:rsidRPr="00C60C71" w:rsidRDefault="00C60C71" w:rsidP="00C60C71">
      <w:pPr>
        <w:shd w:val="clear" w:color="auto" w:fill="FFFFFF"/>
        <w:ind w:firstLine="0"/>
        <w:jc w:val="center"/>
        <w:rPr>
          <w:rFonts w:ascii="Times New Roman" w:eastAsia="Times New Roman" w:hAnsi="Times New Roman" w:cs="Times New Roman"/>
          <w:b/>
          <w:bCs/>
          <w:color w:val="0F1115"/>
          <w:sz w:val="24"/>
          <w:szCs w:val="24"/>
          <w:lang w:val="en-US" w:eastAsia="ru-RU"/>
        </w:rPr>
      </w:pPr>
      <w:r w:rsidRPr="00C60C71">
        <w:rPr>
          <w:rFonts w:ascii="Times New Roman" w:eastAsia="Times New Roman" w:hAnsi="Times New Roman" w:cs="Times New Roman"/>
          <w:b/>
          <w:bCs/>
          <w:color w:val="0F1115"/>
          <w:sz w:val="24"/>
          <w:szCs w:val="24"/>
          <w:lang w:val="en-US" w:eastAsia="ru-RU"/>
        </w:rPr>
        <w:t>About the Author</w:t>
      </w:r>
    </w:p>
    <w:p w14:paraId="563476AB" w14:textId="6270F2AC" w:rsidR="009C5C38" w:rsidRPr="00C60C71" w:rsidRDefault="00C60C71" w:rsidP="00C60C71">
      <w:pPr>
        <w:shd w:val="clear" w:color="auto" w:fill="FFFFFF"/>
        <w:ind w:firstLine="708"/>
        <w:rPr>
          <w:rFonts w:ascii="Times New Roman" w:eastAsia="Times New Roman" w:hAnsi="Times New Roman" w:cs="Times New Roman"/>
          <w:color w:val="0F1115"/>
          <w:sz w:val="24"/>
          <w:szCs w:val="24"/>
          <w:lang w:val="en-US" w:eastAsia="ru-RU"/>
        </w:rPr>
      </w:pPr>
      <w:r w:rsidRPr="00C60C71">
        <w:rPr>
          <w:rFonts w:ascii="Times New Roman" w:eastAsia="Times New Roman" w:hAnsi="Times New Roman" w:cs="Times New Roman"/>
          <w:color w:val="0F1115"/>
          <w:sz w:val="24"/>
          <w:szCs w:val="24"/>
          <w:lang w:val="en-US" w:eastAsia="ru-RU"/>
        </w:rPr>
        <w:t>Anna Sergeevna Pozhitkova (Russia, Ufa) – third-year undergraduate student at the Ufa University of Science and Technology (32 Zaki Validi Street, Ufa, Volga Federal District, Republic of Bashkortostan, 450076; e-mail: a_pozhitkova@list.ru)</w:t>
      </w:r>
    </w:p>
    <w:p w14:paraId="2B4CDA43" w14:textId="77777777" w:rsidR="00C60C71" w:rsidRDefault="00C60C71" w:rsidP="009C5C38">
      <w:pPr>
        <w:shd w:val="clear" w:color="auto" w:fill="FFFFFF"/>
        <w:ind w:firstLine="0"/>
        <w:rPr>
          <w:rFonts w:ascii="Times New Roman" w:eastAsia="Times New Roman" w:hAnsi="Times New Roman" w:cs="Times New Roman"/>
          <w:b/>
          <w:bCs/>
          <w:color w:val="0F1115"/>
          <w:sz w:val="24"/>
          <w:szCs w:val="24"/>
          <w:lang w:val="en-US" w:eastAsia="ru-RU"/>
        </w:rPr>
      </w:pPr>
    </w:p>
    <w:p w14:paraId="43D17DE6" w14:textId="740D6C36" w:rsidR="009C5C38" w:rsidRPr="00C60C71" w:rsidRDefault="009C5C38" w:rsidP="00C60C71">
      <w:pPr>
        <w:shd w:val="clear" w:color="auto" w:fill="FFFFFF"/>
        <w:ind w:firstLine="0"/>
        <w:jc w:val="center"/>
        <w:rPr>
          <w:rFonts w:ascii="Times New Roman" w:eastAsia="Times New Roman" w:hAnsi="Times New Roman" w:cs="Times New Roman"/>
          <w:b/>
          <w:bCs/>
          <w:color w:val="0F1115"/>
          <w:sz w:val="24"/>
          <w:szCs w:val="24"/>
          <w:lang w:val="en-US" w:eastAsia="ru-RU"/>
        </w:rPr>
      </w:pPr>
      <w:r w:rsidRPr="00C60C71">
        <w:rPr>
          <w:rFonts w:ascii="Times New Roman" w:eastAsia="Times New Roman" w:hAnsi="Times New Roman" w:cs="Times New Roman"/>
          <w:b/>
          <w:bCs/>
          <w:color w:val="0F1115"/>
          <w:sz w:val="24"/>
          <w:szCs w:val="24"/>
          <w:lang w:val="en-US" w:eastAsia="ru-RU"/>
        </w:rPr>
        <w:t>References</w:t>
      </w:r>
    </w:p>
    <w:p w14:paraId="2C1991BF" w14:textId="77777777" w:rsidR="009C5C38" w:rsidRDefault="009C5C38" w:rsidP="00C60C71">
      <w:pPr>
        <w:shd w:val="clear" w:color="auto" w:fill="FFFFFF"/>
        <w:ind w:firstLine="708"/>
        <w:rPr>
          <w:rFonts w:ascii="Times New Roman" w:eastAsia="Times New Roman" w:hAnsi="Times New Roman" w:cs="Times New Roman"/>
          <w:color w:val="0F1115"/>
          <w:sz w:val="24"/>
          <w:szCs w:val="24"/>
          <w:lang w:val="en-US" w:eastAsia="ru-RU"/>
        </w:rPr>
      </w:pPr>
      <w:r w:rsidRPr="009C5C38">
        <w:rPr>
          <w:rFonts w:ascii="Times New Roman" w:eastAsia="Times New Roman" w:hAnsi="Times New Roman" w:cs="Times New Roman"/>
          <w:color w:val="0F1115"/>
          <w:sz w:val="24"/>
          <w:szCs w:val="24"/>
          <w:lang w:val="en-US" w:eastAsia="ru-RU"/>
        </w:rPr>
        <w:t xml:space="preserve">1. Dautova, T.A. Sociology of Management: A Textbook / T.A. Dautova; Ufa University of Science and Technology. - Ufa: Ufa University, 2025. - 210 p. </w:t>
      </w:r>
    </w:p>
    <w:p w14:paraId="4D0635BB" w14:textId="77777777" w:rsidR="009C5C38" w:rsidRDefault="009C5C38" w:rsidP="00C60C71">
      <w:pPr>
        <w:shd w:val="clear" w:color="auto" w:fill="FFFFFF"/>
        <w:ind w:firstLine="708"/>
        <w:rPr>
          <w:rFonts w:ascii="Times New Roman" w:eastAsia="Times New Roman" w:hAnsi="Times New Roman" w:cs="Times New Roman"/>
          <w:color w:val="0F1115"/>
          <w:sz w:val="24"/>
          <w:szCs w:val="24"/>
          <w:lang w:val="en-US" w:eastAsia="ru-RU"/>
        </w:rPr>
      </w:pPr>
      <w:r w:rsidRPr="009C5C38">
        <w:rPr>
          <w:rFonts w:ascii="Times New Roman" w:eastAsia="Times New Roman" w:hAnsi="Times New Roman" w:cs="Times New Roman"/>
          <w:color w:val="0F1115"/>
          <w:sz w:val="24"/>
          <w:szCs w:val="24"/>
          <w:lang w:val="en-US" w:eastAsia="ru-RU"/>
        </w:rPr>
        <w:t xml:space="preserve">2. Dautova, T.A. Migration Attitudes of Modern Youth: Opinions, Views, Moods (Based on the Republic of Bashkortostan) / T.A. Dautova, I.Yu. Frolova, Z.F. Bikmetova // Vlast. - 2023. - Vol. 31, No. 4. - Pp. 96-103. </w:t>
      </w:r>
    </w:p>
    <w:p w14:paraId="2274B0BE" w14:textId="77777777" w:rsidR="009C5C38" w:rsidRDefault="009C5C38" w:rsidP="00C60C71">
      <w:pPr>
        <w:shd w:val="clear" w:color="auto" w:fill="FFFFFF"/>
        <w:ind w:firstLine="708"/>
        <w:rPr>
          <w:rFonts w:ascii="Times New Roman" w:eastAsia="Times New Roman" w:hAnsi="Times New Roman" w:cs="Times New Roman"/>
          <w:color w:val="0F1115"/>
          <w:sz w:val="24"/>
          <w:szCs w:val="24"/>
          <w:lang w:val="en-US" w:eastAsia="ru-RU"/>
        </w:rPr>
      </w:pPr>
      <w:r w:rsidRPr="009C5C38">
        <w:rPr>
          <w:rFonts w:ascii="Times New Roman" w:eastAsia="Times New Roman" w:hAnsi="Times New Roman" w:cs="Times New Roman"/>
          <w:color w:val="0F1115"/>
          <w:sz w:val="24"/>
          <w:szCs w:val="24"/>
          <w:lang w:val="en-US" w:eastAsia="ru-RU"/>
        </w:rPr>
        <w:t xml:space="preserve">3. Krivtsova, E.V. Digital Nomadism of Student Youth: Life Values, Professional Opportunities, and Social Risks / E.V. Krivtsova, T.N. Martynova // Professional Education in Russia and Abroad. – 2023. – No. 1 (49). – P. 127-135. </w:t>
      </w:r>
    </w:p>
    <w:p w14:paraId="1E444877" w14:textId="77777777" w:rsidR="009C5C38" w:rsidRDefault="009C5C38" w:rsidP="00C60C71">
      <w:pPr>
        <w:shd w:val="clear" w:color="auto" w:fill="FFFFFF"/>
        <w:ind w:firstLine="708"/>
        <w:rPr>
          <w:rFonts w:ascii="Times New Roman" w:eastAsia="Times New Roman" w:hAnsi="Times New Roman" w:cs="Times New Roman"/>
          <w:color w:val="0F1115"/>
          <w:sz w:val="24"/>
          <w:szCs w:val="24"/>
          <w:lang w:val="en-US" w:eastAsia="ru-RU"/>
        </w:rPr>
      </w:pPr>
      <w:r w:rsidRPr="009C5C38">
        <w:rPr>
          <w:rFonts w:ascii="Times New Roman" w:eastAsia="Times New Roman" w:hAnsi="Times New Roman" w:cs="Times New Roman"/>
          <w:color w:val="0F1115"/>
          <w:sz w:val="24"/>
          <w:szCs w:val="24"/>
          <w:lang w:val="en-US" w:eastAsia="ru-RU"/>
        </w:rPr>
        <w:t xml:space="preserve">4. Sherstneva, A.R. Residential Mobility of Digital Nomads in the Denpasar Agglomeration / A.R. Sherstneva // Urban Research and Practices. – 2023. – No. 3. – P. 57-71. </w:t>
      </w:r>
    </w:p>
    <w:p w14:paraId="621CE275" w14:textId="77777777" w:rsidR="009C5C38" w:rsidRDefault="009C5C38" w:rsidP="00C60C71">
      <w:pPr>
        <w:shd w:val="clear" w:color="auto" w:fill="FFFFFF"/>
        <w:ind w:firstLine="708"/>
        <w:rPr>
          <w:rFonts w:ascii="Times New Roman" w:eastAsia="Times New Roman" w:hAnsi="Times New Roman" w:cs="Times New Roman"/>
          <w:color w:val="0F1115"/>
          <w:sz w:val="24"/>
          <w:szCs w:val="24"/>
          <w:lang w:val="en-US" w:eastAsia="ru-RU"/>
        </w:rPr>
      </w:pPr>
      <w:r w:rsidRPr="009C5C38">
        <w:rPr>
          <w:rFonts w:ascii="Times New Roman" w:eastAsia="Times New Roman" w:hAnsi="Times New Roman" w:cs="Times New Roman"/>
          <w:color w:val="0F1115"/>
          <w:sz w:val="24"/>
          <w:szCs w:val="24"/>
          <w:lang w:val="en-US" w:eastAsia="ru-RU"/>
        </w:rPr>
        <w:t xml:space="preserve">5. Florida, R. Creative Class: People Who Are Changing the Future / R. Florida; trans. from English. – Moscow: Mann, Ivanov and Ferber, 2021. – 384 p. </w:t>
      </w:r>
    </w:p>
    <w:p w14:paraId="76169583" w14:textId="77777777" w:rsidR="009C5C38" w:rsidRDefault="009C5C38" w:rsidP="00C60C71">
      <w:pPr>
        <w:shd w:val="clear" w:color="auto" w:fill="FFFFFF"/>
        <w:ind w:firstLine="708"/>
        <w:rPr>
          <w:rFonts w:ascii="Times New Roman" w:eastAsia="Times New Roman" w:hAnsi="Times New Roman" w:cs="Times New Roman"/>
          <w:color w:val="0F1115"/>
          <w:sz w:val="24"/>
          <w:szCs w:val="24"/>
          <w:lang w:val="en-US" w:eastAsia="ru-RU"/>
        </w:rPr>
      </w:pPr>
      <w:r w:rsidRPr="009C5C38">
        <w:rPr>
          <w:rFonts w:ascii="Times New Roman" w:eastAsia="Times New Roman" w:hAnsi="Times New Roman" w:cs="Times New Roman"/>
          <w:color w:val="0F1115"/>
          <w:sz w:val="24"/>
          <w:szCs w:val="24"/>
          <w:lang w:val="en-US" w:eastAsia="ru-RU"/>
        </w:rPr>
        <w:t xml:space="preserve">6. Urry, J. Mobility / J. Urry; trans. from English. – Moscow: Praxis, 2022. – 576 p. </w:t>
      </w:r>
    </w:p>
    <w:p w14:paraId="59046165" w14:textId="77777777" w:rsidR="009C5C38" w:rsidRDefault="009C5C38" w:rsidP="00C60C71">
      <w:pPr>
        <w:shd w:val="clear" w:color="auto" w:fill="FFFFFF"/>
        <w:ind w:firstLine="708"/>
        <w:rPr>
          <w:rFonts w:ascii="Times New Roman" w:eastAsia="Times New Roman" w:hAnsi="Times New Roman" w:cs="Times New Roman"/>
          <w:color w:val="0F1115"/>
          <w:sz w:val="24"/>
          <w:szCs w:val="24"/>
          <w:lang w:val="en-US" w:eastAsia="ru-RU"/>
        </w:rPr>
      </w:pPr>
      <w:r w:rsidRPr="009C5C38">
        <w:rPr>
          <w:rFonts w:ascii="Times New Roman" w:eastAsia="Times New Roman" w:hAnsi="Times New Roman" w:cs="Times New Roman"/>
          <w:color w:val="0F1115"/>
          <w:sz w:val="24"/>
          <w:szCs w:val="24"/>
          <w:lang w:val="en-US" w:eastAsia="ru-RU"/>
        </w:rPr>
        <w:t xml:space="preserve">7. Ivanov, S.N. Stakeholder Management in Urban Development: Taking into Account the Interests of the Temporary Population / S.N. Ivanov // Issues of Public and Municipal Administration. – 2024. – No. 1. – pp. 112-128. </w:t>
      </w:r>
    </w:p>
    <w:p w14:paraId="442F4CA5" w14:textId="5B72AA84" w:rsidR="009C5C38" w:rsidRDefault="009C5C38" w:rsidP="00C60C71">
      <w:pPr>
        <w:shd w:val="clear" w:color="auto" w:fill="FFFFFF"/>
        <w:ind w:firstLine="708"/>
        <w:rPr>
          <w:rFonts w:ascii="Times New Roman" w:eastAsia="Times New Roman" w:hAnsi="Times New Roman" w:cs="Times New Roman"/>
          <w:color w:val="0F1115"/>
          <w:sz w:val="24"/>
          <w:szCs w:val="24"/>
          <w:lang w:val="en-US" w:eastAsia="ru-RU"/>
        </w:rPr>
      </w:pPr>
      <w:r w:rsidRPr="009C5C38">
        <w:rPr>
          <w:rFonts w:ascii="Times New Roman" w:eastAsia="Times New Roman" w:hAnsi="Times New Roman" w:cs="Times New Roman"/>
          <w:color w:val="0F1115"/>
          <w:sz w:val="24"/>
          <w:szCs w:val="24"/>
          <w:lang w:val="en-US" w:eastAsia="ru-RU"/>
        </w:rPr>
        <w:t xml:space="preserve">8. Shevchuk, A.V. From Amateurism to Professionalism: Digital Nomads in the Labor Market / A.V. Shevchuk // Sociological Research. – 2023. – No. 5. – pp. 45-58. </w:t>
      </w:r>
    </w:p>
    <w:p w14:paraId="1A9B89C3" w14:textId="77777777" w:rsidR="009C5C38" w:rsidRDefault="009C5C38" w:rsidP="009C5C38">
      <w:pPr>
        <w:shd w:val="clear" w:color="auto" w:fill="FFFFFF"/>
        <w:ind w:firstLine="0"/>
        <w:rPr>
          <w:rFonts w:ascii="Times New Roman" w:eastAsia="Times New Roman" w:hAnsi="Times New Roman" w:cs="Times New Roman"/>
          <w:color w:val="0F1115"/>
          <w:sz w:val="24"/>
          <w:szCs w:val="24"/>
          <w:lang w:val="en-US" w:eastAsia="ru-RU"/>
        </w:rPr>
      </w:pPr>
    </w:p>
    <w:p w14:paraId="1D984576" w14:textId="77777777" w:rsidR="00E032E8" w:rsidRPr="009C5C38" w:rsidRDefault="00E032E8" w:rsidP="00B90345">
      <w:pPr>
        <w:shd w:val="clear" w:color="auto" w:fill="FFFFFF"/>
        <w:spacing w:line="360" w:lineRule="auto"/>
        <w:ind w:firstLine="709"/>
        <w:rPr>
          <w:rFonts w:ascii="Times New Roman" w:eastAsia="Times New Roman" w:hAnsi="Times New Roman" w:cs="Times New Roman"/>
          <w:sz w:val="28"/>
          <w:szCs w:val="28"/>
          <w:lang w:val="en-US" w:eastAsia="ru-RU"/>
        </w:rPr>
      </w:pPr>
    </w:p>
    <w:p w14:paraId="75AD7151" w14:textId="77777777" w:rsidR="00E032E8" w:rsidRPr="006E3F00" w:rsidRDefault="00E032E8">
      <w:pPr>
        <w:ind w:firstLine="709"/>
        <w:rPr>
          <w:rFonts w:ascii="Times New Roman" w:hAnsi="Times New Roman" w:cs="Times New Roman"/>
          <w:sz w:val="28"/>
          <w:szCs w:val="28"/>
          <w:lang w:val="en-US"/>
        </w:rPr>
      </w:pPr>
    </w:p>
    <w:p w14:paraId="722AF934" w14:textId="77777777" w:rsidR="00BA37D8" w:rsidRPr="006E3F00" w:rsidRDefault="00BA37D8">
      <w:pPr>
        <w:ind w:firstLine="709"/>
        <w:rPr>
          <w:rFonts w:ascii="Times New Roman" w:hAnsi="Times New Roman" w:cs="Times New Roman"/>
          <w:sz w:val="28"/>
          <w:szCs w:val="28"/>
          <w:lang w:val="en-US"/>
        </w:rPr>
      </w:pPr>
    </w:p>
    <w:p w14:paraId="2C4CEABA" w14:textId="77777777" w:rsidR="00BA37D8" w:rsidRPr="006E3F00" w:rsidRDefault="00BA37D8">
      <w:pPr>
        <w:ind w:firstLine="709"/>
        <w:rPr>
          <w:rFonts w:ascii="Times New Roman" w:hAnsi="Times New Roman" w:cs="Times New Roman"/>
          <w:sz w:val="28"/>
          <w:szCs w:val="28"/>
          <w:lang w:val="en-US"/>
        </w:rPr>
      </w:pPr>
    </w:p>
    <w:p w14:paraId="27FCE56D" w14:textId="77777777" w:rsidR="00BA37D8" w:rsidRPr="006E3F00" w:rsidRDefault="00BA37D8">
      <w:pPr>
        <w:ind w:firstLine="709"/>
        <w:rPr>
          <w:rFonts w:ascii="Times New Roman" w:hAnsi="Times New Roman" w:cs="Times New Roman"/>
          <w:sz w:val="28"/>
          <w:szCs w:val="28"/>
          <w:lang w:val="en-US"/>
        </w:rPr>
      </w:pPr>
    </w:p>
    <w:p w14:paraId="3DB48CFC" w14:textId="77777777" w:rsidR="00BA37D8" w:rsidRPr="006E3F00" w:rsidRDefault="00BA37D8">
      <w:pPr>
        <w:ind w:firstLine="709"/>
        <w:rPr>
          <w:rFonts w:ascii="Times New Roman" w:hAnsi="Times New Roman" w:cs="Times New Roman"/>
          <w:sz w:val="28"/>
          <w:szCs w:val="28"/>
          <w:lang w:val="en-US"/>
        </w:rPr>
      </w:pPr>
    </w:p>
    <w:p w14:paraId="2ECB8097" w14:textId="77777777" w:rsidR="00BA37D8" w:rsidRPr="006E3F00" w:rsidRDefault="00BA37D8">
      <w:pPr>
        <w:ind w:firstLine="709"/>
        <w:rPr>
          <w:rFonts w:ascii="Times New Roman" w:hAnsi="Times New Roman" w:cs="Times New Roman"/>
          <w:sz w:val="28"/>
          <w:szCs w:val="28"/>
          <w:lang w:val="en-US"/>
        </w:rPr>
      </w:pPr>
    </w:p>
    <w:p w14:paraId="3593DA2A" w14:textId="77777777" w:rsidR="00BA37D8" w:rsidRPr="006E3F00" w:rsidRDefault="00BA37D8">
      <w:pPr>
        <w:ind w:firstLine="709"/>
        <w:rPr>
          <w:rFonts w:ascii="Times New Roman" w:hAnsi="Times New Roman" w:cs="Times New Roman"/>
          <w:sz w:val="28"/>
          <w:szCs w:val="28"/>
          <w:lang w:val="en-US"/>
        </w:rPr>
      </w:pPr>
    </w:p>
    <w:p w14:paraId="286B61AB" w14:textId="77777777" w:rsidR="00BA37D8" w:rsidRPr="006E3F00" w:rsidRDefault="00BA37D8">
      <w:pPr>
        <w:ind w:firstLine="709"/>
        <w:rPr>
          <w:rFonts w:ascii="Times New Roman" w:hAnsi="Times New Roman" w:cs="Times New Roman"/>
          <w:sz w:val="28"/>
          <w:szCs w:val="28"/>
          <w:lang w:val="en-US"/>
        </w:rPr>
      </w:pPr>
    </w:p>
    <w:p w14:paraId="0DCEE6E8" w14:textId="77777777" w:rsidR="00BA37D8" w:rsidRPr="006E3F00" w:rsidRDefault="00BA37D8">
      <w:pPr>
        <w:ind w:firstLine="709"/>
        <w:rPr>
          <w:rFonts w:ascii="Times New Roman" w:hAnsi="Times New Roman" w:cs="Times New Roman"/>
          <w:sz w:val="28"/>
          <w:szCs w:val="28"/>
          <w:lang w:val="en-US"/>
        </w:rPr>
      </w:pPr>
    </w:p>
    <w:p w14:paraId="3B0A55DA" w14:textId="77777777" w:rsidR="00BA37D8" w:rsidRPr="006E3F00" w:rsidRDefault="00BA37D8">
      <w:pPr>
        <w:ind w:firstLine="709"/>
        <w:rPr>
          <w:rFonts w:ascii="Times New Roman" w:hAnsi="Times New Roman" w:cs="Times New Roman"/>
          <w:sz w:val="28"/>
          <w:szCs w:val="28"/>
          <w:lang w:val="en-US"/>
        </w:rPr>
      </w:pPr>
    </w:p>
    <w:p w14:paraId="2327B976" w14:textId="77777777" w:rsidR="00BA37D8" w:rsidRPr="006E3F00" w:rsidRDefault="00BA37D8">
      <w:pPr>
        <w:ind w:firstLine="709"/>
        <w:rPr>
          <w:rFonts w:ascii="Times New Roman" w:hAnsi="Times New Roman" w:cs="Times New Roman"/>
          <w:sz w:val="28"/>
          <w:szCs w:val="28"/>
          <w:lang w:val="en-US"/>
        </w:rPr>
      </w:pPr>
    </w:p>
    <w:p w14:paraId="6EDC00F6" w14:textId="77777777" w:rsidR="00BA37D8" w:rsidRPr="006E3F00" w:rsidRDefault="00BA37D8">
      <w:pPr>
        <w:ind w:firstLine="709"/>
        <w:rPr>
          <w:rFonts w:ascii="Times New Roman" w:hAnsi="Times New Roman" w:cs="Times New Roman"/>
          <w:sz w:val="28"/>
          <w:szCs w:val="28"/>
          <w:lang w:val="en-US"/>
        </w:rPr>
      </w:pPr>
    </w:p>
    <w:p w14:paraId="59C9FBC9" w14:textId="77777777" w:rsidR="00BA37D8" w:rsidRPr="006E3F00" w:rsidRDefault="00BA37D8">
      <w:pPr>
        <w:ind w:firstLine="709"/>
        <w:rPr>
          <w:rFonts w:ascii="Times New Roman" w:hAnsi="Times New Roman" w:cs="Times New Roman"/>
          <w:sz w:val="28"/>
          <w:szCs w:val="28"/>
          <w:lang w:val="en-US"/>
        </w:rPr>
      </w:pPr>
    </w:p>
    <w:p w14:paraId="3E790958" w14:textId="77777777" w:rsidR="00BA37D8" w:rsidRPr="006E3F00" w:rsidRDefault="00BA37D8">
      <w:pPr>
        <w:ind w:firstLine="709"/>
        <w:rPr>
          <w:rFonts w:ascii="Times New Roman" w:hAnsi="Times New Roman" w:cs="Times New Roman"/>
          <w:sz w:val="28"/>
          <w:szCs w:val="28"/>
          <w:lang w:val="en-US"/>
        </w:rPr>
      </w:pPr>
    </w:p>
    <w:p w14:paraId="1E489F4A" w14:textId="3349FC31" w:rsidR="00BA37D8" w:rsidRPr="006E3F00" w:rsidRDefault="00BA37D8" w:rsidP="00BA37D8">
      <w:pPr>
        <w:ind w:firstLine="0"/>
        <w:rPr>
          <w:rFonts w:ascii="Times New Roman" w:hAnsi="Times New Roman" w:cs="Times New Roman"/>
          <w:sz w:val="20"/>
          <w:szCs w:val="20"/>
          <w:lang w:val="en-US"/>
        </w:rPr>
      </w:pPr>
    </w:p>
    <w:sectPr w:rsidR="00BA37D8" w:rsidRPr="006E3F00" w:rsidSect="00F9061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6C07B7"/>
    <w:multiLevelType w:val="multilevel"/>
    <w:tmpl w:val="3642E4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4755EF0"/>
    <w:multiLevelType w:val="multilevel"/>
    <w:tmpl w:val="E04C88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FC61C07"/>
    <w:multiLevelType w:val="multilevel"/>
    <w:tmpl w:val="DE60B96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5894B09"/>
    <w:multiLevelType w:val="multilevel"/>
    <w:tmpl w:val="E1842A48"/>
    <w:lvl w:ilvl="0">
      <w:start w:val="1"/>
      <w:numFmt w:val="decimal"/>
      <w:lvlText w:val="%1."/>
      <w:lvlJc w:val="left"/>
      <w:pPr>
        <w:tabs>
          <w:tab w:val="num" w:pos="720"/>
        </w:tabs>
        <w:ind w:left="720" w:hanging="360"/>
      </w:pPr>
      <w:rPr>
        <w:strike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91032780">
    <w:abstractNumId w:val="0"/>
  </w:num>
  <w:num w:numId="2" w16cid:durableId="160241116">
    <w:abstractNumId w:val="2"/>
  </w:num>
  <w:num w:numId="3" w16cid:durableId="2068994322">
    <w:abstractNumId w:val="3"/>
  </w:num>
  <w:num w:numId="4" w16cid:durableId="154621328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E032E8"/>
    <w:rsid w:val="00107604"/>
    <w:rsid w:val="00160128"/>
    <w:rsid w:val="00193C21"/>
    <w:rsid w:val="00202C53"/>
    <w:rsid w:val="0021016D"/>
    <w:rsid w:val="00254E60"/>
    <w:rsid w:val="0037052F"/>
    <w:rsid w:val="003D6F67"/>
    <w:rsid w:val="003F42E5"/>
    <w:rsid w:val="006B7AC9"/>
    <w:rsid w:val="006E3F00"/>
    <w:rsid w:val="0080731E"/>
    <w:rsid w:val="00847AAC"/>
    <w:rsid w:val="0091468C"/>
    <w:rsid w:val="009205A0"/>
    <w:rsid w:val="00947981"/>
    <w:rsid w:val="009C5C38"/>
    <w:rsid w:val="00A473F9"/>
    <w:rsid w:val="00AB7424"/>
    <w:rsid w:val="00AD3AAB"/>
    <w:rsid w:val="00B36ADF"/>
    <w:rsid w:val="00B70453"/>
    <w:rsid w:val="00B80C3B"/>
    <w:rsid w:val="00B90345"/>
    <w:rsid w:val="00BA37D8"/>
    <w:rsid w:val="00BC71A3"/>
    <w:rsid w:val="00C60C71"/>
    <w:rsid w:val="00C83CF1"/>
    <w:rsid w:val="00CC167C"/>
    <w:rsid w:val="00CD6FDC"/>
    <w:rsid w:val="00CF2684"/>
    <w:rsid w:val="00D874F9"/>
    <w:rsid w:val="00DF3608"/>
    <w:rsid w:val="00E032E8"/>
    <w:rsid w:val="00E27EA8"/>
    <w:rsid w:val="00E73274"/>
    <w:rsid w:val="00E77F80"/>
    <w:rsid w:val="00EC2880"/>
    <w:rsid w:val="00EE2A6F"/>
    <w:rsid w:val="00F06CDE"/>
    <w:rsid w:val="00F55BC2"/>
    <w:rsid w:val="00F906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25FEA"/>
  <w15:docId w15:val="{DE047BCB-B6AC-4362-A463-21F0DD811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ind w:firstLine="272"/>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06C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s-markdown-paragraph">
    <w:name w:val="ds-markdown-paragraph"/>
    <w:basedOn w:val="a"/>
    <w:rsid w:val="00E032E8"/>
    <w:pPr>
      <w:spacing w:before="100" w:beforeAutospacing="1" w:after="100" w:afterAutospacing="1"/>
      <w:ind w:firstLine="0"/>
      <w:jc w:val="left"/>
    </w:pPr>
    <w:rPr>
      <w:rFonts w:ascii="Times New Roman" w:eastAsia="Times New Roman" w:hAnsi="Times New Roman" w:cs="Times New Roman"/>
      <w:sz w:val="24"/>
      <w:szCs w:val="24"/>
      <w:lang w:eastAsia="ru-RU"/>
    </w:rPr>
  </w:style>
  <w:style w:type="character" w:styleId="a3">
    <w:name w:val="Strong"/>
    <w:basedOn w:val="a0"/>
    <w:uiPriority w:val="22"/>
    <w:qFormat/>
    <w:rsid w:val="00E032E8"/>
    <w:rPr>
      <w:b/>
      <w:bCs/>
    </w:rPr>
  </w:style>
  <w:style w:type="character" w:styleId="a4">
    <w:name w:val="Hyperlink"/>
    <w:basedOn w:val="a0"/>
    <w:uiPriority w:val="99"/>
    <w:unhideWhenUsed/>
    <w:rsid w:val="00E032E8"/>
    <w:rPr>
      <w:color w:val="0000FF"/>
      <w:u w:val="single"/>
    </w:rPr>
  </w:style>
  <w:style w:type="character" w:styleId="a5">
    <w:name w:val="Emphasis"/>
    <w:basedOn w:val="a0"/>
    <w:uiPriority w:val="20"/>
    <w:qFormat/>
    <w:rsid w:val="00E032E8"/>
    <w:rPr>
      <w:i/>
      <w:iCs/>
    </w:rPr>
  </w:style>
  <w:style w:type="paragraph" w:styleId="a6">
    <w:name w:val="Balloon Text"/>
    <w:basedOn w:val="a"/>
    <w:link w:val="a7"/>
    <w:uiPriority w:val="99"/>
    <w:semiHidden/>
    <w:unhideWhenUsed/>
    <w:rsid w:val="00EE2A6F"/>
    <w:rPr>
      <w:rFonts w:ascii="Tahoma" w:hAnsi="Tahoma" w:cs="Tahoma"/>
      <w:sz w:val="16"/>
      <w:szCs w:val="16"/>
    </w:rPr>
  </w:style>
  <w:style w:type="character" w:customStyle="1" w:styleId="a7">
    <w:name w:val="Текст выноски Знак"/>
    <w:basedOn w:val="a0"/>
    <w:link w:val="a6"/>
    <w:uiPriority w:val="99"/>
    <w:semiHidden/>
    <w:rsid w:val="00EE2A6F"/>
    <w:rPr>
      <w:rFonts w:ascii="Tahoma" w:hAnsi="Tahoma" w:cs="Tahoma"/>
      <w:sz w:val="16"/>
      <w:szCs w:val="16"/>
    </w:rPr>
  </w:style>
  <w:style w:type="character" w:styleId="a8">
    <w:name w:val="annotation reference"/>
    <w:basedOn w:val="a0"/>
    <w:uiPriority w:val="99"/>
    <w:semiHidden/>
    <w:unhideWhenUsed/>
    <w:rsid w:val="00EE2A6F"/>
    <w:rPr>
      <w:sz w:val="16"/>
      <w:szCs w:val="16"/>
    </w:rPr>
  </w:style>
  <w:style w:type="paragraph" w:styleId="a9">
    <w:name w:val="annotation text"/>
    <w:basedOn w:val="a"/>
    <w:link w:val="aa"/>
    <w:uiPriority w:val="99"/>
    <w:semiHidden/>
    <w:unhideWhenUsed/>
    <w:rsid w:val="00EE2A6F"/>
    <w:pPr>
      <w:spacing w:after="160"/>
      <w:ind w:firstLine="0"/>
      <w:jc w:val="left"/>
    </w:pPr>
    <w:rPr>
      <w:rFonts w:cs="Mangal"/>
      <w:kern w:val="2"/>
      <w:sz w:val="20"/>
      <w:szCs w:val="18"/>
      <w:lang w:bidi="hi-IN"/>
    </w:rPr>
  </w:style>
  <w:style w:type="character" w:customStyle="1" w:styleId="aa">
    <w:name w:val="Текст примечания Знак"/>
    <w:basedOn w:val="a0"/>
    <w:link w:val="a9"/>
    <w:uiPriority w:val="99"/>
    <w:semiHidden/>
    <w:rsid w:val="00EE2A6F"/>
    <w:rPr>
      <w:rFonts w:cs="Mangal"/>
      <w:kern w:val="2"/>
      <w:sz w:val="20"/>
      <w:szCs w:val="18"/>
      <w:lang w:bidi="hi-IN"/>
    </w:rPr>
  </w:style>
  <w:style w:type="character" w:styleId="ab">
    <w:name w:val="Unresolved Mention"/>
    <w:basedOn w:val="a0"/>
    <w:uiPriority w:val="99"/>
    <w:semiHidden/>
    <w:unhideWhenUsed/>
    <w:rsid w:val="009C5C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8992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_pozhitkova@lis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Лист1!$B$1</c:f>
              <c:strCache>
                <c:ptCount val="1"/>
                <c:pt idx="0">
                  <c:v>Количество ответивших</c:v>
                </c:pt>
              </c:strCache>
            </c:strRef>
          </c:tx>
          <c:spPr>
            <a:solidFill>
              <a:schemeClr val="dk1">
                <a:tint val="88500"/>
              </a:schemeClr>
            </a:solidFill>
            <a:ln>
              <a:noFill/>
            </a:ln>
            <a:effectLst/>
          </c:spPr>
          <c:invertIfNegative val="0"/>
          <c:cat>
            <c:strRef>
              <c:f>Лист1!$A$2:$A$6</c:f>
              <c:strCache>
                <c:ptCount val="5"/>
                <c:pt idx="0">
                  <c:v>Свобода и гибкий график работы</c:v>
                </c:pt>
                <c:pt idx="1">
                  <c:v>Возможность путешествовать и знакомиться с новыми культурами</c:v>
                </c:pt>
                <c:pt idx="2">
                  <c:v>Более высокий доход (возможность работы на международном рынке)</c:v>
                </c:pt>
                <c:pt idx="3">
                  <c:v>Самостоятельность и независимость</c:v>
                </c:pt>
                <c:pt idx="4">
                  <c:v>Отсутствие необходимости работать в офисе</c:v>
                </c:pt>
              </c:strCache>
            </c:strRef>
          </c:cat>
          <c:val>
            <c:numRef>
              <c:f>Лист1!$B$2:$B$6</c:f>
              <c:numCache>
                <c:formatCode>General</c:formatCode>
                <c:ptCount val="5"/>
                <c:pt idx="0">
                  <c:v>61</c:v>
                </c:pt>
                <c:pt idx="1">
                  <c:v>19</c:v>
                </c:pt>
                <c:pt idx="2">
                  <c:v>19</c:v>
                </c:pt>
                <c:pt idx="3">
                  <c:v>29</c:v>
                </c:pt>
                <c:pt idx="4">
                  <c:v>23</c:v>
                </c:pt>
              </c:numCache>
            </c:numRef>
          </c:val>
          <c:extLst>
            <c:ext xmlns:c16="http://schemas.microsoft.com/office/drawing/2014/chart" uri="{C3380CC4-5D6E-409C-BE32-E72D297353CC}">
              <c16:uniqueId val="{00000000-2C42-4717-B19B-4030A30B06A3}"/>
            </c:ext>
          </c:extLst>
        </c:ser>
        <c:dLbls>
          <c:showLegendKey val="0"/>
          <c:showVal val="0"/>
          <c:showCatName val="0"/>
          <c:showSerName val="0"/>
          <c:showPercent val="0"/>
          <c:showBubbleSize val="0"/>
        </c:dLbls>
        <c:gapWidth val="182"/>
        <c:axId val="491351376"/>
        <c:axId val="491337456"/>
      </c:barChart>
      <c:catAx>
        <c:axId val="4913513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91337456"/>
        <c:crosses val="autoZero"/>
        <c:auto val="1"/>
        <c:lblAlgn val="ctr"/>
        <c:lblOffset val="100"/>
        <c:noMultiLvlLbl val="0"/>
      </c:catAx>
      <c:valAx>
        <c:axId val="491337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91351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Процент ответивших </c:v>
                </c:pt>
              </c:strCache>
            </c:strRef>
          </c:tx>
          <c:dPt>
            <c:idx val="0"/>
            <c:bubble3D val="0"/>
            <c:spPr>
              <a:gradFill rotWithShape="1">
                <a:gsLst>
                  <a:gs pos="0">
                    <a:schemeClr val="dk1">
                      <a:tint val="88500"/>
                      <a:lumMod val="110000"/>
                      <a:satMod val="105000"/>
                      <a:tint val="67000"/>
                    </a:schemeClr>
                  </a:gs>
                  <a:gs pos="50000">
                    <a:schemeClr val="dk1">
                      <a:tint val="88500"/>
                      <a:lumMod val="105000"/>
                      <a:satMod val="103000"/>
                      <a:tint val="73000"/>
                    </a:schemeClr>
                  </a:gs>
                  <a:gs pos="100000">
                    <a:schemeClr val="dk1">
                      <a:tint val="88500"/>
                      <a:lumMod val="105000"/>
                      <a:satMod val="109000"/>
                      <a:tint val="81000"/>
                    </a:schemeClr>
                  </a:gs>
                </a:gsLst>
                <a:lin ang="5400000" scaled="0"/>
              </a:gradFill>
              <a:ln w="9525" cap="flat" cmpd="sng" algn="ctr">
                <a:solidFill>
                  <a:schemeClr val="dk1">
                    <a:tint val="88500"/>
                    <a:shade val="95000"/>
                  </a:schemeClr>
                </a:solidFill>
                <a:round/>
              </a:ln>
              <a:effectLst/>
            </c:spPr>
            <c:extLst>
              <c:ext xmlns:c16="http://schemas.microsoft.com/office/drawing/2014/chart" uri="{C3380CC4-5D6E-409C-BE32-E72D297353CC}">
                <c16:uniqueId val="{00000001-87AE-4FE9-B72F-990845F5FD7F}"/>
              </c:ext>
            </c:extLst>
          </c:dPt>
          <c:dPt>
            <c:idx val="1"/>
            <c:bubble3D val="0"/>
            <c:spPr>
              <a:gradFill rotWithShape="1">
                <a:gsLst>
                  <a:gs pos="0">
                    <a:schemeClr val="dk1">
                      <a:tint val="55000"/>
                      <a:lumMod val="110000"/>
                      <a:satMod val="105000"/>
                      <a:tint val="67000"/>
                    </a:schemeClr>
                  </a:gs>
                  <a:gs pos="50000">
                    <a:schemeClr val="dk1">
                      <a:tint val="55000"/>
                      <a:lumMod val="105000"/>
                      <a:satMod val="103000"/>
                      <a:tint val="73000"/>
                    </a:schemeClr>
                  </a:gs>
                  <a:gs pos="100000">
                    <a:schemeClr val="dk1">
                      <a:tint val="55000"/>
                      <a:lumMod val="105000"/>
                      <a:satMod val="109000"/>
                      <a:tint val="81000"/>
                    </a:schemeClr>
                  </a:gs>
                </a:gsLst>
                <a:lin ang="5400000" scaled="0"/>
              </a:gradFill>
              <a:ln w="9525" cap="flat" cmpd="sng" algn="ctr">
                <a:solidFill>
                  <a:schemeClr val="dk1">
                    <a:tint val="55000"/>
                    <a:shade val="95000"/>
                  </a:schemeClr>
                </a:solidFill>
                <a:round/>
              </a:ln>
              <a:effectLst/>
            </c:spPr>
            <c:extLst>
              <c:ext xmlns:c16="http://schemas.microsoft.com/office/drawing/2014/chart" uri="{C3380CC4-5D6E-409C-BE32-E72D297353CC}">
                <c16:uniqueId val="{00000003-87AE-4FE9-B72F-990845F5FD7F}"/>
              </c:ext>
            </c:extLst>
          </c:dPt>
          <c:dPt>
            <c:idx val="2"/>
            <c:bubble3D val="0"/>
            <c:spPr>
              <a:gradFill rotWithShape="1">
                <a:gsLst>
                  <a:gs pos="0">
                    <a:schemeClr val="dk1">
                      <a:tint val="75000"/>
                      <a:lumMod val="110000"/>
                      <a:satMod val="105000"/>
                      <a:tint val="67000"/>
                    </a:schemeClr>
                  </a:gs>
                  <a:gs pos="50000">
                    <a:schemeClr val="dk1">
                      <a:tint val="75000"/>
                      <a:lumMod val="105000"/>
                      <a:satMod val="103000"/>
                      <a:tint val="73000"/>
                    </a:schemeClr>
                  </a:gs>
                  <a:gs pos="100000">
                    <a:schemeClr val="dk1">
                      <a:tint val="75000"/>
                      <a:lumMod val="105000"/>
                      <a:satMod val="109000"/>
                      <a:tint val="81000"/>
                    </a:schemeClr>
                  </a:gs>
                </a:gsLst>
                <a:lin ang="5400000" scaled="0"/>
              </a:gradFill>
              <a:ln w="9525" cap="flat" cmpd="sng" algn="ctr">
                <a:solidFill>
                  <a:schemeClr val="dk1">
                    <a:tint val="75000"/>
                    <a:shade val="95000"/>
                  </a:schemeClr>
                </a:solidFill>
                <a:round/>
              </a:ln>
              <a:effectLst/>
            </c:spPr>
            <c:extLst>
              <c:ext xmlns:c16="http://schemas.microsoft.com/office/drawing/2014/chart" uri="{C3380CC4-5D6E-409C-BE32-E72D297353CC}">
                <c16:uniqueId val="{00000005-87AE-4FE9-B72F-990845F5FD7F}"/>
              </c:ext>
            </c:extLst>
          </c:dPt>
          <c:dPt>
            <c:idx val="3"/>
            <c:bubble3D val="0"/>
            <c:spPr>
              <a:gradFill rotWithShape="1">
                <a:gsLst>
                  <a:gs pos="0">
                    <a:schemeClr val="dk1">
                      <a:tint val="98500"/>
                      <a:lumMod val="110000"/>
                      <a:satMod val="105000"/>
                      <a:tint val="67000"/>
                    </a:schemeClr>
                  </a:gs>
                  <a:gs pos="50000">
                    <a:schemeClr val="dk1">
                      <a:tint val="98500"/>
                      <a:lumMod val="105000"/>
                      <a:satMod val="103000"/>
                      <a:tint val="73000"/>
                    </a:schemeClr>
                  </a:gs>
                  <a:gs pos="100000">
                    <a:schemeClr val="dk1">
                      <a:tint val="98500"/>
                      <a:lumMod val="105000"/>
                      <a:satMod val="109000"/>
                      <a:tint val="81000"/>
                    </a:schemeClr>
                  </a:gs>
                </a:gsLst>
                <a:lin ang="5400000" scaled="0"/>
              </a:gradFill>
              <a:ln w="9525" cap="flat" cmpd="sng" algn="ctr">
                <a:solidFill>
                  <a:schemeClr val="dk1">
                    <a:tint val="98500"/>
                    <a:shade val="95000"/>
                  </a:schemeClr>
                </a:solidFill>
                <a:round/>
              </a:ln>
              <a:effectLst/>
            </c:spPr>
            <c:extLst>
              <c:ext xmlns:c16="http://schemas.microsoft.com/office/drawing/2014/chart" uri="{C3380CC4-5D6E-409C-BE32-E72D297353CC}">
                <c16:uniqueId val="{00000007-87AE-4FE9-B72F-990845F5FD7F}"/>
              </c:ext>
            </c:extLst>
          </c:dPt>
          <c:dPt>
            <c:idx val="4"/>
            <c:bubble3D val="0"/>
            <c:spPr>
              <a:gradFill rotWithShape="1">
                <a:gsLst>
                  <a:gs pos="0">
                    <a:schemeClr val="dk1">
                      <a:tint val="30000"/>
                      <a:lumMod val="110000"/>
                      <a:satMod val="105000"/>
                      <a:tint val="67000"/>
                    </a:schemeClr>
                  </a:gs>
                  <a:gs pos="50000">
                    <a:schemeClr val="dk1">
                      <a:tint val="30000"/>
                      <a:lumMod val="105000"/>
                      <a:satMod val="103000"/>
                      <a:tint val="73000"/>
                    </a:schemeClr>
                  </a:gs>
                  <a:gs pos="100000">
                    <a:schemeClr val="dk1">
                      <a:tint val="30000"/>
                      <a:lumMod val="105000"/>
                      <a:satMod val="109000"/>
                      <a:tint val="81000"/>
                    </a:schemeClr>
                  </a:gs>
                </a:gsLst>
                <a:lin ang="5400000" scaled="0"/>
              </a:gradFill>
              <a:ln w="9525" cap="flat" cmpd="sng" algn="ctr">
                <a:solidFill>
                  <a:schemeClr val="dk1">
                    <a:tint val="30000"/>
                    <a:shade val="95000"/>
                  </a:schemeClr>
                </a:solidFill>
                <a:round/>
              </a:ln>
              <a:effectLst/>
            </c:spPr>
            <c:extLst>
              <c:ext xmlns:c16="http://schemas.microsoft.com/office/drawing/2014/chart" uri="{C3380CC4-5D6E-409C-BE32-E72D297353CC}">
                <c16:uniqueId val="{00000009-87AE-4FE9-B72F-990845F5FD7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Лист1!$A$2:$A$6</c:f>
              <c:strCache>
                <c:ptCount val="5"/>
                <c:pt idx="0">
                  <c:v>Уровень заработной платы</c:v>
                </c:pt>
                <c:pt idx="1">
                  <c:v>Возможности для карьерного роста</c:v>
                </c:pt>
                <c:pt idx="2">
                  <c:v>Уровень жизни и безопасности</c:v>
                </c:pt>
                <c:pt idx="3">
                  <c:v>Культурная среда и климат</c:v>
                </c:pt>
                <c:pt idx="4">
                  <c:v>Простота получения рабочей визы </c:v>
                </c:pt>
              </c:strCache>
            </c:strRef>
          </c:cat>
          <c:val>
            <c:numRef>
              <c:f>Лист1!$B$2:$B$6</c:f>
              <c:numCache>
                <c:formatCode>General</c:formatCode>
                <c:ptCount val="5"/>
                <c:pt idx="0">
                  <c:v>36</c:v>
                </c:pt>
                <c:pt idx="1">
                  <c:v>14</c:v>
                </c:pt>
                <c:pt idx="2">
                  <c:v>26</c:v>
                </c:pt>
                <c:pt idx="3">
                  <c:v>13</c:v>
                </c:pt>
                <c:pt idx="4">
                  <c:v>11</c:v>
                </c:pt>
              </c:numCache>
            </c:numRef>
          </c:val>
          <c:extLst>
            <c:ext xmlns:c16="http://schemas.microsoft.com/office/drawing/2014/chart" uri="{C3380CC4-5D6E-409C-BE32-E72D297353CC}">
              <c16:uniqueId val="{00000000-27D3-4505-AC47-DB01978C439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252</TotalTime>
  <Pages>5</Pages>
  <Words>2003</Words>
  <Characters>11418</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13395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16</cp:revision>
  <cp:lastPrinted>2026-03-22T14:08:00Z</cp:lastPrinted>
  <dcterms:created xsi:type="dcterms:W3CDTF">2026-03-13T15:42:00Z</dcterms:created>
  <dcterms:modified xsi:type="dcterms:W3CDTF">2026-03-22T14:26:00Z</dcterms:modified>
</cp:coreProperties>
</file>