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83F45F" w14:textId="5873CC23" w:rsidR="0020406E" w:rsidRPr="004A4506" w:rsidRDefault="0020406E" w:rsidP="004A4506">
      <w:pPr>
        <w:adjustRightInd w:val="0"/>
        <w:snapToGrid w:val="0"/>
        <w:ind w:firstLineChars="125" w:firstLine="300"/>
        <w:jc w:val="left"/>
        <w:rPr>
          <w:rFonts w:ascii="Times New Roman" w:hAnsi="Times New Roman" w:cs="Times New Roman"/>
          <w:b/>
          <w:bCs/>
          <w:sz w:val="24"/>
          <w:szCs w:val="24"/>
          <w:lang w:val="ru-RU"/>
        </w:rPr>
      </w:pPr>
      <w:r w:rsidRPr="004A4506">
        <w:rPr>
          <w:rFonts w:ascii="Times New Roman" w:hAnsi="Times New Roman" w:cs="Times New Roman"/>
          <w:b/>
          <w:bCs/>
          <w:sz w:val="24"/>
          <w:szCs w:val="24"/>
        </w:rPr>
        <w:t xml:space="preserve">УДК </w:t>
      </w:r>
      <w:r w:rsidRPr="004A4506">
        <w:rPr>
          <w:rFonts w:ascii="Times New Roman" w:hAnsi="Times New Roman" w:cs="Times New Roman"/>
          <w:b/>
          <w:bCs/>
          <w:sz w:val="24"/>
          <w:szCs w:val="24"/>
          <w:lang w:val="ru-RU"/>
        </w:rPr>
        <w:t>33.331</w:t>
      </w:r>
    </w:p>
    <w:p w14:paraId="22EE693A" w14:textId="3B23626E" w:rsidR="00AC54FC" w:rsidRPr="004A4506" w:rsidRDefault="00FC61E0" w:rsidP="004A4506">
      <w:pPr>
        <w:adjustRightInd w:val="0"/>
        <w:snapToGrid w:val="0"/>
        <w:ind w:firstLineChars="125" w:firstLine="300"/>
        <w:jc w:val="right"/>
        <w:rPr>
          <w:rFonts w:ascii="Times New Roman" w:hAnsi="Times New Roman" w:cs="Times New Roman"/>
          <w:b/>
          <w:bCs/>
          <w:sz w:val="24"/>
          <w:szCs w:val="24"/>
          <w:lang w:val="ru-RU"/>
        </w:rPr>
      </w:pPr>
      <w:r w:rsidRPr="004A4506">
        <w:rPr>
          <w:rFonts w:ascii="Times New Roman" w:hAnsi="Times New Roman" w:cs="Times New Roman"/>
          <w:b/>
          <w:bCs/>
          <w:sz w:val="24"/>
          <w:szCs w:val="24"/>
        </w:rPr>
        <w:t xml:space="preserve">Гневашева </w:t>
      </w:r>
      <w:r w:rsidRPr="004A4506">
        <w:rPr>
          <w:rFonts w:ascii="Times New Roman" w:hAnsi="Times New Roman" w:cs="Times New Roman"/>
          <w:b/>
          <w:bCs/>
          <w:sz w:val="24"/>
          <w:szCs w:val="24"/>
          <w:lang w:val="ru-RU"/>
        </w:rPr>
        <w:t>В.А.</w:t>
      </w:r>
    </w:p>
    <w:p w14:paraId="0AE2B73A" w14:textId="7E0384D0" w:rsidR="008B621E" w:rsidRPr="004A4506" w:rsidRDefault="008B621E" w:rsidP="004A4506">
      <w:pPr>
        <w:adjustRightInd w:val="0"/>
        <w:snapToGrid w:val="0"/>
        <w:ind w:firstLineChars="125" w:firstLine="300"/>
        <w:jc w:val="center"/>
        <w:rPr>
          <w:rFonts w:ascii="Times New Roman" w:hAnsi="Times New Roman" w:cs="Times New Roman"/>
          <w:b/>
          <w:bCs/>
          <w:caps/>
          <w:sz w:val="24"/>
          <w:szCs w:val="24"/>
          <w:lang w:val="ru-RU"/>
        </w:rPr>
      </w:pPr>
      <w:r w:rsidRPr="004A4506">
        <w:rPr>
          <w:rFonts w:ascii="Times New Roman" w:hAnsi="Times New Roman" w:cs="Times New Roman"/>
          <w:b/>
          <w:bCs/>
          <w:caps/>
          <w:sz w:val="24"/>
          <w:szCs w:val="24"/>
          <w:lang w:val="ru-RU"/>
        </w:rPr>
        <w:t xml:space="preserve">Образование как </w:t>
      </w:r>
      <w:r w:rsidRPr="004A4506">
        <w:rPr>
          <w:rFonts w:ascii="Times New Roman" w:hAnsi="Times New Roman" w:cs="Times New Roman"/>
          <w:b/>
          <w:bCs/>
          <w:caps/>
          <w:sz w:val="24"/>
          <w:szCs w:val="24"/>
          <w:lang w:val="ru-RU"/>
        </w:rPr>
        <w:t xml:space="preserve">фактор национальной </w:t>
      </w:r>
      <w:r w:rsidRPr="004A4506">
        <w:rPr>
          <w:rFonts w:ascii="Times New Roman" w:hAnsi="Times New Roman" w:cs="Times New Roman"/>
          <w:b/>
          <w:bCs/>
          <w:caps/>
          <w:sz w:val="24"/>
          <w:szCs w:val="24"/>
          <w:lang w:val="ru-RU"/>
        </w:rPr>
        <w:t>трансформации рынка труда</w:t>
      </w:r>
    </w:p>
    <w:p w14:paraId="3C52397D" w14:textId="77777777" w:rsidR="0020406E" w:rsidRPr="004A4506" w:rsidRDefault="0020406E" w:rsidP="004A4506">
      <w:pPr>
        <w:adjustRightInd w:val="0"/>
        <w:snapToGrid w:val="0"/>
        <w:ind w:firstLineChars="125" w:firstLine="300"/>
        <w:rPr>
          <w:rFonts w:ascii="Times New Roman" w:hAnsi="Times New Roman" w:cs="Times New Roman"/>
          <w:sz w:val="24"/>
          <w:szCs w:val="24"/>
          <w:lang w:val="ru-RU"/>
        </w:rPr>
      </w:pPr>
    </w:p>
    <w:p w14:paraId="369BD189" w14:textId="01914009" w:rsidR="008B621E" w:rsidRPr="004A4506" w:rsidRDefault="00FC61E0" w:rsidP="004A4506">
      <w:pPr>
        <w:adjustRightInd w:val="0"/>
        <w:snapToGrid w:val="0"/>
        <w:ind w:firstLineChars="125" w:firstLine="300"/>
        <w:rPr>
          <w:rFonts w:ascii="Times New Roman" w:hAnsi="Times New Roman" w:cs="Times New Roman"/>
          <w:b/>
          <w:bCs/>
          <w:sz w:val="24"/>
          <w:szCs w:val="24"/>
          <w:lang w:val="ru-RU"/>
        </w:rPr>
      </w:pPr>
      <w:r w:rsidRPr="004A4506">
        <w:rPr>
          <w:rFonts w:ascii="Times New Roman" w:hAnsi="Times New Roman" w:cs="Times New Roman"/>
          <w:b/>
          <w:bCs/>
          <w:sz w:val="24"/>
          <w:szCs w:val="24"/>
          <w:lang w:val="ru-RU"/>
        </w:rPr>
        <w:t>Аннотация</w:t>
      </w:r>
    </w:p>
    <w:p w14:paraId="2A35D42E" w14:textId="71B8ECC0" w:rsidR="00FC61E0" w:rsidRPr="004A4506" w:rsidRDefault="0066290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Приведен</w:t>
      </w:r>
      <w:r w:rsidR="00FC61E0" w:rsidRPr="004A4506">
        <w:rPr>
          <w:rFonts w:ascii="Times New Roman" w:hAnsi="Times New Roman" w:cs="Times New Roman"/>
          <w:sz w:val="24"/>
          <w:szCs w:val="24"/>
          <w:lang w:val="ru-RU"/>
        </w:rPr>
        <w:t xml:space="preserve"> анализ стратегическ</w:t>
      </w:r>
      <w:r w:rsidRPr="004A4506">
        <w:rPr>
          <w:rFonts w:ascii="Times New Roman" w:hAnsi="Times New Roman" w:cs="Times New Roman"/>
          <w:sz w:val="24"/>
          <w:szCs w:val="24"/>
          <w:lang w:val="ru-RU"/>
        </w:rPr>
        <w:t>ой</w:t>
      </w:r>
      <w:r w:rsidR="00FC61E0" w:rsidRPr="004A4506">
        <w:rPr>
          <w:rFonts w:ascii="Times New Roman" w:hAnsi="Times New Roman" w:cs="Times New Roman"/>
          <w:sz w:val="24"/>
          <w:szCs w:val="24"/>
          <w:lang w:val="ru-RU"/>
        </w:rPr>
        <w:t xml:space="preserve"> рол</w:t>
      </w:r>
      <w:r w:rsidRPr="004A4506">
        <w:rPr>
          <w:rFonts w:ascii="Times New Roman" w:hAnsi="Times New Roman" w:cs="Times New Roman"/>
          <w:sz w:val="24"/>
          <w:szCs w:val="24"/>
          <w:lang w:val="ru-RU"/>
        </w:rPr>
        <w:t>и</w:t>
      </w:r>
      <w:r w:rsidR="00FC61E0" w:rsidRPr="004A4506">
        <w:rPr>
          <w:rFonts w:ascii="Times New Roman" w:hAnsi="Times New Roman" w:cs="Times New Roman"/>
          <w:sz w:val="24"/>
          <w:szCs w:val="24"/>
          <w:lang w:val="ru-RU"/>
        </w:rPr>
        <w:t xml:space="preserve"> системы образования как ключевого драйвера трансформации национального рынка труда. Рассматривается влияние глобальных факторов, таких как цифровая экономика и технологические сдвиги (Индустрия 4.0), на изменение спроса на рабочую силу. </w:t>
      </w:r>
      <w:r w:rsidRPr="004A4506">
        <w:rPr>
          <w:rFonts w:ascii="Times New Roman" w:hAnsi="Times New Roman" w:cs="Times New Roman"/>
          <w:sz w:val="24"/>
          <w:szCs w:val="24"/>
          <w:lang w:val="ru-RU"/>
        </w:rPr>
        <w:t>П</w:t>
      </w:r>
      <w:r w:rsidR="00FC61E0" w:rsidRPr="004A4506">
        <w:rPr>
          <w:rFonts w:ascii="Times New Roman" w:hAnsi="Times New Roman" w:cs="Times New Roman"/>
          <w:sz w:val="24"/>
          <w:szCs w:val="24"/>
          <w:lang w:val="ru-RU"/>
        </w:rPr>
        <w:t>одчеркивает</w:t>
      </w:r>
      <w:r w:rsidRPr="004A4506">
        <w:rPr>
          <w:rFonts w:ascii="Times New Roman" w:hAnsi="Times New Roman" w:cs="Times New Roman"/>
          <w:sz w:val="24"/>
          <w:szCs w:val="24"/>
          <w:lang w:val="ru-RU"/>
        </w:rPr>
        <w:t>ся</w:t>
      </w:r>
      <w:r w:rsidR="00FC61E0" w:rsidRPr="004A4506">
        <w:rPr>
          <w:rFonts w:ascii="Times New Roman" w:hAnsi="Times New Roman" w:cs="Times New Roman"/>
          <w:sz w:val="24"/>
          <w:szCs w:val="24"/>
          <w:lang w:val="ru-RU"/>
        </w:rPr>
        <w:t xml:space="preserve"> необходимость перехода от традиционной модели обучения к концепции непрерывного образования. Особое внимание уделяется проблеме структурного дисбаланса и дефицита компетенций.</w:t>
      </w:r>
      <w:r w:rsidR="0020406E" w:rsidRPr="004A4506">
        <w:rPr>
          <w:rFonts w:ascii="Times New Roman" w:hAnsi="Times New Roman" w:cs="Times New Roman"/>
          <w:sz w:val="24"/>
          <w:szCs w:val="24"/>
          <w:lang w:val="ru-RU"/>
        </w:rPr>
        <w:t xml:space="preserve"> </w:t>
      </w:r>
    </w:p>
    <w:p w14:paraId="3194DCBD" w14:textId="2B039B04" w:rsidR="00E8066F" w:rsidRPr="004A4506" w:rsidRDefault="00E8066F"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b/>
          <w:bCs/>
          <w:sz w:val="24"/>
          <w:szCs w:val="24"/>
          <w:lang w:val="ru-RU"/>
        </w:rPr>
        <w:t>Ключевые слова</w:t>
      </w:r>
      <w:r w:rsidRPr="004A4506">
        <w:rPr>
          <w:rFonts w:ascii="Times New Roman" w:hAnsi="Times New Roman" w:cs="Times New Roman"/>
          <w:sz w:val="24"/>
          <w:szCs w:val="24"/>
          <w:lang w:val="ru-RU"/>
        </w:rPr>
        <w:t>: рынок труда, человеческий капитал, дефицит компетенций, цифровая экономика, региональное развитие.</w:t>
      </w:r>
    </w:p>
    <w:p w14:paraId="7CFA8387" w14:textId="77777777" w:rsidR="00E8066F" w:rsidRPr="004A4506" w:rsidRDefault="00E8066F" w:rsidP="004A4506">
      <w:pPr>
        <w:adjustRightInd w:val="0"/>
        <w:snapToGrid w:val="0"/>
        <w:ind w:firstLineChars="125" w:firstLine="300"/>
        <w:rPr>
          <w:rFonts w:ascii="Times New Roman" w:hAnsi="Times New Roman" w:cs="Times New Roman"/>
          <w:sz w:val="24"/>
          <w:szCs w:val="24"/>
          <w:lang w:val="ru-RU"/>
        </w:rPr>
      </w:pPr>
    </w:p>
    <w:p w14:paraId="225A08CC" w14:textId="580A496D" w:rsidR="00403818"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b/>
          <w:bCs/>
          <w:sz w:val="24"/>
          <w:szCs w:val="24"/>
          <w:lang w:val="ru-RU"/>
        </w:rPr>
        <w:t>Введение.</w:t>
      </w:r>
      <w:r w:rsidRPr="004A4506">
        <w:rPr>
          <w:rFonts w:ascii="Times New Roman" w:hAnsi="Times New Roman" w:cs="Times New Roman"/>
          <w:sz w:val="24"/>
          <w:szCs w:val="24"/>
          <w:lang w:val="ru-RU"/>
        </w:rPr>
        <w:t xml:space="preserve"> </w:t>
      </w:r>
      <w:r w:rsidR="008B621E" w:rsidRPr="004A4506">
        <w:rPr>
          <w:rFonts w:ascii="Times New Roman" w:hAnsi="Times New Roman" w:cs="Times New Roman"/>
          <w:sz w:val="24"/>
          <w:szCs w:val="24"/>
          <w:lang w:val="ru-RU"/>
        </w:rPr>
        <w:t>В XXI веке экономика знаний стала безальтернативной реальностью. Если в индустриальную эпоху главными факторами производства были земля, капитал и труд, то сегодня на первый план выходит человеческий капитал. В этих условиях система образования перестает быть просто социальной услугой или этапом биографии человека. Она превращается в стратегический инструмент национальной безопасности и экономического суверенитета. Образование сегодня — это не просто подготовка кадров, это фундамент, на котором строится трансформация всего рынка труда.</w:t>
      </w:r>
    </w:p>
    <w:p w14:paraId="2C96A071" w14:textId="77777777"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b/>
          <w:bCs/>
          <w:sz w:val="24"/>
          <w:szCs w:val="24"/>
          <w:lang w:val="ru-RU"/>
        </w:rPr>
        <w:t>Обзор литературы.</w:t>
      </w:r>
      <w:r w:rsidRPr="004A4506">
        <w:rPr>
          <w:rFonts w:ascii="Times New Roman" w:hAnsi="Times New Roman" w:cs="Times New Roman"/>
          <w:sz w:val="24"/>
          <w:szCs w:val="24"/>
          <w:lang w:val="ru-RU"/>
        </w:rPr>
        <w:t xml:space="preserve"> </w:t>
      </w:r>
      <w:r w:rsidRPr="004A4506">
        <w:rPr>
          <w:rFonts w:ascii="Times New Roman" w:hAnsi="Times New Roman" w:cs="Times New Roman"/>
          <w:sz w:val="24"/>
          <w:szCs w:val="24"/>
          <w:lang w:val="ru-RU"/>
        </w:rPr>
        <w:t>Современные трансформации в сфере образования и на рынке труда, обусловленные цифровизацией и технологическими изменениями, становятся предметом активного научного дискурса. В данном обзоре проанализированы семь научных публикаций 2020–2025 гг., посвящённых взаимосвязи образовательных услуг и рынка труда в условиях цифровой трансформации.</w:t>
      </w:r>
    </w:p>
    <w:p w14:paraId="20E614ED" w14:textId="03AA0536"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Ц</w:t>
      </w:r>
      <w:r w:rsidRPr="004A4506">
        <w:rPr>
          <w:rFonts w:ascii="Times New Roman" w:hAnsi="Times New Roman" w:cs="Times New Roman"/>
          <w:sz w:val="24"/>
          <w:szCs w:val="24"/>
          <w:lang w:val="ru-RU"/>
        </w:rPr>
        <w:t>ифровизация рассматривается исследователями как ключевой фактор, изменяющий традиционные механизмы взаимодействия между системой образования и рынком труда. Джалилзода (2025) подчёркивает, что цифровые технологии не просто модернизируют образовательные процессы, но формируют новую архитектуру взаимосвязей, где данные о компетенциях, спросе на профессии и траекториях занятости становятся основой для принятия управленческих решений (Джалилзода, 2025).</w:t>
      </w:r>
    </w:p>
    <w:p w14:paraId="7EE276E0" w14:textId="57FB0102" w:rsidR="009F4D7B" w:rsidRPr="004A4506" w:rsidRDefault="004A4506" w:rsidP="004A4506">
      <w:pPr>
        <w:adjustRightInd w:val="0"/>
        <w:snapToGrid w:val="0"/>
        <w:ind w:firstLineChars="125" w:firstLine="300"/>
        <w:rPr>
          <w:rFonts w:ascii="Times New Roman" w:hAnsi="Times New Roman" w:cs="Times New Roman"/>
          <w:sz w:val="24"/>
          <w:szCs w:val="24"/>
          <w:lang w:val="ru-RU"/>
        </w:rPr>
      </w:pPr>
      <w:r>
        <w:rPr>
          <w:rFonts w:ascii="Times New Roman" w:hAnsi="Times New Roman" w:cs="Times New Roman"/>
          <w:sz w:val="24"/>
          <w:szCs w:val="24"/>
          <w:lang w:val="ru-RU"/>
        </w:rPr>
        <w:t>Исследователи отмечают, что</w:t>
      </w:r>
      <w:r w:rsidR="009F4D7B" w:rsidRPr="004A4506">
        <w:rPr>
          <w:rFonts w:ascii="Times New Roman" w:hAnsi="Times New Roman" w:cs="Times New Roman"/>
          <w:sz w:val="24"/>
          <w:szCs w:val="24"/>
          <w:lang w:val="ru-RU"/>
        </w:rPr>
        <w:t xml:space="preserve"> цифровая трансформация общества создаёт предпосылки для появления новых профессиональных стандартов и требует пересмотра подходов к подготовке кадров. Авторы отмечают, что «цифровая грамотность» перестаёт быть дополнительной компетенцией и становится базовым требованием для большинства профессий (Кудрицкая, Наумов, 2025).</w:t>
      </w:r>
      <w:r w:rsidR="009F4D7B" w:rsidRPr="004A4506">
        <w:rPr>
          <w:rFonts w:ascii="Times New Roman" w:hAnsi="Times New Roman" w:cs="Times New Roman"/>
          <w:sz w:val="24"/>
          <w:szCs w:val="24"/>
          <w:lang w:val="ru-RU"/>
        </w:rPr>
        <w:t xml:space="preserve"> </w:t>
      </w:r>
    </w:p>
    <w:p w14:paraId="653F6669" w14:textId="1F47EFB5"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Исследователи</w:t>
      </w:r>
      <w:r w:rsidRPr="004A4506">
        <w:rPr>
          <w:rFonts w:ascii="Times New Roman" w:hAnsi="Times New Roman" w:cs="Times New Roman"/>
          <w:sz w:val="24"/>
          <w:szCs w:val="24"/>
          <w:lang w:val="ru-RU"/>
        </w:rPr>
        <w:t xml:space="preserve"> вводят в научный оборот концепцию «Образование 5.0», которая рассматривается как системный ответ на трансформацию современной индустрии. В отличие от предыдущих моделей, акцент смещается с передачи знаний на развитие адаптивных компетенций, критического мышления и способности к непрерывному обучению. Авторы подчёркивают, что «гибкость образовательных траекторий и персонализация обучения становятся ключевыми условиями соответствия подготовки кадров динамичным требованиям рынка» (Олейникова, Редина, 2025).</w:t>
      </w:r>
    </w:p>
    <w:p w14:paraId="12AB7E9B" w14:textId="66F5AA13"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 xml:space="preserve">Проблема поддержания конкурентоспособности специалистов в условиях быстрых изменений профессиональной среды рассматривается в нескольких работах. </w:t>
      </w:r>
      <w:r w:rsidRPr="004A4506">
        <w:rPr>
          <w:rFonts w:ascii="Times New Roman" w:hAnsi="Times New Roman" w:cs="Times New Roman"/>
          <w:sz w:val="24"/>
          <w:szCs w:val="24"/>
          <w:lang w:val="ru-RU"/>
        </w:rPr>
        <w:t xml:space="preserve">В исследованиях </w:t>
      </w:r>
      <w:r w:rsidRPr="004A4506">
        <w:rPr>
          <w:rFonts w:ascii="Times New Roman" w:hAnsi="Times New Roman" w:cs="Times New Roman"/>
          <w:sz w:val="24"/>
          <w:szCs w:val="24"/>
          <w:lang w:val="ru-RU"/>
        </w:rPr>
        <w:t xml:space="preserve"> обосновыва</w:t>
      </w:r>
      <w:r w:rsidRPr="004A4506">
        <w:rPr>
          <w:rFonts w:ascii="Times New Roman" w:hAnsi="Times New Roman" w:cs="Times New Roman"/>
          <w:sz w:val="24"/>
          <w:szCs w:val="24"/>
          <w:lang w:val="ru-RU"/>
        </w:rPr>
        <w:t>ется</w:t>
      </w:r>
      <w:r w:rsidRPr="004A4506">
        <w:rPr>
          <w:rFonts w:ascii="Times New Roman" w:hAnsi="Times New Roman" w:cs="Times New Roman"/>
          <w:sz w:val="24"/>
          <w:szCs w:val="24"/>
          <w:lang w:val="ru-RU"/>
        </w:rPr>
        <w:t xml:space="preserve"> необходимость построения системы профессионального образования «через всю жизнь» (lifelong learning), которая позволяет работникам своевременно актуализировать компетенции. При этом авторы отмечают, что эффективность такой системы зависит от </w:t>
      </w:r>
      <w:r w:rsidRPr="004A4506">
        <w:rPr>
          <w:rFonts w:ascii="Times New Roman" w:hAnsi="Times New Roman" w:cs="Times New Roman"/>
          <w:sz w:val="24"/>
          <w:szCs w:val="24"/>
          <w:lang w:val="ru-RU"/>
        </w:rPr>
        <w:lastRenderedPageBreak/>
        <w:t>координации усилий образовательных организаций, работодателей и государственных структур (Гриненко и др., 2020).</w:t>
      </w:r>
    </w:p>
    <w:p w14:paraId="121AC2D1" w14:textId="0AE4828D"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Авторы ф</w:t>
      </w:r>
      <w:r w:rsidRPr="004A4506">
        <w:rPr>
          <w:rFonts w:ascii="Times New Roman" w:hAnsi="Times New Roman" w:cs="Times New Roman"/>
          <w:sz w:val="24"/>
          <w:szCs w:val="24"/>
          <w:lang w:val="ru-RU"/>
        </w:rPr>
        <w:t>окусируют</w:t>
      </w:r>
      <w:r w:rsidRPr="004A4506">
        <w:rPr>
          <w:rFonts w:ascii="Times New Roman" w:hAnsi="Times New Roman" w:cs="Times New Roman"/>
          <w:sz w:val="24"/>
          <w:szCs w:val="24"/>
          <w:lang w:val="ru-RU"/>
        </w:rPr>
        <w:t xml:space="preserve"> внимание</w:t>
      </w:r>
      <w:r w:rsidRPr="004A4506">
        <w:rPr>
          <w:rFonts w:ascii="Times New Roman" w:hAnsi="Times New Roman" w:cs="Times New Roman"/>
          <w:sz w:val="24"/>
          <w:szCs w:val="24"/>
          <w:lang w:val="ru-RU"/>
        </w:rPr>
        <w:t xml:space="preserve"> на роли формального образования как фактора повышения конкурентоспособности. На основе эмпирических данных они демонстрируют, что наличие актуальных квалификаций и сертификатов значимо коррелирует с успешностью трудоустройства и уровнем доходов специалистов (Пацев, Эйсмонт, 2023).</w:t>
      </w:r>
    </w:p>
    <w:p w14:paraId="54A18822" w14:textId="7A75D433"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 xml:space="preserve">Проводятся </w:t>
      </w:r>
      <w:r w:rsidRPr="004A4506">
        <w:rPr>
          <w:rFonts w:ascii="Times New Roman" w:hAnsi="Times New Roman" w:cs="Times New Roman"/>
          <w:sz w:val="24"/>
          <w:szCs w:val="24"/>
          <w:lang w:val="ru-RU"/>
        </w:rPr>
        <w:t>исслед</w:t>
      </w:r>
      <w:r w:rsidRPr="004A4506">
        <w:rPr>
          <w:rFonts w:ascii="Times New Roman" w:hAnsi="Times New Roman" w:cs="Times New Roman"/>
          <w:sz w:val="24"/>
          <w:szCs w:val="24"/>
          <w:lang w:val="ru-RU"/>
        </w:rPr>
        <w:t>ования</w:t>
      </w:r>
      <w:r w:rsidRPr="004A4506">
        <w:rPr>
          <w:rFonts w:ascii="Times New Roman" w:hAnsi="Times New Roman" w:cs="Times New Roman"/>
          <w:sz w:val="24"/>
          <w:szCs w:val="24"/>
          <w:lang w:val="ru-RU"/>
        </w:rPr>
        <w:t xml:space="preserve"> потенциал</w:t>
      </w:r>
      <w:r w:rsidRPr="004A4506">
        <w:rPr>
          <w:rFonts w:ascii="Times New Roman" w:hAnsi="Times New Roman" w:cs="Times New Roman"/>
          <w:sz w:val="24"/>
          <w:szCs w:val="24"/>
          <w:lang w:val="ru-RU"/>
        </w:rPr>
        <w:t>а</w:t>
      </w:r>
      <w:r w:rsidRPr="004A4506">
        <w:rPr>
          <w:rFonts w:ascii="Times New Roman" w:hAnsi="Times New Roman" w:cs="Times New Roman"/>
          <w:sz w:val="24"/>
          <w:szCs w:val="24"/>
          <w:lang w:val="ru-RU"/>
        </w:rPr>
        <w:t xml:space="preserve"> дополнительного профессионального образования (ДПО) как инструмента адаптации молодых специалистов к требованиям рынка труда. Авторы приходят к выводу, что программы ДПО, ориентированные на практические навыки и проектное обучение, позволяют сократить разрыв между теоретической подготовкой в вузах и реальными запросами работодателей (Карповская, Пермякова, 2023).</w:t>
      </w:r>
    </w:p>
    <w:p w14:paraId="4855C4EF" w14:textId="0903562D"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А</w:t>
      </w:r>
      <w:r w:rsidRPr="004A4506">
        <w:rPr>
          <w:rFonts w:ascii="Times New Roman" w:hAnsi="Times New Roman" w:cs="Times New Roman"/>
          <w:sz w:val="24"/>
          <w:szCs w:val="24"/>
          <w:lang w:val="ru-RU"/>
        </w:rPr>
        <w:t>нализирует</w:t>
      </w:r>
      <w:r w:rsidRPr="004A4506">
        <w:rPr>
          <w:rFonts w:ascii="Times New Roman" w:hAnsi="Times New Roman" w:cs="Times New Roman"/>
          <w:sz w:val="24"/>
          <w:szCs w:val="24"/>
          <w:lang w:val="ru-RU"/>
        </w:rPr>
        <w:t>ся</w:t>
      </w:r>
      <w:r w:rsidRPr="004A4506">
        <w:rPr>
          <w:rFonts w:ascii="Times New Roman" w:hAnsi="Times New Roman" w:cs="Times New Roman"/>
          <w:sz w:val="24"/>
          <w:szCs w:val="24"/>
          <w:lang w:val="ru-RU"/>
        </w:rPr>
        <w:t xml:space="preserve"> зарубежный опыт интеграции рынка труда и институтов образования как фактора социально-экономического развития регионов. На примере стран ЕС и Азии автор выделяет успешные практики: создание региональных советов по развитию компетенций, внедрение систем прогнозирования спроса на профессии, развитие дуального образования. Особое внимание уделяется механизмам обратной связи между работодателями и образовательными организациями, которые позволяют оперативно корректировать содержание учебных программ (Жукова, 2023).</w:t>
      </w:r>
    </w:p>
    <w:p w14:paraId="4A520F63" w14:textId="14C6AD37"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Исследовательские р</w:t>
      </w:r>
      <w:r w:rsidRPr="004A4506">
        <w:rPr>
          <w:rFonts w:ascii="Times New Roman" w:hAnsi="Times New Roman" w:cs="Times New Roman"/>
          <w:sz w:val="24"/>
          <w:szCs w:val="24"/>
          <w:lang w:val="ru-RU"/>
        </w:rPr>
        <w:t>аботы демонстрируют разнообразие методологических подходов:</w:t>
      </w:r>
      <w:r w:rsidRPr="004A4506">
        <w:rPr>
          <w:rFonts w:ascii="Times New Roman" w:hAnsi="Times New Roman" w:cs="Times New Roman"/>
          <w:sz w:val="24"/>
          <w:szCs w:val="24"/>
          <w:lang w:val="ru-RU"/>
        </w:rPr>
        <w:t xml:space="preserve"> т</w:t>
      </w:r>
      <w:r w:rsidRPr="004A4506">
        <w:rPr>
          <w:rFonts w:ascii="Times New Roman" w:hAnsi="Times New Roman" w:cs="Times New Roman"/>
          <w:sz w:val="24"/>
          <w:szCs w:val="24"/>
          <w:lang w:val="ru-RU"/>
        </w:rPr>
        <w:t>еоретико-концептуальные исследования</w:t>
      </w:r>
      <w:r w:rsidRPr="004A4506">
        <w:rPr>
          <w:rFonts w:ascii="Times New Roman" w:hAnsi="Times New Roman" w:cs="Times New Roman"/>
          <w:sz w:val="24"/>
          <w:szCs w:val="24"/>
          <w:lang w:val="ru-RU"/>
        </w:rPr>
        <w:t xml:space="preserve">, которые </w:t>
      </w:r>
      <w:r w:rsidRPr="004A4506">
        <w:rPr>
          <w:rFonts w:ascii="Times New Roman" w:hAnsi="Times New Roman" w:cs="Times New Roman"/>
          <w:sz w:val="24"/>
          <w:szCs w:val="24"/>
          <w:lang w:val="ru-RU"/>
        </w:rPr>
        <w:t>фокусируются на разработке новых моделей и категорий;</w:t>
      </w:r>
      <w:r w:rsidRPr="004A4506">
        <w:rPr>
          <w:rFonts w:ascii="Times New Roman" w:hAnsi="Times New Roman" w:cs="Times New Roman"/>
          <w:sz w:val="24"/>
          <w:szCs w:val="24"/>
          <w:lang w:val="ru-RU"/>
        </w:rPr>
        <w:t xml:space="preserve"> э</w:t>
      </w:r>
      <w:r w:rsidRPr="004A4506">
        <w:rPr>
          <w:rFonts w:ascii="Times New Roman" w:hAnsi="Times New Roman" w:cs="Times New Roman"/>
          <w:sz w:val="24"/>
          <w:szCs w:val="24"/>
          <w:lang w:val="ru-RU"/>
        </w:rPr>
        <w:t>мпирические исследования</w:t>
      </w:r>
      <w:r w:rsidRPr="004A4506">
        <w:rPr>
          <w:rFonts w:ascii="Times New Roman" w:hAnsi="Times New Roman" w:cs="Times New Roman"/>
          <w:sz w:val="24"/>
          <w:szCs w:val="24"/>
          <w:lang w:val="ru-RU"/>
        </w:rPr>
        <w:t xml:space="preserve"> </w:t>
      </w:r>
      <w:r w:rsidRPr="004A4506">
        <w:rPr>
          <w:rFonts w:ascii="Times New Roman" w:hAnsi="Times New Roman" w:cs="Times New Roman"/>
          <w:sz w:val="24"/>
          <w:szCs w:val="24"/>
          <w:lang w:val="ru-RU"/>
        </w:rPr>
        <w:t>опираются на анализ статистических данных и результатов опросов;</w:t>
      </w:r>
      <w:r w:rsidRPr="004A4506">
        <w:rPr>
          <w:rFonts w:ascii="Times New Roman" w:hAnsi="Times New Roman" w:cs="Times New Roman"/>
          <w:sz w:val="24"/>
          <w:szCs w:val="24"/>
          <w:lang w:val="ru-RU"/>
        </w:rPr>
        <w:t xml:space="preserve"> с</w:t>
      </w:r>
      <w:r w:rsidRPr="004A4506">
        <w:rPr>
          <w:rFonts w:ascii="Times New Roman" w:hAnsi="Times New Roman" w:cs="Times New Roman"/>
          <w:sz w:val="24"/>
          <w:szCs w:val="24"/>
          <w:lang w:val="ru-RU"/>
        </w:rPr>
        <w:t>равнительно-аналитические работы используют методы сопоставления институциональных практик разных стран.</w:t>
      </w:r>
    </w:p>
    <w:p w14:paraId="4C454737" w14:textId="4B3A6D15" w:rsidR="008B621E"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b/>
          <w:bCs/>
          <w:sz w:val="24"/>
          <w:szCs w:val="24"/>
          <w:lang w:val="ru-RU"/>
        </w:rPr>
        <w:t>Результаты исследования.</w:t>
      </w:r>
      <w:r w:rsidRPr="004A4506">
        <w:rPr>
          <w:rFonts w:ascii="Times New Roman" w:hAnsi="Times New Roman" w:cs="Times New Roman"/>
          <w:sz w:val="24"/>
          <w:szCs w:val="24"/>
          <w:lang w:val="ru-RU"/>
        </w:rPr>
        <w:t xml:space="preserve"> </w:t>
      </w:r>
      <w:r w:rsidR="008B621E" w:rsidRPr="004A4506">
        <w:rPr>
          <w:rFonts w:ascii="Times New Roman" w:hAnsi="Times New Roman" w:cs="Times New Roman"/>
          <w:sz w:val="24"/>
          <w:szCs w:val="24"/>
          <w:lang w:val="ru-RU"/>
        </w:rPr>
        <w:t>Национальные рынки труда по всему миру переживают тектонические сдвиги. Этому способствуют несколько глобальных факторов:</w:t>
      </w:r>
    </w:p>
    <w:p w14:paraId="1500D91A" w14:textId="0782F870"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1.  Технологическая революция (Индустрия 4.0). Внедрение искусственного интеллекта, робототехники и больших данных автоматизирует рутинные процессы. Профессии, связанные с повторяющимися действиями, исчезают, уступая место ролям, требующим креативности и управления технологиями.</w:t>
      </w:r>
    </w:p>
    <w:p w14:paraId="5C956C92" w14:textId="2DFB9AA3"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2.  Глобализация и удаленная работа. Границы между национальными рынками стираются. Специалист из одной страны может конкурировать за вакансию с сотрудником из другой, не покидая своего дома. Это повышает требования к квалификации и знанию языков.</w:t>
      </w:r>
    </w:p>
    <w:p w14:paraId="6B730ABB" w14:textId="1DFAE861"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3.  Демографические изменения. Старение населения в развитых странах и изменение возрастной структуры в развивающихся создают дефицит рабочей силы, который можно компенсировать только за счет роста производительности труда, невозможного без качественного образования.</w:t>
      </w:r>
    </w:p>
    <w:p w14:paraId="49E9BE10" w14:textId="77777777"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Образовательная система выступает главным регулятором предложения на рынке труда. Однако механизмы ее влияния кардинально меняются.</w:t>
      </w:r>
    </w:p>
    <w:p w14:paraId="10A4B486" w14:textId="056FA5B5"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 xml:space="preserve">   От «диплома на всю жизнь» к Lifelong Learning. Традиционная модель «школа — вуз — работа» устарела. Знания устаревают быстрее, чем студент успевает получить диплом. Современное образование должно быть непрерывным (Lifelong Learning). Национальная трансформация возможна только тогда, когда переквалификация (reskilling) и повышение квалификации (upskilling) становятся нормой для работающего населения.</w:t>
      </w:r>
    </w:p>
    <w:p w14:paraId="19AE2065" w14:textId="42A56103"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 xml:space="preserve">   Формирование гибких компетенций. Если раньше ценились узкопрофильные hard skills (технические навыки), то теперь работодатели ищут универсальных солдат. Критическое мышление, эмоциональный интеллект, способность к быстрой адаптации и командной работе — это зона ответственности современного образования. Вузы и колледжи должны учить не только предмету, но и тому, как учиться.</w:t>
      </w:r>
    </w:p>
    <w:p w14:paraId="481D8082" w14:textId="47630DB7"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 xml:space="preserve">   Цифровизация образовательных траекторий. Персонализация обучения благодаря цифровым платформам позволяет готовить специалистов под конкретные запросы экономики. </w:t>
      </w:r>
      <w:r w:rsidRPr="004A4506">
        <w:rPr>
          <w:rFonts w:ascii="Times New Roman" w:hAnsi="Times New Roman" w:cs="Times New Roman"/>
          <w:sz w:val="24"/>
          <w:szCs w:val="24"/>
          <w:lang w:val="ru-RU"/>
        </w:rPr>
        <w:lastRenderedPageBreak/>
        <w:t>Данные об успехах студентов и потребностях работодателей могут анализироваться в реальном времени, корректируя учебные планы.</w:t>
      </w:r>
    </w:p>
    <w:p w14:paraId="50812DB9" w14:textId="77777777"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Несмотря на понимание важности образования, во многих странах сохраняется структурный дисбаланс. Рынок труда испытывает голод по одним специалистам (IT-инженеры, биологи, специалисты по данным), в то время как вузы продолжают массово выпускать экономистов и юристов, чьи навыки становятся избыточными.</w:t>
      </w:r>
    </w:p>
    <w:p w14:paraId="283FF7A2" w14:textId="77777777"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Причины этого разрыва кроются в инерционности образовательной системы:</w:t>
      </w:r>
    </w:p>
    <w:p w14:paraId="390BC536" w14:textId="7C9E8D29"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1.  Запаздывание стандартов. Учебные программы часто утверждаются на годы вперед и не успевают за скоростью технологических изменений.</w:t>
      </w:r>
    </w:p>
    <w:p w14:paraId="13998DC6" w14:textId="56C266D1"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2.  Отрыв от практики. Теоретическая база преобладает над практической. Студенты выходят на рынок без опыта работы с реальным оборудованием или программным обеспечением.</w:t>
      </w:r>
    </w:p>
    <w:p w14:paraId="04E0A0A7" w14:textId="4D65E17A"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3.  Недооценка СПО. Система среднего профессионального образования (колледжи, техникумы) часто стигматизирована, хотя именно она готовит кадры для реального сектора экономики, который критически важен для национальной трансформации.</w:t>
      </w:r>
    </w:p>
    <w:p w14:paraId="531F1E31" w14:textId="77777777"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Для того чтобы образование стало эффективным фактором изменения рынка труда, необходимы системные меры на национальном уровне:</w:t>
      </w:r>
    </w:p>
    <w:p w14:paraId="1288FB65" w14:textId="466A5588"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 xml:space="preserve">   Государственно-частное партнерство. Бизнес должен напрямую участвовать в формировании образовательных стандартов. Создание базовых кафедр на предприятиях, дуальное обучение (теория в вузе + практика на заводе) — это работающие модели.</w:t>
      </w:r>
    </w:p>
    <w:p w14:paraId="2C21138E" w14:textId="1714AE52" w:rsidR="008B621E"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 xml:space="preserve">   Профориентация нового типа. Необходимо внедрять системы прогнозирования потребностей рынка труда (например, «Атлас новых профессий»), чтобы абитуриенты выбирали специальности, которые будут востребованы через 5–10 лет.</w:t>
      </w:r>
    </w:p>
    <w:p w14:paraId="0FEBD28B" w14:textId="77777777" w:rsidR="00403818" w:rsidRPr="004A4506" w:rsidRDefault="008B621E"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 xml:space="preserve">   Поддержка мобильности кадров. Образование должно давать навыки, позволяющие легко переходить из одной отрасли в другую. Это снижает риски безработицы при кризисах в отдельных секторах экономики.</w:t>
      </w:r>
      <w:r w:rsidR="00403818" w:rsidRPr="004A4506">
        <w:rPr>
          <w:rFonts w:ascii="Times New Roman" w:hAnsi="Times New Roman" w:cs="Times New Roman"/>
          <w:sz w:val="24"/>
          <w:szCs w:val="24"/>
          <w:lang w:val="ru-RU"/>
        </w:rPr>
        <w:t xml:space="preserve"> </w:t>
      </w:r>
    </w:p>
    <w:p w14:paraId="4376C5A5" w14:textId="119B5A81" w:rsidR="008B621E" w:rsidRPr="004A4506" w:rsidRDefault="00403818"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И</w:t>
      </w:r>
      <w:r w:rsidR="008B621E" w:rsidRPr="004A4506">
        <w:rPr>
          <w:rFonts w:ascii="Times New Roman" w:hAnsi="Times New Roman" w:cs="Times New Roman"/>
          <w:sz w:val="24"/>
          <w:szCs w:val="24"/>
          <w:lang w:val="ru-RU"/>
        </w:rPr>
        <w:t>нвестиции в педагогов. Качество образования не может быть выше качества учителей. Преподаватели сами должны постоянно обучаться новым технологиям и методикам.</w:t>
      </w:r>
    </w:p>
    <w:p w14:paraId="1226971B" w14:textId="0565706C" w:rsidR="008B621E"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b/>
          <w:bCs/>
          <w:sz w:val="24"/>
          <w:szCs w:val="24"/>
          <w:lang w:val="ru-RU"/>
        </w:rPr>
        <w:t>Заключение.</w:t>
      </w:r>
      <w:r w:rsidRPr="004A4506">
        <w:rPr>
          <w:rFonts w:ascii="Times New Roman" w:hAnsi="Times New Roman" w:cs="Times New Roman"/>
          <w:sz w:val="24"/>
          <w:szCs w:val="24"/>
          <w:lang w:val="ru-RU"/>
        </w:rPr>
        <w:t xml:space="preserve"> </w:t>
      </w:r>
      <w:r w:rsidR="00481156" w:rsidRPr="004A4506">
        <w:rPr>
          <w:rFonts w:ascii="Times New Roman" w:hAnsi="Times New Roman" w:cs="Times New Roman"/>
          <w:sz w:val="24"/>
          <w:szCs w:val="24"/>
          <w:lang w:val="ru-RU"/>
        </w:rPr>
        <w:t>Трансформация</w:t>
      </w:r>
      <w:r w:rsidR="008B621E" w:rsidRPr="004A4506">
        <w:rPr>
          <w:rFonts w:ascii="Times New Roman" w:hAnsi="Times New Roman" w:cs="Times New Roman"/>
          <w:sz w:val="24"/>
          <w:szCs w:val="24"/>
          <w:lang w:val="ru-RU"/>
        </w:rPr>
        <w:t xml:space="preserve"> национального рынка труда — это не стихийный процесс, а результат управленческих решений. Образование является главным рычагом в этой системе. Если государство сможет синхронизировать темпы обновления образовательных программ со скоростью технологического прогресса, страна получит конкурентное преимущество в виде высококвалифицированной, адаптивной рабочей силы.</w:t>
      </w:r>
    </w:p>
    <w:p w14:paraId="6D7F902B" w14:textId="2FD3B6CB" w:rsidR="008B621E" w:rsidRPr="004A4506" w:rsidRDefault="008B621E" w:rsidP="004A4506">
      <w:pPr>
        <w:adjustRightInd w:val="0"/>
        <w:snapToGrid w:val="0"/>
        <w:ind w:firstLineChars="125" w:firstLine="300"/>
        <w:rPr>
          <w:rFonts w:ascii="Times New Roman" w:hAnsi="Times New Roman" w:cs="Times New Roman"/>
          <w:sz w:val="24"/>
          <w:szCs w:val="24"/>
          <w:lang w:val="ru-RU"/>
        </w:rPr>
      </w:pPr>
    </w:p>
    <w:p w14:paraId="76B824CA" w14:textId="69CB3A20" w:rsidR="009F4D7B" w:rsidRPr="004A4506" w:rsidRDefault="009F4D7B" w:rsidP="004A4506">
      <w:pPr>
        <w:adjustRightInd w:val="0"/>
        <w:snapToGrid w:val="0"/>
        <w:ind w:firstLineChars="125" w:firstLine="300"/>
        <w:rPr>
          <w:rFonts w:ascii="Times New Roman" w:hAnsi="Times New Roman" w:cs="Times New Roman"/>
          <w:b/>
          <w:bCs/>
          <w:sz w:val="24"/>
          <w:szCs w:val="24"/>
          <w:lang w:val="ru-RU"/>
        </w:rPr>
      </w:pPr>
      <w:r w:rsidRPr="004A4506">
        <w:rPr>
          <w:rFonts w:ascii="Times New Roman" w:hAnsi="Times New Roman" w:cs="Times New Roman"/>
          <w:b/>
          <w:bCs/>
          <w:sz w:val="24"/>
          <w:szCs w:val="24"/>
          <w:lang w:val="ru-RU"/>
        </w:rPr>
        <w:t>Список литературы</w:t>
      </w:r>
    </w:p>
    <w:p w14:paraId="6A4A6C5C" w14:textId="5020DBA5"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Джалилзода А.А. Цифровизация как фактор трансформации взаимосвязи рынков труда и образовательных услуг // Вестник Таджикского государственного университета коммерции. 2025. № 3 (58).</w:t>
      </w:r>
    </w:p>
    <w:p w14:paraId="6479A3FB" w14:textId="1F7C34F5"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Кудрицкая Е.А., Наумов Д.И. Цифровая трансформация общества как фактор развития профессиональной сферы и рынка труда // Современные средства связи. 2025. Т. 1. № 1. С. 236–238.</w:t>
      </w:r>
    </w:p>
    <w:p w14:paraId="4AFB6A49" w14:textId="59183CA2"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Олейникова О.Н., Редина Ю.Н. Концепция образования 5.0 как ответ на трансформацию современной индустрии и рынка труда // Профессиональное образование и рынок труда. 2025. Т. 13. № 4 (63). С. 6–21.</w:t>
      </w:r>
    </w:p>
    <w:p w14:paraId="0FF5797B" w14:textId="67A02492"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Гриненко С.В., Романов М.С., Романов С.М., Угрюмов Е.С. Система профессионального образования через всю жизнь как фактор востребованности на рынке труда // Вестник РМАТ. 2020. № 1. С. 62–67.</w:t>
      </w:r>
    </w:p>
    <w:p w14:paraId="1FBB57D5" w14:textId="117973F0"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Пацев М.С., Эйсмонт И.Т. Образование как фактор повышения конкурентоспособности специалистов на рынке труда // Наука и инновационные технологии. 2023. № 1 (26). С. 215–220.</w:t>
      </w:r>
    </w:p>
    <w:p w14:paraId="3FAD0FC0" w14:textId="455D0398"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Жукова В.С. Интеграция рынка труда и института образования как фактор социально-</w:t>
      </w:r>
      <w:r w:rsidRPr="004A4506">
        <w:rPr>
          <w:rFonts w:ascii="Times New Roman" w:hAnsi="Times New Roman" w:cs="Times New Roman"/>
          <w:sz w:val="24"/>
          <w:szCs w:val="24"/>
          <w:lang w:val="ru-RU"/>
        </w:rPr>
        <w:lastRenderedPageBreak/>
        <w:t>экономического развития регионов: зарубежный опыт // Известия Юго-Западного государственного университета. Серия: Экономика. Социология. Менеджмент. 2023. Т. 13. № 4. С. 279–287.</w:t>
      </w:r>
    </w:p>
    <w:p w14:paraId="1CEC6437" w14:textId="74A7244B" w:rsidR="009F4D7B" w:rsidRPr="004A4506" w:rsidRDefault="009F4D7B" w:rsidP="004A4506">
      <w:pPr>
        <w:adjustRightInd w:val="0"/>
        <w:snapToGrid w:val="0"/>
        <w:ind w:firstLineChars="125" w:firstLine="300"/>
        <w:rPr>
          <w:rFonts w:ascii="Times New Roman" w:hAnsi="Times New Roman" w:cs="Times New Roman"/>
          <w:sz w:val="24"/>
          <w:szCs w:val="24"/>
          <w:lang w:val="ru-RU"/>
        </w:rPr>
      </w:pPr>
      <w:r w:rsidRPr="004A4506">
        <w:rPr>
          <w:rFonts w:ascii="Times New Roman" w:hAnsi="Times New Roman" w:cs="Times New Roman"/>
          <w:sz w:val="24"/>
          <w:szCs w:val="24"/>
          <w:lang w:val="ru-RU"/>
        </w:rPr>
        <w:t>Карповская И.В., Пермякова Ю.Р. Дополнительное профессиональное образование как фактор повышения конкурентоспособности молодых специалистов на рынке труда // Образование и воспитание. 2023. № S3-1 (44-1). С. 4–6.</w:t>
      </w:r>
    </w:p>
    <w:p w14:paraId="68185A71" w14:textId="095292F2" w:rsidR="009F4D7B" w:rsidRPr="004A4506" w:rsidRDefault="009F4D7B" w:rsidP="004A4506">
      <w:pPr>
        <w:adjustRightInd w:val="0"/>
        <w:snapToGrid w:val="0"/>
        <w:ind w:firstLineChars="125" w:firstLine="300"/>
        <w:rPr>
          <w:rFonts w:ascii="Times New Roman" w:hAnsi="Times New Roman" w:cs="Times New Roman"/>
          <w:sz w:val="24"/>
          <w:szCs w:val="24"/>
          <w:lang w:val="ru-RU"/>
        </w:rPr>
      </w:pPr>
    </w:p>
    <w:p w14:paraId="4E7846EB" w14:textId="2FEA9900" w:rsidR="009F3610" w:rsidRPr="004A4506" w:rsidRDefault="009F3610" w:rsidP="004A4506">
      <w:pPr>
        <w:adjustRightInd w:val="0"/>
        <w:snapToGrid w:val="0"/>
        <w:ind w:firstLineChars="125" w:firstLine="300"/>
        <w:rPr>
          <w:rFonts w:ascii="Times New Roman" w:hAnsi="Times New Roman" w:cs="Times New Roman"/>
          <w:sz w:val="24"/>
          <w:szCs w:val="24"/>
        </w:rPr>
      </w:pPr>
      <w:r w:rsidRPr="004A4506">
        <w:rPr>
          <w:rFonts w:ascii="Times New Roman" w:hAnsi="Times New Roman" w:cs="Times New Roman"/>
          <w:sz w:val="24"/>
          <w:szCs w:val="24"/>
          <w:lang w:val="ru-RU"/>
        </w:rPr>
        <w:t xml:space="preserve">Гневашева Вера Анатольевна (Россия, Москва) – д.э.н., главный научный сотрудник ИСД ФНИСЦ РАН, Москва, ул Фотиевой 6. </w:t>
      </w:r>
      <w:hyperlink r:id="rId5" w:history="1">
        <w:r w:rsidRPr="004A4506">
          <w:rPr>
            <w:rStyle w:val="a5"/>
            <w:rFonts w:ascii="Times New Roman" w:hAnsi="Times New Roman" w:cs="Times New Roman"/>
            <w:sz w:val="24"/>
            <w:szCs w:val="24"/>
          </w:rPr>
          <w:t>vera</w:t>
        </w:r>
        <w:r w:rsidRPr="004A4506">
          <w:rPr>
            <w:rStyle w:val="a5"/>
            <w:rFonts w:ascii="Times New Roman" w:hAnsi="Times New Roman" w:cs="Times New Roman"/>
            <w:sz w:val="24"/>
            <w:szCs w:val="24"/>
            <w:lang w:val="ru-RU"/>
          </w:rPr>
          <w:t>_</w:t>
        </w:r>
        <w:r w:rsidRPr="004A4506">
          <w:rPr>
            <w:rStyle w:val="a5"/>
            <w:rFonts w:ascii="Times New Roman" w:hAnsi="Times New Roman" w:cs="Times New Roman"/>
            <w:sz w:val="24"/>
            <w:szCs w:val="24"/>
          </w:rPr>
          <w:t>cos</w:t>
        </w:r>
        <w:r w:rsidRPr="004A4506">
          <w:rPr>
            <w:rStyle w:val="a5"/>
            <w:rFonts w:ascii="Times New Roman" w:hAnsi="Times New Roman" w:cs="Times New Roman"/>
            <w:sz w:val="24"/>
            <w:szCs w:val="24"/>
            <w:lang w:val="ru-RU"/>
          </w:rPr>
          <w:t>@</w:t>
        </w:r>
        <w:r w:rsidRPr="004A4506">
          <w:rPr>
            <w:rStyle w:val="a5"/>
            <w:rFonts w:ascii="Times New Roman" w:hAnsi="Times New Roman" w:cs="Times New Roman"/>
            <w:sz w:val="24"/>
            <w:szCs w:val="24"/>
          </w:rPr>
          <w:t>rambler</w:t>
        </w:r>
        <w:r w:rsidRPr="004A4506">
          <w:rPr>
            <w:rStyle w:val="a5"/>
            <w:rFonts w:ascii="Times New Roman" w:hAnsi="Times New Roman" w:cs="Times New Roman"/>
            <w:sz w:val="24"/>
            <w:szCs w:val="24"/>
            <w:lang w:val="ru-RU"/>
          </w:rPr>
          <w:t>.</w:t>
        </w:r>
        <w:r w:rsidRPr="004A4506">
          <w:rPr>
            <w:rStyle w:val="a5"/>
            <w:rFonts w:ascii="Times New Roman" w:hAnsi="Times New Roman" w:cs="Times New Roman"/>
            <w:sz w:val="24"/>
            <w:szCs w:val="24"/>
          </w:rPr>
          <w:t>ru</w:t>
        </w:r>
      </w:hyperlink>
    </w:p>
    <w:p w14:paraId="6DA3DF2E" w14:textId="77B7AA01" w:rsidR="009F3610" w:rsidRPr="004A4506" w:rsidRDefault="009F3610" w:rsidP="004A4506">
      <w:pPr>
        <w:adjustRightInd w:val="0"/>
        <w:snapToGrid w:val="0"/>
        <w:ind w:firstLineChars="125" w:firstLine="300"/>
        <w:rPr>
          <w:rFonts w:ascii="Times New Roman" w:hAnsi="Times New Roman" w:cs="Times New Roman"/>
          <w:sz w:val="24"/>
          <w:szCs w:val="24"/>
        </w:rPr>
      </w:pPr>
    </w:p>
    <w:p w14:paraId="5C01F082" w14:textId="7829E9D7" w:rsidR="009F3610" w:rsidRPr="004A4506" w:rsidRDefault="009F3610" w:rsidP="004A4506">
      <w:pPr>
        <w:adjustRightInd w:val="0"/>
        <w:snapToGrid w:val="0"/>
        <w:ind w:firstLineChars="125" w:firstLine="300"/>
        <w:jc w:val="right"/>
        <w:rPr>
          <w:rFonts w:ascii="Times New Roman" w:hAnsi="Times New Roman" w:cs="Times New Roman"/>
          <w:b/>
          <w:bCs/>
          <w:sz w:val="24"/>
          <w:szCs w:val="24"/>
        </w:rPr>
      </w:pPr>
      <w:r w:rsidRPr="004A4506">
        <w:rPr>
          <w:rFonts w:ascii="Times New Roman" w:hAnsi="Times New Roman" w:cs="Times New Roman"/>
          <w:b/>
          <w:bCs/>
          <w:sz w:val="24"/>
          <w:szCs w:val="24"/>
        </w:rPr>
        <w:t>Gnevasheva V.A.</w:t>
      </w:r>
    </w:p>
    <w:p w14:paraId="7AFCC57A" w14:textId="4E30DA92" w:rsidR="009F3610" w:rsidRPr="004A4506" w:rsidRDefault="009F3610" w:rsidP="004A4506">
      <w:pPr>
        <w:adjustRightInd w:val="0"/>
        <w:snapToGrid w:val="0"/>
        <w:ind w:firstLineChars="125" w:firstLine="300"/>
        <w:jc w:val="right"/>
        <w:rPr>
          <w:rFonts w:ascii="Times New Roman" w:hAnsi="Times New Roman" w:cs="Times New Roman"/>
          <w:sz w:val="24"/>
          <w:szCs w:val="24"/>
        </w:rPr>
      </w:pPr>
    </w:p>
    <w:p w14:paraId="4545986B" w14:textId="1F6A9985" w:rsidR="00403818" w:rsidRPr="004A4506" w:rsidRDefault="00F22BF7" w:rsidP="004A4506">
      <w:pPr>
        <w:pStyle w:val="a3"/>
        <w:shd w:val="clear" w:color="auto" w:fill="FFFFFF"/>
        <w:snapToGrid w:val="0"/>
        <w:spacing w:before="0" w:beforeAutospacing="0" w:after="0" w:afterAutospacing="0"/>
        <w:ind w:firstLineChars="125" w:firstLine="301"/>
        <w:jc w:val="center"/>
        <w:rPr>
          <w:rFonts w:ascii="Times New Roman" w:hAnsi="Times New Roman" w:cs="Times New Roman"/>
          <w:b/>
          <w:bCs/>
          <w:color w:val="333333"/>
        </w:rPr>
      </w:pPr>
      <w:r w:rsidRPr="004A4506">
        <w:rPr>
          <w:rFonts w:ascii="Times New Roman" w:hAnsi="Times New Roman" w:cs="Times New Roman"/>
          <w:b/>
          <w:bCs/>
          <w:color w:val="333333"/>
        </w:rPr>
        <w:t>EDUCATION AS A FACTOR OF NATIONAL LABOR MARKET TRANSFORMATION</w:t>
      </w:r>
    </w:p>
    <w:p w14:paraId="4C87E25E" w14:textId="1D2EEFA8" w:rsidR="00F22BF7" w:rsidRPr="004A4506" w:rsidRDefault="00F22BF7" w:rsidP="004A4506">
      <w:pPr>
        <w:pStyle w:val="a3"/>
        <w:shd w:val="clear" w:color="auto" w:fill="FFFFFF"/>
        <w:snapToGrid w:val="0"/>
        <w:spacing w:before="0" w:beforeAutospacing="0" w:after="0" w:afterAutospacing="0"/>
        <w:ind w:firstLineChars="125" w:firstLine="301"/>
        <w:jc w:val="both"/>
        <w:rPr>
          <w:rStyle w:val="a4"/>
          <w:rFonts w:ascii="Times New Roman" w:hAnsi="Times New Roman" w:cs="Times New Roman"/>
          <w:b w:val="0"/>
          <w:bCs w:val="0"/>
          <w:color w:val="333333"/>
        </w:rPr>
      </w:pPr>
      <w:r w:rsidRPr="004A4506">
        <w:rPr>
          <w:rStyle w:val="a4"/>
          <w:rFonts w:ascii="Times New Roman" w:hAnsi="Times New Roman" w:cs="Times New Roman"/>
          <w:color w:val="333333"/>
        </w:rPr>
        <w:t>Annotation</w:t>
      </w:r>
      <w:r w:rsidRPr="004A4506">
        <w:rPr>
          <w:rStyle w:val="a4"/>
          <w:rFonts w:ascii="Times New Roman" w:hAnsi="Times New Roman" w:cs="Times New Roman"/>
          <w:color w:val="333333"/>
        </w:rPr>
        <w:t>.</w:t>
      </w:r>
      <w:r w:rsidRPr="004A4506">
        <w:rPr>
          <w:rStyle w:val="a4"/>
          <w:rFonts w:ascii="Times New Roman" w:hAnsi="Times New Roman" w:cs="Times New Roman"/>
          <w:b w:val="0"/>
          <w:bCs w:val="0"/>
          <w:color w:val="333333"/>
        </w:rPr>
        <w:t xml:space="preserve"> </w:t>
      </w:r>
      <w:r w:rsidRPr="004A4506">
        <w:rPr>
          <w:rStyle w:val="a4"/>
          <w:rFonts w:ascii="Times New Roman" w:hAnsi="Times New Roman" w:cs="Times New Roman"/>
          <w:b w:val="0"/>
          <w:bCs w:val="0"/>
          <w:color w:val="333333"/>
        </w:rPr>
        <w:t xml:space="preserve">The analysis of the strategic role of the education system as a key driver of the transformation of the national labor market is presented. The influence of global factors such as the digital economy and technological shifts (Industry 4.0) on the changing demand for labor is considered. The need for a transition from the traditional learning model to the concept of Lifelong Learning is emphasized. </w:t>
      </w:r>
    </w:p>
    <w:p w14:paraId="3DA40556" w14:textId="27659891" w:rsidR="00F22BF7" w:rsidRPr="004A4506" w:rsidRDefault="00F22BF7" w:rsidP="004A4506">
      <w:pPr>
        <w:pStyle w:val="a3"/>
        <w:shd w:val="clear" w:color="auto" w:fill="FFFFFF"/>
        <w:snapToGrid w:val="0"/>
        <w:spacing w:before="0" w:beforeAutospacing="0" w:after="0" w:afterAutospacing="0"/>
        <w:ind w:firstLineChars="125" w:firstLine="301"/>
        <w:jc w:val="both"/>
        <w:rPr>
          <w:rStyle w:val="a4"/>
          <w:rFonts w:ascii="Times New Roman" w:hAnsi="Times New Roman" w:cs="Times New Roman"/>
          <w:b w:val="0"/>
          <w:bCs w:val="0"/>
          <w:color w:val="333333"/>
        </w:rPr>
      </w:pPr>
      <w:r w:rsidRPr="004A4506">
        <w:rPr>
          <w:rStyle w:val="a4"/>
          <w:rFonts w:ascii="Times New Roman" w:hAnsi="Times New Roman" w:cs="Times New Roman"/>
          <w:color w:val="333333"/>
        </w:rPr>
        <w:t>Keywords:</w:t>
      </w:r>
      <w:r w:rsidRPr="004A4506">
        <w:rPr>
          <w:rStyle w:val="a4"/>
          <w:rFonts w:ascii="Times New Roman" w:hAnsi="Times New Roman" w:cs="Times New Roman"/>
          <w:b w:val="0"/>
          <w:bCs w:val="0"/>
          <w:color w:val="333333"/>
        </w:rPr>
        <w:t xml:space="preserve"> labor market, human capital, competence deficit, digital economy, regional development.</w:t>
      </w:r>
    </w:p>
    <w:p w14:paraId="7F9AABD8" w14:textId="6BBF6E02" w:rsidR="00481156" w:rsidRPr="004A4506" w:rsidRDefault="00481156" w:rsidP="004A4506">
      <w:pPr>
        <w:pStyle w:val="a3"/>
        <w:shd w:val="clear" w:color="auto" w:fill="FFFFFF"/>
        <w:snapToGrid w:val="0"/>
        <w:spacing w:before="0" w:beforeAutospacing="0" w:after="0" w:afterAutospacing="0"/>
        <w:ind w:firstLineChars="125" w:firstLine="300"/>
        <w:jc w:val="both"/>
        <w:rPr>
          <w:rStyle w:val="a4"/>
          <w:rFonts w:ascii="Times New Roman" w:hAnsi="Times New Roman" w:cs="Times New Roman"/>
          <w:b w:val="0"/>
          <w:bCs w:val="0"/>
          <w:color w:val="333333"/>
        </w:rPr>
      </w:pPr>
    </w:p>
    <w:p w14:paraId="29EC3C56" w14:textId="4842527C" w:rsidR="00481156" w:rsidRPr="004A4506" w:rsidRDefault="00481156" w:rsidP="004A4506">
      <w:pPr>
        <w:pStyle w:val="a3"/>
        <w:shd w:val="clear" w:color="auto" w:fill="FFFFFF"/>
        <w:snapToGrid w:val="0"/>
        <w:spacing w:before="0" w:beforeAutospacing="0" w:after="0" w:afterAutospacing="0"/>
        <w:ind w:firstLineChars="125" w:firstLine="300"/>
        <w:jc w:val="both"/>
        <w:rPr>
          <w:rStyle w:val="a4"/>
          <w:rFonts w:ascii="Times New Roman" w:hAnsi="Times New Roman" w:cs="Times New Roman"/>
          <w:b w:val="0"/>
          <w:bCs w:val="0"/>
          <w:color w:val="333333"/>
        </w:rPr>
      </w:pPr>
      <w:r w:rsidRPr="004A4506">
        <w:rPr>
          <w:rStyle w:val="a4"/>
          <w:rFonts w:ascii="Times New Roman" w:hAnsi="Times New Roman" w:cs="Times New Roman"/>
          <w:b w:val="0"/>
          <w:bCs w:val="0"/>
          <w:color w:val="333333"/>
        </w:rPr>
        <w:t>Vera Anatolyevna Gnevasheva (Moscow, Russia) – Doctor of Economics, Chief Researcher at the Institute of</w:t>
      </w:r>
      <w:r w:rsidR="00BC78B8">
        <w:rPr>
          <w:rStyle w:val="a4"/>
          <w:rFonts w:ascii="Times New Roman" w:hAnsi="Times New Roman" w:cs="Times New Roman"/>
          <w:b w:val="0"/>
          <w:bCs w:val="0"/>
          <w:color w:val="333333"/>
        </w:rPr>
        <w:t xml:space="preserve"> Social Demography</w:t>
      </w:r>
      <w:r w:rsidRPr="004A4506">
        <w:rPr>
          <w:rStyle w:val="a4"/>
          <w:rFonts w:ascii="Times New Roman" w:hAnsi="Times New Roman" w:cs="Times New Roman"/>
          <w:b w:val="0"/>
          <w:bCs w:val="0"/>
          <w:color w:val="333333"/>
        </w:rPr>
        <w:t xml:space="preserve"> of the Russian Academy of Sciences</w:t>
      </w:r>
      <w:r w:rsidR="00BC78B8" w:rsidRPr="00BC78B8">
        <w:rPr>
          <w:rStyle w:val="a4"/>
          <w:rFonts w:ascii="Times New Roman" w:hAnsi="Times New Roman" w:cs="Times New Roman"/>
          <w:b w:val="0"/>
          <w:bCs w:val="0"/>
          <w:color w:val="333333"/>
        </w:rPr>
        <w:t xml:space="preserve"> </w:t>
      </w:r>
      <w:r w:rsidR="00BC78B8">
        <w:rPr>
          <w:rStyle w:val="a4"/>
          <w:rFonts w:ascii="Times New Roman" w:hAnsi="Times New Roman" w:cs="Times New Roman"/>
          <w:b w:val="0"/>
          <w:bCs w:val="0"/>
          <w:color w:val="333333"/>
        </w:rPr>
        <w:t>FCTAS RAS</w:t>
      </w:r>
      <w:r w:rsidRPr="004A4506">
        <w:rPr>
          <w:rStyle w:val="a4"/>
          <w:rFonts w:ascii="Times New Roman" w:hAnsi="Times New Roman" w:cs="Times New Roman"/>
          <w:b w:val="0"/>
          <w:bCs w:val="0"/>
          <w:color w:val="333333"/>
        </w:rPr>
        <w:t xml:space="preserve">, Moscow, Fotieva St. 6. </w:t>
      </w:r>
      <w:hyperlink r:id="rId6" w:history="1">
        <w:r w:rsidRPr="004A4506">
          <w:rPr>
            <w:rStyle w:val="a5"/>
            <w:rFonts w:ascii="Times New Roman" w:hAnsi="Times New Roman" w:cs="Times New Roman"/>
          </w:rPr>
          <w:t>vera_cos@rambler.ru</w:t>
        </w:r>
      </w:hyperlink>
    </w:p>
    <w:p w14:paraId="6BC307D8" w14:textId="28554759" w:rsidR="00481156" w:rsidRPr="004A4506" w:rsidRDefault="00481156" w:rsidP="004A4506">
      <w:pPr>
        <w:pStyle w:val="a3"/>
        <w:shd w:val="clear" w:color="auto" w:fill="FFFFFF"/>
        <w:snapToGrid w:val="0"/>
        <w:spacing w:before="0" w:beforeAutospacing="0" w:after="0" w:afterAutospacing="0"/>
        <w:ind w:firstLineChars="125" w:firstLine="300"/>
        <w:jc w:val="both"/>
        <w:rPr>
          <w:rStyle w:val="a4"/>
          <w:rFonts w:ascii="Times New Roman" w:hAnsi="Times New Roman" w:cs="Times New Roman"/>
          <w:b w:val="0"/>
          <w:bCs w:val="0"/>
          <w:color w:val="333333"/>
        </w:rPr>
      </w:pPr>
    </w:p>
    <w:p w14:paraId="6A9EE152" w14:textId="3B70F3A3" w:rsidR="00481156" w:rsidRPr="00BC78B8" w:rsidRDefault="00481156" w:rsidP="004A4506">
      <w:pPr>
        <w:pStyle w:val="a3"/>
        <w:shd w:val="clear" w:color="auto" w:fill="FFFFFF"/>
        <w:snapToGrid w:val="0"/>
        <w:spacing w:before="0" w:beforeAutospacing="0" w:after="0" w:afterAutospacing="0"/>
        <w:ind w:firstLineChars="125" w:firstLine="301"/>
        <w:jc w:val="both"/>
        <w:rPr>
          <w:rStyle w:val="a4"/>
          <w:rFonts w:ascii="Times New Roman" w:hAnsi="Times New Roman" w:cs="Times New Roman"/>
          <w:color w:val="333333"/>
          <w:lang w:val="ru-RU"/>
        </w:rPr>
      </w:pPr>
      <w:r w:rsidRPr="004A4506">
        <w:rPr>
          <w:rStyle w:val="a4"/>
          <w:rFonts w:ascii="Times New Roman" w:hAnsi="Times New Roman" w:cs="Times New Roman"/>
          <w:color w:val="333333"/>
        </w:rPr>
        <w:t>References</w:t>
      </w:r>
    </w:p>
    <w:p w14:paraId="5E8C820F" w14:textId="77777777" w:rsidR="00481156" w:rsidRPr="004A4506" w:rsidRDefault="00481156" w:rsidP="004A4506">
      <w:pPr>
        <w:adjustRightInd w:val="0"/>
        <w:snapToGrid w:val="0"/>
        <w:ind w:firstLineChars="125" w:firstLine="300"/>
        <w:rPr>
          <w:rFonts w:ascii="Times New Roman" w:hAnsi="Times New Roman" w:cs="Times New Roman"/>
          <w:sz w:val="24"/>
          <w:szCs w:val="24"/>
        </w:rPr>
      </w:pPr>
      <w:r w:rsidRPr="004A4506">
        <w:rPr>
          <w:rFonts w:ascii="Times New Roman" w:hAnsi="Times New Roman" w:cs="Times New Roman"/>
          <w:sz w:val="24"/>
          <w:szCs w:val="24"/>
        </w:rPr>
        <w:t>Jalilzoda A.A. Digitalization as a factor in the transformation of the relationship between labor markets and educational services // Bulletin of the Tajik State University of Commerce. 2025. № 3 (58).</w:t>
      </w:r>
    </w:p>
    <w:p w14:paraId="4F665F93" w14:textId="1AE57EE9" w:rsidR="00481156" w:rsidRPr="004A4506" w:rsidRDefault="00481156" w:rsidP="004A4506">
      <w:pPr>
        <w:adjustRightInd w:val="0"/>
        <w:snapToGrid w:val="0"/>
        <w:ind w:firstLineChars="125" w:firstLine="300"/>
        <w:rPr>
          <w:rFonts w:ascii="Times New Roman" w:hAnsi="Times New Roman" w:cs="Times New Roman"/>
          <w:sz w:val="24"/>
          <w:szCs w:val="24"/>
        </w:rPr>
      </w:pPr>
      <w:r w:rsidRPr="004A4506">
        <w:rPr>
          <w:rFonts w:ascii="Times New Roman" w:hAnsi="Times New Roman" w:cs="Times New Roman"/>
          <w:sz w:val="24"/>
          <w:szCs w:val="24"/>
        </w:rPr>
        <w:t>Kudritskaya E.A., Naumov D.I. Digital transformation of society as a factor in the development of the professional sphere and the labor market // Modern means of communication. 2025. Vol. 1. No. 1. pp. 236-238.</w:t>
      </w:r>
    </w:p>
    <w:p w14:paraId="256D7A59" w14:textId="4E39D0F5" w:rsidR="00481156" w:rsidRPr="004A4506" w:rsidRDefault="00481156" w:rsidP="004A4506">
      <w:pPr>
        <w:adjustRightInd w:val="0"/>
        <w:snapToGrid w:val="0"/>
        <w:ind w:firstLineChars="125" w:firstLine="300"/>
        <w:rPr>
          <w:rFonts w:ascii="Times New Roman" w:hAnsi="Times New Roman" w:cs="Times New Roman"/>
          <w:sz w:val="24"/>
          <w:szCs w:val="24"/>
        </w:rPr>
      </w:pPr>
      <w:r w:rsidRPr="004A4506">
        <w:rPr>
          <w:rFonts w:ascii="Times New Roman" w:hAnsi="Times New Roman" w:cs="Times New Roman"/>
          <w:sz w:val="24"/>
          <w:szCs w:val="24"/>
        </w:rPr>
        <w:t>Oleinikova O.N., Redina Yu.N. The concept of education 5.0 as the response to the transformation of modern industry and the labor market // Vocational education and the labor market. 2025. Vol. 13. No. 4 (63). pp. 6-21.</w:t>
      </w:r>
    </w:p>
    <w:p w14:paraId="73FB6A0B" w14:textId="2859C89E" w:rsidR="00481156" w:rsidRPr="004A4506" w:rsidRDefault="00481156" w:rsidP="004A4506">
      <w:pPr>
        <w:adjustRightInd w:val="0"/>
        <w:snapToGrid w:val="0"/>
        <w:ind w:firstLineChars="125" w:firstLine="300"/>
        <w:rPr>
          <w:rFonts w:ascii="Times New Roman" w:hAnsi="Times New Roman" w:cs="Times New Roman"/>
          <w:sz w:val="24"/>
          <w:szCs w:val="24"/>
        </w:rPr>
      </w:pPr>
      <w:r w:rsidRPr="004A4506">
        <w:rPr>
          <w:rFonts w:ascii="Times New Roman" w:hAnsi="Times New Roman" w:cs="Times New Roman"/>
          <w:sz w:val="24"/>
          <w:szCs w:val="24"/>
        </w:rPr>
        <w:t>Grinenko S.V., Romanov M.S., Romanov S.M., Ugryumov E.S. The lifelong professional education system as a factor of demand in the labor market // Bulletin of the Russian Academy of Medical Sciences. 2020. No. 1. pp. 62-67.</w:t>
      </w:r>
    </w:p>
    <w:p w14:paraId="0F200D4D" w14:textId="69FEE268" w:rsidR="00481156" w:rsidRPr="004A4506" w:rsidRDefault="00481156" w:rsidP="004A4506">
      <w:pPr>
        <w:adjustRightInd w:val="0"/>
        <w:snapToGrid w:val="0"/>
        <w:ind w:firstLineChars="125" w:firstLine="300"/>
        <w:rPr>
          <w:rFonts w:ascii="Times New Roman" w:hAnsi="Times New Roman" w:cs="Times New Roman"/>
          <w:sz w:val="24"/>
          <w:szCs w:val="24"/>
        </w:rPr>
      </w:pPr>
      <w:r w:rsidRPr="004A4506">
        <w:rPr>
          <w:rFonts w:ascii="Times New Roman" w:hAnsi="Times New Roman" w:cs="Times New Roman"/>
          <w:sz w:val="24"/>
          <w:szCs w:val="24"/>
        </w:rPr>
        <w:t>Patsev M.S., Eismont I.T. Education as a factor in increasing the competitiveness of specialists in the labor market // Science and innovative technologies. 2023. No. 1 (26). pp. 215-220.</w:t>
      </w:r>
    </w:p>
    <w:p w14:paraId="5BAB0CA0" w14:textId="1FDDD508" w:rsidR="00481156" w:rsidRPr="004A4506" w:rsidRDefault="00481156" w:rsidP="004A4506">
      <w:pPr>
        <w:adjustRightInd w:val="0"/>
        <w:snapToGrid w:val="0"/>
        <w:ind w:firstLineChars="125" w:firstLine="300"/>
        <w:rPr>
          <w:rFonts w:ascii="Times New Roman" w:hAnsi="Times New Roman" w:cs="Times New Roman"/>
          <w:sz w:val="24"/>
          <w:szCs w:val="24"/>
        </w:rPr>
      </w:pPr>
      <w:r w:rsidRPr="004A4506">
        <w:rPr>
          <w:rFonts w:ascii="Times New Roman" w:hAnsi="Times New Roman" w:cs="Times New Roman"/>
          <w:sz w:val="24"/>
          <w:szCs w:val="24"/>
        </w:rPr>
        <w:t>Zhukova V.S. Integration of the labor market and the institute of education as a factor of socio-economic development of regions: foreign experience // Proceedings of the Southwestern State University. Series: Economics. Sociology. Management. 2023. Vol. 13. No. 4. pp. 279-287.</w:t>
      </w:r>
    </w:p>
    <w:p w14:paraId="030DA62B" w14:textId="2277B9C7" w:rsidR="00403818" w:rsidRPr="004A4506" w:rsidRDefault="00481156" w:rsidP="004A4506">
      <w:pPr>
        <w:adjustRightInd w:val="0"/>
        <w:snapToGrid w:val="0"/>
        <w:ind w:firstLineChars="125" w:firstLine="300"/>
        <w:rPr>
          <w:rFonts w:ascii="Times New Roman" w:hAnsi="Times New Roman" w:cs="Times New Roman"/>
          <w:sz w:val="24"/>
          <w:szCs w:val="24"/>
        </w:rPr>
      </w:pPr>
      <w:r w:rsidRPr="004A4506">
        <w:rPr>
          <w:rFonts w:ascii="Times New Roman" w:hAnsi="Times New Roman" w:cs="Times New Roman"/>
          <w:sz w:val="24"/>
          <w:szCs w:val="24"/>
        </w:rPr>
        <w:t>Karpovskaya I.V., Permyakova Yu.R. Additional professional education as a factor in increasing the competitiveness of young professionals in the labor market // Education and upbringing. 2023. No. S3-1 (44-1). pp. 4-6.</w:t>
      </w:r>
    </w:p>
    <w:sectPr w:rsidR="00403818" w:rsidRPr="004A4506" w:rsidSect="00FC61E0">
      <w:pgSz w:w="11906" w:h="16838"/>
      <w:pgMar w:top="1440" w:right="1080" w:bottom="1440" w:left="108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00000287" w:usb1="080E0000" w:usb2="00000010"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961B99"/>
    <w:multiLevelType w:val="hybridMultilevel"/>
    <w:tmpl w:val="ED22C5BC"/>
    <w:lvl w:ilvl="0" w:tplc="FB9C36CE">
      <w:start w:val="1"/>
      <w:numFmt w:val="decimal"/>
      <w:lvlText w:val="%1."/>
      <w:lvlJc w:val="left"/>
      <w:pPr>
        <w:ind w:left="660" w:hanging="360"/>
      </w:pPr>
      <w:rPr>
        <w:rFonts w:hint="default"/>
      </w:rPr>
    </w:lvl>
    <w:lvl w:ilvl="1" w:tplc="04090019" w:tentative="1">
      <w:start w:val="1"/>
      <w:numFmt w:val="lowerLetter"/>
      <w:lvlText w:val="%2)"/>
      <w:lvlJc w:val="left"/>
      <w:pPr>
        <w:ind w:left="1140" w:hanging="420"/>
      </w:pPr>
    </w:lvl>
    <w:lvl w:ilvl="2" w:tplc="0409001B" w:tentative="1">
      <w:start w:val="1"/>
      <w:numFmt w:val="lowerRoman"/>
      <w:lvlText w:val="%3."/>
      <w:lvlJc w:val="right"/>
      <w:pPr>
        <w:ind w:left="1560" w:hanging="420"/>
      </w:pPr>
    </w:lvl>
    <w:lvl w:ilvl="3" w:tplc="0409000F" w:tentative="1">
      <w:start w:val="1"/>
      <w:numFmt w:val="decimal"/>
      <w:lvlText w:val="%4."/>
      <w:lvlJc w:val="left"/>
      <w:pPr>
        <w:ind w:left="1980" w:hanging="420"/>
      </w:pPr>
    </w:lvl>
    <w:lvl w:ilvl="4" w:tplc="04090019" w:tentative="1">
      <w:start w:val="1"/>
      <w:numFmt w:val="lowerLetter"/>
      <w:lvlText w:val="%5)"/>
      <w:lvlJc w:val="left"/>
      <w:pPr>
        <w:ind w:left="2400" w:hanging="420"/>
      </w:pPr>
    </w:lvl>
    <w:lvl w:ilvl="5" w:tplc="0409001B" w:tentative="1">
      <w:start w:val="1"/>
      <w:numFmt w:val="lowerRoman"/>
      <w:lvlText w:val="%6."/>
      <w:lvlJc w:val="right"/>
      <w:pPr>
        <w:ind w:left="2820" w:hanging="420"/>
      </w:pPr>
    </w:lvl>
    <w:lvl w:ilvl="6" w:tplc="0409000F" w:tentative="1">
      <w:start w:val="1"/>
      <w:numFmt w:val="decimal"/>
      <w:lvlText w:val="%7."/>
      <w:lvlJc w:val="left"/>
      <w:pPr>
        <w:ind w:left="3240" w:hanging="420"/>
      </w:pPr>
    </w:lvl>
    <w:lvl w:ilvl="7" w:tplc="04090019" w:tentative="1">
      <w:start w:val="1"/>
      <w:numFmt w:val="lowerLetter"/>
      <w:lvlText w:val="%8)"/>
      <w:lvlJc w:val="left"/>
      <w:pPr>
        <w:ind w:left="3660" w:hanging="420"/>
      </w:pPr>
    </w:lvl>
    <w:lvl w:ilvl="8" w:tplc="0409001B" w:tentative="1">
      <w:start w:val="1"/>
      <w:numFmt w:val="lowerRoman"/>
      <w:lvlText w:val="%9."/>
      <w:lvlJc w:val="right"/>
      <w:pPr>
        <w:ind w:left="4080" w:hanging="420"/>
      </w:pPr>
    </w:lvl>
  </w:abstractNum>
  <w:abstractNum w:abstractNumId="1" w15:restartNumberingAfterBreak="0">
    <w:nsid w:val="48F77C55"/>
    <w:multiLevelType w:val="hybridMultilevel"/>
    <w:tmpl w:val="58263228"/>
    <w:lvl w:ilvl="0" w:tplc="0409000F">
      <w:start w:val="1"/>
      <w:numFmt w:val="decimal"/>
      <w:lvlText w:val="%1."/>
      <w:lvlJc w:val="left"/>
      <w:pPr>
        <w:ind w:left="720" w:hanging="420"/>
      </w:pPr>
    </w:lvl>
    <w:lvl w:ilvl="1" w:tplc="04090019" w:tentative="1">
      <w:start w:val="1"/>
      <w:numFmt w:val="lowerLetter"/>
      <w:lvlText w:val="%2)"/>
      <w:lvlJc w:val="left"/>
      <w:pPr>
        <w:ind w:left="1140" w:hanging="420"/>
      </w:pPr>
    </w:lvl>
    <w:lvl w:ilvl="2" w:tplc="0409001B" w:tentative="1">
      <w:start w:val="1"/>
      <w:numFmt w:val="lowerRoman"/>
      <w:lvlText w:val="%3."/>
      <w:lvlJc w:val="right"/>
      <w:pPr>
        <w:ind w:left="1560" w:hanging="420"/>
      </w:pPr>
    </w:lvl>
    <w:lvl w:ilvl="3" w:tplc="0409000F" w:tentative="1">
      <w:start w:val="1"/>
      <w:numFmt w:val="decimal"/>
      <w:lvlText w:val="%4."/>
      <w:lvlJc w:val="left"/>
      <w:pPr>
        <w:ind w:left="1980" w:hanging="420"/>
      </w:pPr>
    </w:lvl>
    <w:lvl w:ilvl="4" w:tplc="04090019" w:tentative="1">
      <w:start w:val="1"/>
      <w:numFmt w:val="lowerLetter"/>
      <w:lvlText w:val="%5)"/>
      <w:lvlJc w:val="left"/>
      <w:pPr>
        <w:ind w:left="2400" w:hanging="420"/>
      </w:pPr>
    </w:lvl>
    <w:lvl w:ilvl="5" w:tplc="0409001B" w:tentative="1">
      <w:start w:val="1"/>
      <w:numFmt w:val="lowerRoman"/>
      <w:lvlText w:val="%6."/>
      <w:lvlJc w:val="right"/>
      <w:pPr>
        <w:ind w:left="2820" w:hanging="420"/>
      </w:pPr>
    </w:lvl>
    <w:lvl w:ilvl="6" w:tplc="0409000F" w:tentative="1">
      <w:start w:val="1"/>
      <w:numFmt w:val="decimal"/>
      <w:lvlText w:val="%7."/>
      <w:lvlJc w:val="left"/>
      <w:pPr>
        <w:ind w:left="3240" w:hanging="420"/>
      </w:pPr>
    </w:lvl>
    <w:lvl w:ilvl="7" w:tplc="04090019" w:tentative="1">
      <w:start w:val="1"/>
      <w:numFmt w:val="lowerLetter"/>
      <w:lvlText w:val="%8)"/>
      <w:lvlJc w:val="left"/>
      <w:pPr>
        <w:ind w:left="3660" w:hanging="420"/>
      </w:pPr>
    </w:lvl>
    <w:lvl w:ilvl="8" w:tplc="0409001B" w:tentative="1">
      <w:start w:val="1"/>
      <w:numFmt w:val="lowerRoman"/>
      <w:lvlText w:val="%9."/>
      <w:lvlJc w:val="right"/>
      <w:pPr>
        <w:ind w:left="40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621E"/>
    <w:rsid w:val="0020406E"/>
    <w:rsid w:val="00403818"/>
    <w:rsid w:val="00481156"/>
    <w:rsid w:val="004A4506"/>
    <w:rsid w:val="0066290B"/>
    <w:rsid w:val="008B621E"/>
    <w:rsid w:val="009F3610"/>
    <w:rsid w:val="009F4D7B"/>
    <w:rsid w:val="00AC54FC"/>
    <w:rsid w:val="00BC78B8"/>
    <w:rsid w:val="00E8066F"/>
    <w:rsid w:val="00F22BF7"/>
    <w:rsid w:val="00FC61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F2894F"/>
  <w15:chartTrackingRefBased/>
  <w15:docId w15:val="{5317CDCE-AFD9-463E-84B6-F6DF47B7A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03818"/>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403818"/>
    <w:rPr>
      <w:b/>
      <w:bCs/>
    </w:rPr>
  </w:style>
  <w:style w:type="character" w:styleId="a5">
    <w:name w:val="Hyperlink"/>
    <w:basedOn w:val="a0"/>
    <w:uiPriority w:val="99"/>
    <w:unhideWhenUsed/>
    <w:rsid w:val="009F3610"/>
    <w:rPr>
      <w:color w:val="0563C1" w:themeColor="hyperlink"/>
      <w:u w:val="single"/>
    </w:rPr>
  </w:style>
  <w:style w:type="character" w:styleId="a6">
    <w:name w:val="Unresolved Mention"/>
    <w:basedOn w:val="a0"/>
    <w:uiPriority w:val="99"/>
    <w:semiHidden/>
    <w:unhideWhenUsed/>
    <w:rsid w:val="009F3610"/>
    <w:rPr>
      <w:color w:val="605E5C"/>
      <w:shd w:val="clear" w:color="auto" w:fill="E1DFDD"/>
    </w:rPr>
  </w:style>
  <w:style w:type="paragraph" w:styleId="a7">
    <w:name w:val="List Paragraph"/>
    <w:basedOn w:val="a"/>
    <w:uiPriority w:val="34"/>
    <w:qFormat/>
    <w:rsid w:val="00481156"/>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0020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era_cos@rambler.ru" TargetMode="External"/><Relationship Id="rId5" Type="http://schemas.openxmlformats.org/officeDocument/2006/relationships/hyperlink" Target="mailto:vera_cos@rambler.r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1207</TotalTime>
  <Pages>4</Pages>
  <Words>1586</Words>
  <Characters>11882</Characters>
  <Application>Microsoft Office Word</Application>
  <DocSecurity>0</DocSecurity>
  <Lines>247</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9</cp:revision>
  <dcterms:created xsi:type="dcterms:W3CDTF">2026-03-15T06:57:00Z</dcterms:created>
  <dcterms:modified xsi:type="dcterms:W3CDTF">2026-03-18T07:44:00Z</dcterms:modified>
</cp:coreProperties>
</file>