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B118796" w14:textId="68D94123" w:rsidR="002B1059" w:rsidRDefault="002B1059" w:rsidP="002B1059">
      <w:pPr>
        <w:spacing w:after="0" w:line="240" w:lineRule="auto"/>
        <w:rPr>
          <w:rFonts w:ascii="Times New Roman" w:hAnsi="Times New Roman" w:cs="Times New Roman"/>
          <w:b/>
          <w:bCs/>
          <w:sz w:val="24"/>
          <w:szCs w:val="24"/>
        </w:rPr>
      </w:pPr>
      <w:r w:rsidRPr="00D2531D">
        <w:rPr>
          <w:rFonts w:ascii="Times New Roman" w:hAnsi="Times New Roman" w:cs="Times New Roman"/>
          <w:b/>
          <w:bCs/>
          <w:sz w:val="24"/>
          <w:szCs w:val="24"/>
        </w:rPr>
        <w:t>УДК 314.114</w:t>
      </w:r>
    </w:p>
    <w:p w14:paraId="30772BFB" w14:textId="26FABB0B" w:rsidR="00D2531D" w:rsidRPr="00D2531D" w:rsidRDefault="00D2531D" w:rsidP="00D2531D">
      <w:pPr>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Ларина А.А.</w:t>
      </w:r>
    </w:p>
    <w:p w14:paraId="629AD7F2" w14:textId="0B430D58" w:rsidR="005F0851" w:rsidRPr="00D2531D" w:rsidRDefault="00D2531D" w:rsidP="002B1059">
      <w:pPr>
        <w:spacing w:after="0" w:line="240" w:lineRule="auto"/>
        <w:jc w:val="center"/>
        <w:rPr>
          <w:rFonts w:ascii="Times New Roman" w:hAnsi="Times New Roman" w:cs="Times New Roman"/>
          <w:b/>
          <w:bCs/>
          <w:sz w:val="24"/>
          <w:szCs w:val="24"/>
        </w:rPr>
      </w:pPr>
      <w:r w:rsidRPr="00D2531D">
        <w:rPr>
          <w:rFonts w:ascii="Times New Roman" w:hAnsi="Times New Roman" w:cs="Times New Roman"/>
          <w:b/>
          <w:bCs/>
          <w:sz w:val="24"/>
          <w:szCs w:val="24"/>
        </w:rPr>
        <w:t>ФОРМИРОВАНИЕ ПАКЕТА МЕР СОЦИАЛЬНО – ДЕМОГРАФИЧЕСКОЙ ПОЛИТИКИ С УЧЕТОМ РЕСУРСНОГО ОБЕСПЕЧЕНИЯ СЕМЬИ И НАМЕРЕНИЙ</w:t>
      </w:r>
    </w:p>
    <w:p w14:paraId="5F9FF757" w14:textId="77777777" w:rsidR="00D2531D" w:rsidRDefault="00D2531D" w:rsidP="002B1059">
      <w:pPr>
        <w:pStyle w:val="a3"/>
        <w:spacing w:before="0" w:beforeAutospacing="0" w:after="0" w:afterAutospacing="0"/>
        <w:ind w:firstLine="709"/>
        <w:jc w:val="both"/>
      </w:pPr>
    </w:p>
    <w:p w14:paraId="4192FB49" w14:textId="2DCC2B0C" w:rsidR="0027112E" w:rsidRPr="002B1059" w:rsidRDefault="00F835D9" w:rsidP="002B1059">
      <w:pPr>
        <w:pStyle w:val="a3"/>
        <w:spacing w:before="0" w:beforeAutospacing="0" w:after="0" w:afterAutospacing="0"/>
        <w:ind w:firstLine="709"/>
        <w:jc w:val="both"/>
      </w:pPr>
      <w:r w:rsidRPr="00F94DE8">
        <w:rPr>
          <w:b/>
          <w:bCs/>
        </w:rPr>
        <w:t>Аннотация:</w:t>
      </w:r>
      <w:r w:rsidRPr="002B1059">
        <w:t xml:space="preserve"> </w:t>
      </w:r>
      <w:r w:rsidR="00397934" w:rsidRPr="002B1059">
        <w:t xml:space="preserve">Статья посвящена анализу значимости мер социально-демографической политики </w:t>
      </w:r>
      <w:r w:rsidR="00D2531D">
        <w:t xml:space="preserve">для </w:t>
      </w:r>
      <w:r w:rsidR="00397934" w:rsidRPr="002B1059">
        <w:t>населения. Эмпирическ</w:t>
      </w:r>
      <w:r w:rsidR="00D2531D">
        <w:t>ая</w:t>
      </w:r>
      <w:r w:rsidR="00397934" w:rsidRPr="002B1059">
        <w:t xml:space="preserve"> баз</w:t>
      </w:r>
      <w:r w:rsidR="00D2531D">
        <w:t>а</w:t>
      </w:r>
      <w:r w:rsidR="00397934" w:rsidRPr="002B1059">
        <w:t xml:space="preserve"> исследования </w:t>
      </w:r>
      <w:r w:rsidR="00D2531D">
        <w:t>-</w:t>
      </w:r>
      <w:r w:rsidR="00397934" w:rsidRPr="002B1059">
        <w:t xml:space="preserve"> результаты мониторинга репродуктивного потенциала </w:t>
      </w:r>
      <w:r w:rsidR="00D2531D">
        <w:t>жителей</w:t>
      </w:r>
      <w:r w:rsidR="00397934" w:rsidRPr="002B1059">
        <w:t xml:space="preserve"> Вологодской области, проводимого </w:t>
      </w:r>
      <w:r w:rsidR="00D2531D">
        <w:t xml:space="preserve">ФГБУН </w:t>
      </w:r>
      <w:proofErr w:type="spellStart"/>
      <w:r w:rsidR="00397934" w:rsidRPr="002B1059">
        <w:t>ВолНЦ</w:t>
      </w:r>
      <w:proofErr w:type="spellEnd"/>
      <w:r w:rsidR="00397934" w:rsidRPr="002B1059">
        <w:t xml:space="preserve"> РАН (N=1500). Проанализирована оценка населением различных мер государственной поддержки семей с детьми в зависимости от желаемого и планируемого числа детей</w:t>
      </w:r>
      <w:r w:rsidR="00D2531D">
        <w:t xml:space="preserve">. </w:t>
      </w:r>
      <w:r w:rsidR="00397934" w:rsidRPr="002B1059">
        <w:t>Сделан вывод о необходимости дифференцированного подхода к формированию мер демографической политики.</w:t>
      </w:r>
    </w:p>
    <w:p w14:paraId="1D455404" w14:textId="0AF2D3DB" w:rsidR="00397934" w:rsidRDefault="00397934" w:rsidP="002B1059">
      <w:pPr>
        <w:pStyle w:val="a3"/>
        <w:spacing w:before="0" w:beforeAutospacing="0" w:after="0" w:afterAutospacing="0"/>
        <w:ind w:firstLine="709"/>
        <w:jc w:val="both"/>
      </w:pPr>
      <w:r w:rsidRPr="00F94DE8">
        <w:rPr>
          <w:b/>
          <w:bCs/>
        </w:rPr>
        <w:t>Ключевые слова:</w:t>
      </w:r>
      <w:r w:rsidRPr="002B1059">
        <w:t xml:space="preserve"> демографическая политика, реп</w:t>
      </w:r>
      <w:bookmarkStart w:id="0" w:name="_GoBack"/>
      <w:bookmarkEnd w:id="0"/>
      <w:r w:rsidRPr="002B1059">
        <w:t>родуктивные намерения, ресурсное обеспечение семьи.</w:t>
      </w:r>
    </w:p>
    <w:p w14:paraId="20B62D29" w14:textId="77777777" w:rsidR="00DF423D" w:rsidRPr="002B1059" w:rsidRDefault="00DF423D" w:rsidP="002B1059">
      <w:pPr>
        <w:pStyle w:val="a3"/>
        <w:spacing w:before="0" w:beforeAutospacing="0" w:after="0" w:afterAutospacing="0"/>
        <w:ind w:firstLine="709"/>
        <w:jc w:val="both"/>
      </w:pPr>
    </w:p>
    <w:p w14:paraId="6A075028" w14:textId="451A8DCC" w:rsidR="00AF2B62" w:rsidRPr="002B1059" w:rsidRDefault="00B63158" w:rsidP="002B1059">
      <w:pPr>
        <w:spacing w:after="0" w:line="240" w:lineRule="auto"/>
        <w:ind w:firstLine="709"/>
        <w:jc w:val="both"/>
        <w:rPr>
          <w:rFonts w:ascii="Times New Roman" w:hAnsi="Times New Roman" w:cs="Times New Roman"/>
          <w:sz w:val="24"/>
          <w:szCs w:val="24"/>
        </w:rPr>
      </w:pPr>
      <w:r w:rsidRPr="002B1059">
        <w:rPr>
          <w:rFonts w:ascii="Times New Roman" w:hAnsi="Times New Roman" w:cs="Times New Roman"/>
          <w:sz w:val="24"/>
          <w:szCs w:val="24"/>
        </w:rPr>
        <w:t xml:space="preserve">Понятие «демографическая политика» </w:t>
      </w:r>
      <w:r w:rsidR="00DB411A" w:rsidRPr="002B1059">
        <w:rPr>
          <w:rFonts w:ascii="Times New Roman" w:hAnsi="Times New Roman" w:cs="Times New Roman"/>
          <w:sz w:val="24"/>
          <w:szCs w:val="24"/>
        </w:rPr>
        <w:t>с</w:t>
      </w:r>
      <w:r w:rsidRPr="002B1059">
        <w:rPr>
          <w:rFonts w:ascii="Times New Roman" w:hAnsi="Times New Roman" w:cs="Times New Roman"/>
          <w:sz w:val="24"/>
          <w:szCs w:val="24"/>
        </w:rPr>
        <w:t>формировалось в 1980-х годах. В СССР до 1985</w:t>
      </w:r>
      <w:r w:rsidR="00D14111">
        <w:rPr>
          <w:rFonts w:ascii="Times New Roman" w:hAnsi="Times New Roman" w:cs="Times New Roman"/>
          <w:sz w:val="24"/>
          <w:szCs w:val="24"/>
        </w:rPr>
        <w:t> </w:t>
      </w:r>
      <w:r w:rsidRPr="002B1059">
        <w:rPr>
          <w:rFonts w:ascii="Times New Roman" w:hAnsi="Times New Roman" w:cs="Times New Roman"/>
          <w:sz w:val="24"/>
          <w:szCs w:val="24"/>
        </w:rPr>
        <w:t xml:space="preserve">г. использовался термин «политика народонаселения», </w:t>
      </w:r>
      <w:r w:rsidR="00F835D9" w:rsidRPr="002B1059">
        <w:rPr>
          <w:rFonts w:ascii="Times New Roman" w:hAnsi="Times New Roman" w:cs="Times New Roman"/>
          <w:sz w:val="24"/>
          <w:szCs w:val="24"/>
        </w:rPr>
        <w:t>определяемый</w:t>
      </w:r>
      <w:r w:rsidRPr="002B1059">
        <w:rPr>
          <w:rFonts w:ascii="Times New Roman" w:hAnsi="Times New Roman" w:cs="Times New Roman"/>
          <w:sz w:val="24"/>
          <w:szCs w:val="24"/>
        </w:rPr>
        <w:t xml:space="preserve"> </w:t>
      </w:r>
      <w:proofErr w:type="spellStart"/>
      <w:r w:rsidRPr="002B1059">
        <w:rPr>
          <w:rFonts w:ascii="Times New Roman" w:hAnsi="Times New Roman" w:cs="Times New Roman"/>
          <w:sz w:val="24"/>
          <w:szCs w:val="24"/>
        </w:rPr>
        <w:t>Валентеем</w:t>
      </w:r>
      <w:proofErr w:type="spellEnd"/>
      <w:r w:rsidR="00E27524" w:rsidRPr="002B1059">
        <w:rPr>
          <w:rFonts w:ascii="Times New Roman" w:hAnsi="Times New Roman" w:cs="Times New Roman"/>
          <w:sz w:val="24"/>
          <w:szCs w:val="24"/>
        </w:rPr>
        <w:t xml:space="preserve"> Д.И.</w:t>
      </w:r>
      <w:r w:rsidR="00DC0D8B">
        <w:rPr>
          <w:rFonts w:ascii="Times New Roman" w:hAnsi="Times New Roman" w:cs="Times New Roman"/>
          <w:sz w:val="24"/>
          <w:szCs w:val="24"/>
        </w:rPr>
        <w:t xml:space="preserve"> </w:t>
      </w:r>
      <w:r w:rsidR="00DC0D8B" w:rsidRPr="00DC0D8B">
        <w:rPr>
          <w:rFonts w:ascii="Times New Roman" w:hAnsi="Times New Roman" w:cs="Times New Roman"/>
          <w:sz w:val="24"/>
          <w:szCs w:val="24"/>
        </w:rPr>
        <w:t>[</w:t>
      </w:r>
      <w:r w:rsidR="00DC0D8B">
        <w:rPr>
          <w:rFonts w:ascii="Times New Roman" w:hAnsi="Times New Roman" w:cs="Times New Roman"/>
          <w:sz w:val="24"/>
          <w:szCs w:val="24"/>
        </w:rPr>
        <w:t>2</w:t>
      </w:r>
      <w:r w:rsidR="00DC0D8B" w:rsidRPr="00DC0D8B">
        <w:rPr>
          <w:rFonts w:ascii="Times New Roman" w:hAnsi="Times New Roman" w:cs="Times New Roman"/>
          <w:sz w:val="24"/>
          <w:szCs w:val="24"/>
        </w:rPr>
        <w:t>]</w:t>
      </w:r>
      <w:r w:rsidR="00DC0D8B">
        <w:rPr>
          <w:rFonts w:ascii="Times New Roman" w:hAnsi="Times New Roman" w:cs="Times New Roman"/>
          <w:sz w:val="24"/>
          <w:szCs w:val="24"/>
        </w:rPr>
        <w:t xml:space="preserve"> </w:t>
      </w:r>
      <w:r w:rsidRPr="002B1059">
        <w:rPr>
          <w:rFonts w:ascii="Times New Roman" w:hAnsi="Times New Roman" w:cs="Times New Roman"/>
          <w:sz w:val="24"/>
          <w:szCs w:val="24"/>
        </w:rPr>
        <w:t xml:space="preserve">как инструмент влияния на социальную мобильность и профессиональную структуру. Современное определение, по </w:t>
      </w:r>
      <w:proofErr w:type="spellStart"/>
      <w:r w:rsidRPr="002B1059">
        <w:rPr>
          <w:rFonts w:ascii="Times New Roman" w:hAnsi="Times New Roman" w:cs="Times New Roman"/>
          <w:sz w:val="24"/>
          <w:szCs w:val="24"/>
        </w:rPr>
        <w:t>Рыбаковскому</w:t>
      </w:r>
      <w:proofErr w:type="spellEnd"/>
      <w:r w:rsidR="00E27524" w:rsidRPr="002B1059">
        <w:rPr>
          <w:rFonts w:ascii="Times New Roman" w:hAnsi="Times New Roman" w:cs="Times New Roman"/>
          <w:sz w:val="24"/>
          <w:szCs w:val="24"/>
        </w:rPr>
        <w:t xml:space="preserve"> Л.Л.</w:t>
      </w:r>
      <w:r w:rsidR="00521314" w:rsidRPr="002B1059">
        <w:rPr>
          <w:rFonts w:ascii="Times New Roman" w:hAnsi="Times New Roman" w:cs="Times New Roman"/>
          <w:sz w:val="24"/>
          <w:szCs w:val="24"/>
        </w:rPr>
        <w:t xml:space="preserve"> </w:t>
      </w:r>
      <w:r w:rsidR="00DC0D8B" w:rsidRPr="00DC0D8B">
        <w:rPr>
          <w:rFonts w:ascii="Times New Roman" w:hAnsi="Times New Roman" w:cs="Times New Roman"/>
          <w:sz w:val="24"/>
          <w:szCs w:val="24"/>
        </w:rPr>
        <w:t>[</w:t>
      </w:r>
      <w:r w:rsidR="00DC0D8B">
        <w:rPr>
          <w:rFonts w:ascii="Times New Roman" w:hAnsi="Times New Roman" w:cs="Times New Roman"/>
          <w:sz w:val="24"/>
          <w:szCs w:val="24"/>
        </w:rPr>
        <w:t>6</w:t>
      </w:r>
      <w:r w:rsidR="00DC0D8B" w:rsidRPr="00DC0D8B">
        <w:rPr>
          <w:rFonts w:ascii="Times New Roman" w:hAnsi="Times New Roman" w:cs="Times New Roman"/>
          <w:sz w:val="24"/>
          <w:szCs w:val="24"/>
        </w:rPr>
        <w:t>]</w:t>
      </w:r>
      <w:r w:rsidRPr="002B1059">
        <w:rPr>
          <w:rFonts w:ascii="Times New Roman" w:hAnsi="Times New Roman" w:cs="Times New Roman"/>
          <w:sz w:val="24"/>
          <w:szCs w:val="24"/>
        </w:rPr>
        <w:t xml:space="preserve">, подразумевает систему мер, направленных на достижение целевых демографических показателей через согласованные действия власти и общества. </w:t>
      </w:r>
    </w:p>
    <w:p w14:paraId="0DD56CCA" w14:textId="64646372" w:rsidR="00FB1766" w:rsidRPr="002B1059" w:rsidRDefault="00FB1766" w:rsidP="002B1059">
      <w:pPr>
        <w:spacing w:after="0" w:line="240" w:lineRule="auto"/>
        <w:ind w:firstLine="709"/>
        <w:jc w:val="both"/>
        <w:rPr>
          <w:rFonts w:ascii="Times New Roman" w:eastAsia="Times New Roman" w:hAnsi="Times New Roman" w:cs="Times New Roman"/>
          <w:color w:val="000000"/>
          <w:spacing w:val="-2"/>
          <w:sz w:val="24"/>
          <w:szCs w:val="24"/>
          <w:lang w:eastAsia="ru-RU"/>
        </w:rPr>
      </w:pPr>
      <w:r w:rsidRPr="002B1059">
        <w:rPr>
          <w:rFonts w:ascii="Times New Roman" w:eastAsia="Times New Roman" w:hAnsi="Times New Roman" w:cs="Times New Roman"/>
          <w:color w:val="000000"/>
          <w:spacing w:val="-2"/>
          <w:sz w:val="24"/>
          <w:szCs w:val="24"/>
          <w:lang w:eastAsia="ru-RU"/>
        </w:rPr>
        <w:t xml:space="preserve">В структуре социально-демографической политики особое место занимает семейная политика, </w:t>
      </w:r>
      <w:r w:rsidR="004507B3" w:rsidRPr="002B1059">
        <w:rPr>
          <w:rFonts w:ascii="Times New Roman" w:eastAsia="Times New Roman" w:hAnsi="Times New Roman" w:cs="Times New Roman"/>
          <w:color w:val="000000"/>
          <w:spacing w:val="-2"/>
          <w:sz w:val="24"/>
          <w:szCs w:val="24"/>
          <w:lang w:eastAsia="ru-RU"/>
        </w:rPr>
        <w:t>которая</w:t>
      </w:r>
      <w:r w:rsidRPr="002B1059">
        <w:rPr>
          <w:rFonts w:ascii="Times New Roman" w:eastAsia="Times New Roman" w:hAnsi="Times New Roman" w:cs="Times New Roman"/>
          <w:color w:val="000000"/>
          <w:spacing w:val="-2"/>
          <w:sz w:val="24"/>
          <w:szCs w:val="24"/>
          <w:lang w:eastAsia="ru-RU"/>
        </w:rPr>
        <w:t xml:space="preserve"> представляет собой систему государственных мер, направленных на укрепление института семьи, повышение уровня ее социально-экономической защищенности и создание условий для реализации репродуктивных намерений населения.</w:t>
      </w:r>
      <w:r w:rsidR="00453F2A" w:rsidRPr="002B1059">
        <w:rPr>
          <w:rFonts w:ascii="Times New Roman" w:eastAsia="Times New Roman" w:hAnsi="Times New Roman" w:cs="Times New Roman"/>
          <w:color w:val="000000"/>
          <w:spacing w:val="-2"/>
          <w:sz w:val="24"/>
          <w:szCs w:val="24"/>
          <w:lang w:eastAsia="ru-RU"/>
        </w:rPr>
        <w:t xml:space="preserve"> </w:t>
      </w:r>
      <w:r w:rsidR="0003719D" w:rsidRPr="002B1059">
        <w:rPr>
          <w:rFonts w:ascii="Times New Roman" w:eastAsia="Times New Roman" w:hAnsi="Times New Roman" w:cs="Times New Roman"/>
          <w:color w:val="000000"/>
          <w:spacing w:val="-2"/>
          <w:sz w:val="24"/>
          <w:szCs w:val="24"/>
          <w:lang w:eastAsia="ru-RU"/>
        </w:rPr>
        <w:t>Одним из ключевых факторов, определяющих репродуктивное поведение семьи, является уровень ее ресурсного обеспечения. Ресурсное обеспечение семьи представляет собой совокупность материальных, жилищных, трудовых, социальных и временных ресурсов, которыми располагает семья и которые определяют ее возможности по рождению, содержанию и воспитанию детей.</w:t>
      </w:r>
    </w:p>
    <w:p w14:paraId="617A7DC9" w14:textId="7BB68557" w:rsidR="00365670" w:rsidRPr="002B1059" w:rsidRDefault="00890344" w:rsidP="002B1059">
      <w:pPr>
        <w:spacing w:after="0" w:line="240" w:lineRule="auto"/>
        <w:ind w:firstLine="709"/>
        <w:jc w:val="both"/>
        <w:rPr>
          <w:rFonts w:ascii="Times New Roman" w:hAnsi="Times New Roman" w:cs="Times New Roman"/>
          <w:sz w:val="24"/>
          <w:szCs w:val="24"/>
        </w:rPr>
      </w:pPr>
      <w:r w:rsidRPr="002B1059">
        <w:rPr>
          <w:rFonts w:ascii="Times New Roman" w:hAnsi="Times New Roman" w:cs="Times New Roman"/>
          <w:sz w:val="24"/>
          <w:szCs w:val="24"/>
        </w:rPr>
        <w:t xml:space="preserve">Вопрос эффективности мер демографической политики является актуальным в связи с необходимостью выявления из них наиболее действенных. </w:t>
      </w:r>
      <w:r w:rsidR="00B57855" w:rsidRPr="002B1059">
        <w:rPr>
          <w:rFonts w:ascii="Times New Roman" w:hAnsi="Times New Roman" w:cs="Times New Roman"/>
          <w:sz w:val="24"/>
          <w:szCs w:val="24"/>
        </w:rPr>
        <w:t>Калачикова О.Н. и Арханг</w:t>
      </w:r>
      <w:r w:rsidR="0011740A" w:rsidRPr="002B1059">
        <w:rPr>
          <w:rFonts w:ascii="Times New Roman" w:hAnsi="Times New Roman" w:cs="Times New Roman"/>
          <w:sz w:val="24"/>
          <w:szCs w:val="24"/>
        </w:rPr>
        <w:t>е</w:t>
      </w:r>
      <w:r w:rsidR="00B57855" w:rsidRPr="002B1059">
        <w:rPr>
          <w:rFonts w:ascii="Times New Roman" w:hAnsi="Times New Roman" w:cs="Times New Roman"/>
          <w:sz w:val="24"/>
          <w:szCs w:val="24"/>
        </w:rPr>
        <w:t>льский</w:t>
      </w:r>
      <w:r w:rsidR="00D14111">
        <w:rPr>
          <w:rFonts w:ascii="Times New Roman" w:hAnsi="Times New Roman" w:cs="Times New Roman"/>
          <w:sz w:val="24"/>
          <w:szCs w:val="24"/>
        </w:rPr>
        <w:t> </w:t>
      </w:r>
      <w:r w:rsidR="00B57855" w:rsidRPr="002B1059">
        <w:rPr>
          <w:rFonts w:ascii="Times New Roman" w:hAnsi="Times New Roman" w:cs="Times New Roman"/>
          <w:sz w:val="24"/>
          <w:szCs w:val="24"/>
        </w:rPr>
        <w:t xml:space="preserve">В.Н. </w:t>
      </w:r>
      <w:r w:rsidR="00DC0D8B" w:rsidRPr="00DC0D8B">
        <w:rPr>
          <w:rFonts w:ascii="Times New Roman" w:hAnsi="Times New Roman" w:cs="Times New Roman"/>
          <w:sz w:val="24"/>
          <w:szCs w:val="24"/>
        </w:rPr>
        <w:t>[</w:t>
      </w:r>
      <w:r w:rsidR="00DC0D8B">
        <w:rPr>
          <w:rFonts w:ascii="Times New Roman" w:hAnsi="Times New Roman" w:cs="Times New Roman"/>
          <w:sz w:val="24"/>
          <w:szCs w:val="24"/>
        </w:rPr>
        <w:t>4</w:t>
      </w:r>
      <w:r w:rsidR="00DC0D8B" w:rsidRPr="00DC0D8B">
        <w:rPr>
          <w:rFonts w:ascii="Times New Roman" w:hAnsi="Times New Roman" w:cs="Times New Roman"/>
          <w:sz w:val="24"/>
          <w:szCs w:val="24"/>
        </w:rPr>
        <w:t>]</w:t>
      </w:r>
      <w:r w:rsidR="00DC0D8B">
        <w:rPr>
          <w:rFonts w:ascii="Times New Roman" w:hAnsi="Times New Roman" w:cs="Times New Roman"/>
          <w:sz w:val="24"/>
          <w:szCs w:val="24"/>
        </w:rPr>
        <w:t xml:space="preserve"> </w:t>
      </w:r>
      <w:r w:rsidR="00B57855" w:rsidRPr="002B1059">
        <w:rPr>
          <w:rFonts w:ascii="Times New Roman" w:hAnsi="Times New Roman" w:cs="Times New Roman"/>
          <w:sz w:val="24"/>
          <w:szCs w:val="24"/>
        </w:rPr>
        <w:t xml:space="preserve">отмечают, что в </w:t>
      </w:r>
      <w:r w:rsidRPr="002B1059">
        <w:rPr>
          <w:rFonts w:ascii="Times New Roman" w:hAnsi="Times New Roman" w:cs="Times New Roman"/>
          <w:sz w:val="24"/>
          <w:szCs w:val="24"/>
        </w:rPr>
        <w:t xml:space="preserve">настоящее время достаточно сложно проводить оценку какой-либо одной меры демографической политики, поскольку неизбежно проявляется их синергия. </w:t>
      </w:r>
    </w:p>
    <w:p w14:paraId="23E7677F" w14:textId="6F7EFD0C" w:rsidR="006106A9" w:rsidRPr="002B1059" w:rsidRDefault="00365670" w:rsidP="002B1059">
      <w:pPr>
        <w:spacing w:after="0" w:line="240" w:lineRule="auto"/>
        <w:ind w:firstLine="709"/>
        <w:jc w:val="both"/>
        <w:rPr>
          <w:rFonts w:ascii="Times New Roman" w:hAnsi="Times New Roman" w:cs="Times New Roman"/>
          <w:sz w:val="24"/>
          <w:szCs w:val="24"/>
        </w:rPr>
      </w:pPr>
      <w:r w:rsidRPr="002B1059">
        <w:rPr>
          <w:rFonts w:ascii="Times New Roman" w:hAnsi="Times New Roman" w:cs="Times New Roman"/>
          <w:sz w:val="24"/>
          <w:szCs w:val="24"/>
        </w:rPr>
        <w:t xml:space="preserve">В этой связи особую значимость приобретает анализ стратегий перехода от малодетности к многодетности, поскольку именно рождение второго и последующих детей в значительной степени определяет динамику суммарного коэффициента рождаемости. </w:t>
      </w:r>
      <w:r w:rsidR="006106A9" w:rsidRPr="002B1059">
        <w:rPr>
          <w:rFonts w:ascii="Times New Roman" w:hAnsi="Times New Roman" w:cs="Times New Roman"/>
          <w:sz w:val="24"/>
          <w:szCs w:val="24"/>
        </w:rPr>
        <w:t>В отечественной научной литературе отмечается, что формирование стратегии перехода к многодетности определяется совокупностью экономических, институциональных и ценностных факторов. Так, Ростовская</w:t>
      </w:r>
      <w:r w:rsidR="00521314" w:rsidRPr="002B1059">
        <w:rPr>
          <w:rFonts w:ascii="Times New Roman" w:hAnsi="Times New Roman" w:cs="Times New Roman"/>
          <w:sz w:val="24"/>
          <w:szCs w:val="24"/>
        </w:rPr>
        <w:t xml:space="preserve"> Т.К.</w:t>
      </w:r>
      <w:r w:rsidR="006106A9" w:rsidRPr="002B1059">
        <w:rPr>
          <w:rFonts w:ascii="Times New Roman" w:hAnsi="Times New Roman" w:cs="Times New Roman"/>
          <w:sz w:val="24"/>
          <w:szCs w:val="24"/>
        </w:rPr>
        <w:t xml:space="preserve"> </w:t>
      </w:r>
      <w:r w:rsidR="00DC0D8B" w:rsidRPr="00DC0D8B">
        <w:rPr>
          <w:rFonts w:ascii="Times New Roman" w:hAnsi="Times New Roman" w:cs="Times New Roman"/>
          <w:sz w:val="24"/>
          <w:szCs w:val="24"/>
        </w:rPr>
        <w:t>[</w:t>
      </w:r>
      <w:r w:rsidR="00DC0D8B">
        <w:rPr>
          <w:rFonts w:ascii="Times New Roman" w:hAnsi="Times New Roman" w:cs="Times New Roman"/>
          <w:sz w:val="24"/>
          <w:szCs w:val="24"/>
        </w:rPr>
        <w:t>5</w:t>
      </w:r>
      <w:r w:rsidR="00DC0D8B" w:rsidRPr="00DC0D8B">
        <w:rPr>
          <w:rFonts w:ascii="Times New Roman" w:hAnsi="Times New Roman" w:cs="Times New Roman"/>
          <w:sz w:val="24"/>
          <w:szCs w:val="24"/>
        </w:rPr>
        <w:t>]</w:t>
      </w:r>
      <w:r w:rsidR="00521314" w:rsidRPr="002B1059">
        <w:rPr>
          <w:sz w:val="24"/>
          <w:szCs w:val="24"/>
        </w:rPr>
        <w:t xml:space="preserve"> </w:t>
      </w:r>
      <w:r w:rsidR="006106A9" w:rsidRPr="002B1059">
        <w:rPr>
          <w:rFonts w:ascii="Times New Roman" w:hAnsi="Times New Roman" w:cs="Times New Roman"/>
          <w:sz w:val="24"/>
          <w:szCs w:val="24"/>
        </w:rPr>
        <w:t>рассматривает многодетную многопоколенную семью как важный ресурс демографического развития, подчеркивая значение системной государственной поддержки и межпоколенной взаимопомощи в воспитании детей. Журавлева</w:t>
      </w:r>
      <w:r w:rsidR="00D14111">
        <w:rPr>
          <w:rFonts w:ascii="Times New Roman" w:hAnsi="Times New Roman" w:cs="Times New Roman"/>
          <w:sz w:val="24"/>
          <w:szCs w:val="24"/>
        </w:rPr>
        <w:t> </w:t>
      </w:r>
      <w:r w:rsidR="005A6F54" w:rsidRPr="002B1059">
        <w:rPr>
          <w:rFonts w:ascii="Times New Roman" w:hAnsi="Times New Roman" w:cs="Times New Roman"/>
          <w:sz w:val="24"/>
          <w:szCs w:val="24"/>
        </w:rPr>
        <w:t xml:space="preserve">Е.К. </w:t>
      </w:r>
      <w:r w:rsidR="006106A9" w:rsidRPr="002B1059">
        <w:rPr>
          <w:rFonts w:ascii="Times New Roman" w:hAnsi="Times New Roman" w:cs="Times New Roman"/>
          <w:sz w:val="24"/>
          <w:szCs w:val="24"/>
        </w:rPr>
        <w:t>и Копцева</w:t>
      </w:r>
      <w:r w:rsidR="005A6F54" w:rsidRPr="002B1059">
        <w:rPr>
          <w:rFonts w:ascii="Times New Roman" w:hAnsi="Times New Roman" w:cs="Times New Roman"/>
          <w:sz w:val="24"/>
          <w:szCs w:val="24"/>
        </w:rPr>
        <w:t xml:space="preserve"> О.А. </w:t>
      </w:r>
      <w:r w:rsidR="00DC0D8B" w:rsidRPr="00DC0D8B">
        <w:rPr>
          <w:rFonts w:ascii="Times New Roman" w:hAnsi="Times New Roman" w:cs="Times New Roman"/>
          <w:sz w:val="24"/>
          <w:szCs w:val="24"/>
        </w:rPr>
        <w:t>[</w:t>
      </w:r>
      <w:r w:rsidR="00DC0D8B">
        <w:rPr>
          <w:rFonts w:ascii="Times New Roman" w:hAnsi="Times New Roman" w:cs="Times New Roman"/>
          <w:sz w:val="24"/>
          <w:szCs w:val="24"/>
        </w:rPr>
        <w:t>3</w:t>
      </w:r>
      <w:r w:rsidR="00DC0D8B" w:rsidRPr="00DC0D8B">
        <w:rPr>
          <w:rFonts w:ascii="Times New Roman" w:hAnsi="Times New Roman" w:cs="Times New Roman"/>
          <w:sz w:val="24"/>
          <w:szCs w:val="24"/>
        </w:rPr>
        <w:t>]</w:t>
      </w:r>
      <w:r w:rsidR="00DC0D8B">
        <w:rPr>
          <w:rFonts w:ascii="Times New Roman" w:hAnsi="Times New Roman" w:cs="Times New Roman"/>
          <w:sz w:val="24"/>
          <w:szCs w:val="24"/>
        </w:rPr>
        <w:t xml:space="preserve"> </w:t>
      </w:r>
      <w:r w:rsidR="006106A9" w:rsidRPr="002B1059">
        <w:rPr>
          <w:rFonts w:ascii="Times New Roman" w:hAnsi="Times New Roman" w:cs="Times New Roman"/>
          <w:sz w:val="24"/>
          <w:szCs w:val="24"/>
        </w:rPr>
        <w:t>выделяют ряд «опорных точек» многодетности, среди которых ценностные установки семьи, тип внутрисемейных отношений и социально-экономические условия жизнедеятельности. В свою очередь Архангельский</w:t>
      </w:r>
      <w:r w:rsidR="005A6F54" w:rsidRPr="002B1059">
        <w:rPr>
          <w:rFonts w:ascii="Times New Roman" w:hAnsi="Times New Roman" w:cs="Times New Roman"/>
          <w:sz w:val="24"/>
          <w:szCs w:val="24"/>
        </w:rPr>
        <w:t xml:space="preserve"> В.Н.  </w:t>
      </w:r>
      <w:r w:rsidR="00DC0D8B" w:rsidRPr="00DC0D8B">
        <w:rPr>
          <w:rFonts w:ascii="Times New Roman" w:hAnsi="Times New Roman" w:cs="Times New Roman"/>
          <w:sz w:val="24"/>
          <w:szCs w:val="24"/>
        </w:rPr>
        <w:t>[</w:t>
      </w:r>
      <w:r w:rsidR="00DC0D8B">
        <w:rPr>
          <w:rFonts w:ascii="Times New Roman" w:hAnsi="Times New Roman" w:cs="Times New Roman"/>
          <w:sz w:val="24"/>
          <w:szCs w:val="24"/>
        </w:rPr>
        <w:t>1</w:t>
      </w:r>
      <w:r w:rsidR="00DC0D8B" w:rsidRPr="00DC0D8B">
        <w:rPr>
          <w:rFonts w:ascii="Times New Roman" w:hAnsi="Times New Roman" w:cs="Times New Roman"/>
          <w:sz w:val="24"/>
          <w:szCs w:val="24"/>
        </w:rPr>
        <w:t>]</w:t>
      </w:r>
      <w:r w:rsidR="00DC0D8B">
        <w:rPr>
          <w:rFonts w:ascii="Times New Roman" w:hAnsi="Times New Roman" w:cs="Times New Roman"/>
          <w:sz w:val="24"/>
          <w:szCs w:val="24"/>
        </w:rPr>
        <w:t xml:space="preserve"> </w:t>
      </w:r>
      <w:r w:rsidR="006106A9" w:rsidRPr="002B1059">
        <w:rPr>
          <w:rFonts w:ascii="Times New Roman" w:hAnsi="Times New Roman" w:cs="Times New Roman"/>
          <w:sz w:val="24"/>
          <w:szCs w:val="24"/>
        </w:rPr>
        <w:t>отмечает, что изменение структуры и календаря рождаемости требует корректировки мер демографической политики с учетом реальных репродуктивных установок населения.</w:t>
      </w:r>
    </w:p>
    <w:p w14:paraId="6923D027" w14:textId="59A1A2F4" w:rsidR="006247A4" w:rsidRPr="002B1059" w:rsidRDefault="006247A4" w:rsidP="002B1059">
      <w:pPr>
        <w:spacing w:after="0" w:line="240" w:lineRule="auto"/>
        <w:ind w:firstLine="709"/>
        <w:jc w:val="both"/>
        <w:rPr>
          <w:rFonts w:ascii="Times New Roman" w:hAnsi="Times New Roman" w:cs="Times New Roman"/>
          <w:sz w:val="24"/>
          <w:szCs w:val="24"/>
        </w:rPr>
      </w:pPr>
      <w:r w:rsidRPr="002B1059">
        <w:rPr>
          <w:rFonts w:ascii="Times New Roman" w:hAnsi="Times New Roman" w:cs="Times New Roman"/>
          <w:sz w:val="24"/>
          <w:szCs w:val="24"/>
        </w:rPr>
        <w:t>Таким образом, анализ научной литературы показывает, что реализация репродуктивных намерений населения во многом определяется совокупностью социально-экономических условий и мер государственной поддержки семей с детьми. В этой связи особый интерес представляет изучение восприятия населением различных инструментов демографической политики и их значимости для реализации репродуктивных планов.</w:t>
      </w:r>
    </w:p>
    <w:p w14:paraId="532E7300" w14:textId="1145A85C" w:rsidR="006247A4" w:rsidRPr="002B1059" w:rsidRDefault="006247A4" w:rsidP="002B1059">
      <w:pPr>
        <w:spacing w:after="0" w:line="240" w:lineRule="auto"/>
        <w:ind w:firstLine="709"/>
        <w:jc w:val="both"/>
        <w:rPr>
          <w:rFonts w:ascii="Times New Roman" w:hAnsi="Times New Roman" w:cs="Times New Roman"/>
          <w:sz w:val="24"/>
          <w:szCs w:val="24"/>
        </w:rPr>
      </w:pPr>
      <w:r w:rsidRPr="002B1059">
        <w:rPr>
          <w:rFonts w:ascii="Times New Roman" w:hAnsi="Times New Roman" w:cs="Times New Roman"/>
          <w:sz w:val="24"/>
          <w:szCs w:val="24"/>
        </w:rPr>
        <w:lastRenderedPageBreak/>
        <w:t xml:space="preserve">Эмпирической базой настоящего исследования являются результаты мониторинга репродуктивного потенциала и поведения населения Вологодской области, проводимого ФГБУН </w:t>
      </w:r>
      <w:proofErr w:type="spellStart"/>
      <w:r w:rsidRPr="002B1059">
        <w:rPr>
          <w:rFonts w:ascii="Times New Roman" w:hAnsi="Times New Roman" w:cs="Times New Roman"/>
          <w:sz w:val="24"/>
          <w:szCs w:val="24"/>
        </w:rPr>
        <w:t>ВолНЦ</w:t>
      </w:r>
      <w:proofErr w:type="spellEnd"/>
      <w:r w:rsidRPr="002B1059">
        <w:rPr>
          <w:rFonts w:ascii="Times New Roman" w:hAnsi="Times New Roman" w:cs="Times New Roman"/>
          <w:sz w:val="24"/>
          <w:szCs w:val="24"/>
        </w:rPr>
        <w:t xml:space="preserve"> РАН с 2005 г. методом массового анкетного опроса населения репродуктивного возраста. Объем выборки - 1500 человек. Выборка квотная по полу, возрасту и типу поселения. Предельная ошибка выборки не превышает 5%.</w:t>
      </w:r>
    </w:p>
    <w:p w14:paraId="2A71161B" w14:textId="1D6F5577" w:rsidR="006662D1" w:rsidRPr="002B1059" w:rsidRDefault="001648FE" w:rsidP="002B1059">
      <w:pPr>
        <w:spacing w:after="0" w:line="240" w:lineRule="auto"/>
        <w:ind w:firstLine="709"/>
        <w:jc w:val="both"/>
        <w:rPr>
          <w:rFonts w:ascii="Times New Roman" w:hAnsi="Times New Roman" w:cs="Times New Roman"/>
          <w:sz w:val="24"/>
          <w:szCs w:val="24"/>
        </w:rPr>
      </w:pPr>
      <w:r w:rsidRPr="002B1059">
        <w:rPr>
          <w:rFonts w:ascii="Times New Roman" w:hAnsi="Times New Roman" w:cs="Times New Roman"/>
          <w:sz w:val="24"/>
          <w:szCs w:val="24"/>
        </w:rPr>
        <w:t xml:space="preserve">В 2025 г. восприятие роли государства при реализации репродуктивной функции семьи большинством опрошенных вновь находится в рамках концепции политики поддержки (46,7%, </w:t>
      </w:r>
      <w:r w:rsidRPr="00DF423D">
        <w:rPr>
          <w:rFonts w:ascii="Times New Roman" w:hAnsi="Times New Roman" w:cs="Times New Roman"/>
          <w:sz w:val="24"/>
          <w:szCs w:val="24"/>
        </w:rPr>
        <w:t xml:space="preserve">рис. </w:t>
      </w:r>
      <w:r w:rsidR="00030050" w:rsidRPr="00DF423D">
        <w:rPr>
          <w:rFonts w:ascii="Times New Roman" w:hAnsi="Times New Roman" w:cs="Times New Roman"/>
          <w:sz w:val="24"/>
          <w:szCs w:val="24"/>
        </w:rPr>
        <w:t>1</w:t>
      </w:r>
      <w:r w:rsidRPr="00DF423D">
        <w:rPr>
          <w:rFonts w:ascii="Times New Roman" w:hAnsi="Times New Roman" w:cs="Times New Roman"/>
          <w:sz w:val="24"/>
          <w:szCs w:val="24"/>
        </w:rPr>
        <w:t>)</w:t>
      </w:r>
      <w:r w:rsidRPr="002B1059">
        <w:rPr>
          <w:rFonts w:ascii="Times New Roman" w:hAnsi="Times New Roman" w:cs="Times New Roman"/>
          <w:sz w:val="24"/>
          <w:szCs w:val="24"/>
        </w:rPr>
        <w:t xml:space="preserve">; 38% </w:t>
      </w:r>
      <w:r w:rsidR="001F2CC6" w:rsidRPr="002B1059">
        <w:rPr>
          <w:rFonts w:ascii="Times New Roman" w:hAnsi="Times New Roman" w:cs="Times New Roman"/>
          <w:sz w:val="24"/>
          <w:szCs w:val="24"/>
        </w:rPr>
        <w:t xml:space="preserve">респондентов </w:t>
      </w:r>
      <w:r w:rsidRPr="002B1059">
        <w:rPr>
          <w:rFonts w:ascii="Times New Roman" w:hAnsi="Times New Roman" w:cs="Times New Roman"/>
          <w:sz w:val="24"/>
          <w:szCs w:val="24"/>
        </w:rPr>
        <w:t xml:space="preserve">полагают, что государство должно вести </w:t>
      </w:r>
      <w:proofErr w:type="spellStart"/>
      <w:r w:rsidRPr="002B1059">
        <w:rPr>
          <w:rFonts w:ascii="Times New Roman" w:hAnsi="Times New Roman" w:cs="Times New Roman"/>
          <w:sz w:val="24"/>
          <w:szCs w:val="24"/>
        </w:rPr>
        <w:t>проактивную</w:t>
      </w:r>
      <w:proofErr w:type="spellEnd"/>
      <w:r w:rsidRPr="002B1059">
        <w:rPr>
          <w:rFonts w:ascii="Times New Roman" w:hAnsi="Times New Roman" w:cs="Times New Roman"/>
          <w:sz w:val="24"/>
          <w:szCs w:val="24"/>
        </w:rPr>
        <w:t xml:space="preserve"> работу и мотивировать семьи к деторождению; политику невмешательства поддерживает 15% вологжан.</w:t>
      </w:r>
    </w:p>
    <w:p w14:paraId="1170D086" w14:textId="3A03DFF5" w:rsidR="00461375" w:rsidRPr="002B1059" w:rsidRDefault="006C36E3" w:rsidP="002B1059">
      <w:pPr>
        <w:spacing w:after="0" w:line="240" w:lineRule="auto"/>
        <w:ind w:right="-1"/>
        <w:jc w:val="both"/>
        <w:rPr>
          <w:rFonts w:ascii="Times New Roman" w:hAnsi="Times New Roman" w:cs="Times New Roman"/>
          <w:sz w:val="24"/>
          <w:szCs w:val="24"/>
        </w:rPr>
      </w:pPr>
      <w:r w:rsidRPr="002B1059">
        <w:rPr>
          <w:rFonts w:ascii="Times New Roman" w:hAnsi="Times New Roman" w:cs="Times New Roman"/>
          <w:noProof/>
          <w:sz w:val="24"/>
          <w:szCs w:val="24"/>
        </w:rPr>
        <w:drawing>
          <wp:inline distT="0" distB="0" distL="0" distR="0" wp14:anchorId="41B37C51" wp14:editId="4704E09E">
            <wp:extent cx="5901070" cy="2540635"/>
            <wp:effectExtent l="0" t="0" r="0" b="0"/>
            <wp:docPr id="133101000" name="Диаграмма 1">
              <a:extLst xmlns:a="http://schemas.openxmlformats.org/drawingml/2006/main">
                <a:ext uri="{FF2B5EF4-FFF2-40B4-BE49-F238E27FC236}">
                  <a16:creationId xmlns:a16="http://schemas.microsoft.com/office/drawing/2014/main" id="{A3DAA7E3-969A-4ADD-BE58-40759930FE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14:paraId="7D28E3AB" w14:textId="77777777" w:rsidR="00752447" w:rsidRDefault="001648FE" w:rsidP="002B1059">
      <w:pPr>
        <w:spacing w:after="0" w:line="240" w:lineRule="auto"/>
        <w:jc w:val="center"/>
        <w:rPr>
          <w:rFonts w:ascii="Times New Roman" w:eastAsia="Calibri" w:hAnsi="Times New Roman" w:cs="Times New Roman"/>
          <w:sz w:val="24"/>
          <w:szCs w:val="24"/>
        </w:rPr>
      </w:pPr>
      <w:r w:rsidRPr="002B1059">
        <w:rPr>
          <w:rFonts w:ascii="Times New Roman" w:eastAsia="Calibri" w:hAnsi="Times New Roman" w:cs="Times New Roman"/>
          <w:sz w:val="24"/>
          <w:szCs w:val="24"/>
        </w:rPr>
        <w:t xml:space="preserve">Рис. </w:t>
      </w:r>
      <w:r w:rsidR="00030050" w:rsidRPr="002B1059">
        <w:rPr>
          <w:rFonts w:ascii="Times New Roman" w:eastAsia="Calibri" w:hAnsi="Times New Roman" w:cs="Times New Roman"/>
          <w:sz w:val="24"/>
          <w:szCs w:val="24"/>
        </w:rPr>
        <w:t>1</w:t>
      </w:r>
      <w:r w:rsidRPr="002B1059">
        <w:rPr>
          <w:rFonts w:ascii="Times New Roman" w:eastAsia="Calibri" w:hAnsi="Times New Roman" w:cs="Times New Roman"/>
          <w:sz w:val="24"/>
          <w:szCs w:val="24"/>
        </w:rPr>
        <w:t xml:space="preserve">. </w:t>
      </w:r>
      <w:r w:rsidRPr="002B1059">
        <w:rPr>
          <w:rFonts w:ascii="Times New Roman" w:eastAsia="Calibri" w:hAnsi="Times New Roman" w:cs="Times New Roman"/>
          <w:color w:val="000000"/>
          <w:sz w:val="24"/>
          <w:szCs w:val="24"/>
        </w:rPr>
        <w:t xml:space="preserve">Распределение ответов на вопрос: </w:t>
      </w:r>
      <w:r w:rsidRPr="002B1059">
        <w:rPr>
          <w:rFonts w:ascii="Times New Roman" w:eastAsia="Calibri" w:hAnsi="Times New Roman" w:cs="Times New Roman"/>
          <w:sz w:val="24"/>
          <w:szCs w:val="24"/>
        </w:rPr>
        <w:t>«Среди мнений о демографической политике государства выберите одно, с которым Вы в наибольшей мере согласны» (в % от числа опрошенных)</w:t>
      </w:r>
    </w:p>
    <w:p w14:paraId="38796D5A" w14:textId="592B563D" w:rsidR="001648FE" w:rsidRDefault="002B1059" w:rsidP="00752447">
      <w:pPr>
        <w:spacing w:after="0" w:line="240" w:lineRule="auto"/>
        <w:jc w:val="both"/>
        <w:rPr>
          <w:rFonts w:ascii="Times New Roman" w:eastAsia="Times New Roman" w:hAnsi="Times New Roman" w:cs="Times New Roman"/>
          <w:spacing w:val="-2"/>
          <w:sz w:val="20"/>
          <w:szCs w:val="20"/>
          <w:lang w:eastAsia="ru-RU"/>
        </w:rPr>
      </w:pPr>
      <w:r w:rsidRPr="00752447">
        <w:rPr>
          <w:rFonts w:ascii="Times New Roman" w:eastAsia="Times New Roman" w:hAnsi="Times New Roman" w:cs="Times New Roman"/>
          <w:spacing w:val="-2"/>
          <w:sz w:val="20"/>
          <w:szCs w:val="20"/>
          <w:lang w:eastAsia="ru-RU"/>
        </w:rPr>
        <w:t xml:space="preserve">Источник: данные мониторинга репродуктивного потенциала населения Вологодской области, ФГБУН </w:t>
      </w:r>
      <w:proofErr w:type="spellStart"/>
      <w:r w:rsidRPr="00752447">
        <w:rPr>
          <w:rFonts w:ascii="Times New Roman" w:eastAsia="Times New Roman" w:hAnsi="Times New Roman" w:cs="Times New Roman"/>
          <w:spacing w:val="-2"/>
          <w:sz w:val="20"/>
          <w:szCs w:val="20"/>
          <w:lang w:eastAsia="ru-RU"/>
        </w:rPr>
        <w:t>ВолНЦ</w:t>
      </w:r>
      <w:proofErr w:type="spellEnd"/>
      <w:r w:rsidRPr="00752447">
        <w:rPr>
          <w:rFonts w:ascii="Times New Roman" w:eastAsia="Times New Roman" w:hAnsi="Times New Roman" w:cs="Times New Roman"/>
          <w:spacing w:val="-2"/>
          <w:sz w:val="20"/>
          <w:szCs w:val="20"/>
          <w:lang w:eastAsia="ru-RU"/>
        </w:rPr>
        <w:t xml:space="preserve"> РАН (N=1500).</w:t>
      </w:r>
    </w:p>
    <w:p w14:paraId="6E984836" w14:textId="77777777" w:rsidR="00752447" w:rsidRPr="00752447" w:rsidRDefault="00752447" w:rsidP="00752447">
      <w:pPr>
        <w:spacing w:after="0" w:line="240" w:lineRule="auto"/>
        <w:jc w:val="both"/>
        <w:rPr>
          <w:rFonts w:ascii="Times New Roman" w:eastAsia="Times New Roman" w:hAnsi="Times New Roman" w:cs="Times New Roman"/>
          <w:spacing w:val="-2"/>
          <w:sz w:val="20"/>
          <w:szCs w:val="20"/>
          <w:lang w:eastAsia="ru-RU"/>
        </w:rPr>
      </w:pPr>
    </w:p>
    <w:p w14:paraId="370F90CF" w14:textId="3B1DA125" w:rsidR="00655692" w:rsidRPr="002B1059" w:rsidRDefault="00655692" w:rsidP="002B1059">
      <w:pPr>
        <w:pStyle w:val="a3"/>
        <w:spacing w:before="0" w:beforeAutospacing="0" w:after="0" w:afterAutospacing="0"/>
        <w:ind w:firstLine="709"/>
        <w:jc w:val="both"/>
      </w:pPr>
      <w:r w:rsidRPr="002B1059">
        <w:t>Значимость реализуемых мер демографической политики в сфере поддержки семей с детьми существенно варьируется в зависимости от репродуктивных установок населения (</w:t>
      </w:r>
      <w:r w:rsidR="00DF423D">
        <w:t>т</w:t>
      </w:r>
      <w:r w:rsidRPr="002B1059">
        <w:t>абл</w:t>
      </w:r>
      <w:r w:rsidR="00DF423D">
        <w:t>.</w:t>
      </w:r>
      <w:r w:rsidRPr="002B1059">
        <w:t xml:space="preserve"> 1). Анализ полученного рейтинга действующих в настоящее время государственных мер поддержки семей, которые могли бы позволить (или уже позволили) иметь столько детей, сколько хотят респонденты показывает, что восприятие эффективности различных инструментов государственной поддержки определяется как желаемым, так и планируемым числом детей. </w:t>
      </w:r>
    </w:p>
    <w:p w14:paraId="04368800" w14:textId="30F8E325" w:rsidR="00102054" w:rsidRPr="002B1059" w:rsidRDefault="00655692" w:rsidP="00102054">
      <w:pPr>
        <w:spacing w:after="0" w:line="240" w:lineRule="auto"/>
        <w:ind w:firstLine="709"/>
        <w:jc w:val="both"/>
        <w:rPr>
          <w:rFonts w:ascii="Times New Roman" w:hAnsi="Times New Roman" w:cs="Times New Roman"/>
          <w:sz w:val="24"/>
          <w:szCs w:val="24"/>
        </w:rPr>
      </w:pPr>
      <w:r w:rsidRPr="002B1059">
        <w:rPr>
          <w:rFonts w:ascii="Times New Roman" w:hAnsi="Times New Roman" w:cs="Times New Roman"/>
          <w:sz w:val="24"/>
          <w:szCs w:val="24"/>
        </w:rPr>
        <w:t xml:space="preserve">Так, для респондентов, ориентированных на рождение первого или второго ребенка, значимую роль играют меры финансового стимулирования, прежде всего федеральный материнский (семейный) капитал. Данная мера рассматривается как один из ключевых инструментов поддержки на начальных этапах формирования семьи и принятия решения о рождении первого или второго ребенка. Вместе с тем среди респондентов, ориентированных на многодетность, федеральный материнский капитал не входит в число наиболее значимых мер, что свидетельствует о различиях в потребностях семей на разных этапах жизненного цикла. </w:t>
      </w:r>
      <w:r w:rsidR="00102054" w:rsidRPr="00102054">
        <w:rPr>
          <w:rFonts w:ascii="Times New Roman" w:hAnsi="Times New Roman" w:cs="Times New Roman"/>
          <w:color w:val="000000"/>
          <w:sz w:val="24"/>
          <w:szCs w:val="24"/>
          <w:shd w:val="clear" w:color="auto" w:fill="FFFFFF"/>
        </w:rPr>
        <w:t xml:space="preserve">Для семей, </w:t>
      </w:r>
      <w:r w:rsidR="00102054" w:rsidRPr="00102054">
        <w:rPr>
          <w:rFonts w:ascii="Times New Roman" w:hAnsi="Times New Roman" w:cs="Times New Roman"/>
          <w:color w:val="000000"/>
          <w:sz w:val="24"/>
          <w:szCs w:val="24"/>
          <w:shd w:val="clear" w:color="auto" w:fill="FFFFFF"/>
        </w:rPr>
        <w:t>планирующих</w:t>
      </w:r>
      <w:r w:rsidR="00102054" w:rsidRPr="00102054">
        <w:rPr>
          <w:rFonts w:ascii="Times New Roman" w:hAnsi="Times New Roman" w:cs="Times New Roman"/>
          <w:color w:val="000000"/>
          <w:sz w:val="24"/>
          <w:szCs w:val="24"/>
          <w:shd w:val="clear" w:color="auto" w:fill="FFFFFF"/>
        </w:rPr>
        <w:t xml:space="preserve"> первого ребенка, важно учитывать финансовую поддержку в виде пособия по беременности и родам, которое составляет 100% средней зарплаты за последние 24 месяца. Кроме того, значительную роль играют компенсации расходов на оплату жилого помещения и коммунальных услуг, а также помощь многодетным семьям в приобретении твердого топлива и сжиженного газа. Эти меры социальной поддержки способствуют улучшению финансового положения семей и созданию более комфортных условий для воспитания детей.</w:t>
      </w:r>
    </w:p>
    <w:p w14:paraId="11798F5E" w14:textId="7108BD18" w:rsidR="00F808FE" w:rsidRDefault="007825FF" w:rsidP="00AC2F30">
      <w:pPr>
        <w:spacing w:after="0" w:line="240" w:lineRule="auto"/>
        <w:ind w:firstLine="709"/>
        <w:jc w:val="both"/>
        <w:rPr>
          <w:rFonts w:ascii="Times New Roman" w:hAnsi="Times New Roman" w:cs="Times New Roman"/>
          <w:sz w:val="24"/>
          <w:szCs w:val="24"/>
        </w:rPr>
      </w:pPr>
      <w:r w:rsidRPr="002B1059">
        <w:rPr>
          <w:rFonts w:ascii="Times New Roman" w:hAnsi="Times New Roman" w:cs="Times New Roman"/>
          <w:sz w:val="24"/>
          <w:szCs w:val="24"/>
        </w:rPr>
        <w:lastRenderedPageBreak/>
        <w:t>Для семей, планирующих рождение тр</w:t>
      </w:r>
      <w:r w:rsidR="009A5234">
        <w:rPr>
          <w:rFonts w:ascii="Times New Roman" w:hAnsi="Times New Roman" w:cs="Times New Roman"/>
          <w:sz w:val="24"/>
          <w:szCs w:val="24"/>
        </w:rPr>
        <w:t>ои</w:t>
      </w:r>
      <w:r w:rsidRPr="002B1059">
        <w:rPr>
          <w:rFonts w:ascii="Times New Roman" w:hAnsi="Times New Roman" w:cs="Times New Roman"/>
          <w:sz w:val="24"/>
          <w:szCs w:val="24"/>
        </w:rPr>
        <w:t>х и более детей, более высокую значимость приобретают меры, направленные на создание условий для совмещения родительства и трудовой занятости, а также на снижение повседневных расходов, связанных с воспитанием детей. В частности, среди наиболее значимых мер для данной группы респондентов выделяются предоставление места ребенку в детском саду или яслях, ежемесячные выплаты и пособия на детей, а также налоговые льготы для работающих родителей. Это указывает на то, что для реализации многодетных репродуктивных планов важны не только единовременные выплаты, но и устойчивые механизмы поддержки, обеспечивающие долгосрочную финансовую стабильность семьи.</w:t>
      </w:r>
      <w:r w:rsidR="00AC2F30">
        <w:rPr>
          <w:rFonts w:ascii="Times New Roman" w:hAnsi="Times New Roman" w:cs="Times New Roman"/>
          <w:sz w:val="24"/>
          <w:szCs w:val="24"/>
        </w:rPr>
        <w:t xml:space="preserve"> </w:t>
      </w:r>
      <w:r w:rsidR="00F808FE" w:rsidRPr="002B1059">
        <w:rPr>
          <w:rFonts w:ascii="Times New Roman" w:hAnsi="Times New Roman" w:cs="Times New Roman"/>
          <w:sz w:val="24"/>
          <w:szCs w:val="24"/>
        </w:rPr>
        <w:t>Для многодетных семей особую значимость приобретают меры регулярной материальной поддержки. В отличие от единовременных выплат, такие меры обеспечивают более стабильную финансовую поддержку на протяжении длительного периода, что особенно важно при увеличении числа детей в семье и росте совокупных расходов на их содержание и воспитание.</w:t>
      </w:r>
      <w:r w:rsidR="00AC2F30">
        <w:rPr>
          <w:rFonts w:ascii="Times New Roman" w:hAnsi="Times New Roman" w:cs="Times New Roman"/>
          <w:sz w:val="24"/>
          <w:szCs w:val="24"/>
        </w:rPr>
        <w:t xml:space="preserve"> </w:t>
      </w:r>
      <w:r w:rsidR="00F808FE" w:rsidRPr="002B1059">
        <w:rPr>
          <w:rFonts w:ascii="Times New Roman" w:hAnsi="Times New Roman" w:cs="Times New Roman"/>
          <w:sz w:val="24"/>
          <w:szCs w:val="24"/>
        </w:rPr>
        <w:t>В то же время меры, ориентированные на ограниченные категории получателей, такие как выплаты семьям военнослужащих, занимают сравнительно низкие позиции в рейтинге для большинства групп респондентов. Это связано с тем, что данные инструменты поддержки охватывают лишь небольшую часть семей и, соответственно, оказывают менее заметное влияние на репродуктивные установки населения в целом.</w:t>
      </w:r>
    </w:p>
    <w:p w14:paraId="15541C41" w14:textId="10840307" w:rsidR="001648FE" w:rsidRPr="002B1059" w:rsidRDefault="001648FE" w:rsidP="002B1059">
      <w:pPr>
        <w:spacing w:after="0" w:line="240" w:lineRule="auto"/>
        <w:jc w:val="right"/>
        <w:rPr>
          <w:rFonts w:ascii="Times New Roman" w:eastAsia="Calibri" w:hAnsi="Times New Roman" w:cs="Times New Roman"/>
          <w:sz w:val="24"/>
          <w:szCs w:val="24"/>
        </w:rPr>
      </w:pPr>
      <w:r w:rsidRPr="002B1059">
        <w:rPr>
          <w:rFonts w:ascii="Times New Roman" w:eastAsia="Calibri" w:hAnsi="Times New Roman" w:cs="Times New Roman"/>
          <w:sz w:val="24"/>
          <w:szCs w:val="24"/>
        </w:rPr>
        <w:t xml:space="preserve">Таблица </w:t>
      </w:r>
      <w:r w:rsidR="00030050" w:rsidRPr="002B1059">
        <w:rPr>
          <w:rFonts w:ascii="Times New Roman" w:eastAsia="Calibri" w:hAnsi="Times New Roman" w:cs="Times New Roman"/>
          <w:sz w:val="24"/>
          <w:szCs w:val="24"/>
        </w:rPr>
        <w:t>1</w:t>
      </w:r>
    </w:p>
    <w:p w14:paraId="56CCACBF" w14:textId="77777777" w:rsidR="001648FE" w:rsidRPr="002B1059" w:rsidRDefault="001648FE" w:rsidP="002B1059">
      <w:pPr>
        <w:spacing w:after="0" w:line="240" w:lineRule="auto"/>
        <w:jc w:val="center"/>
        <w:rPr>
          <w:rFonts w:ascii="Times New Roman" w:hAnsi="Times New Roman" w:cs="Times New Roman"/>
          <w:sz w:val="24"/>
          <w:szCs w:val="24"/>
        </w:rPr>
      </w:pPr>
      <w:r w:rsidRPr="002B1059">
        <w:rPr>
          <w:rFonts w:ascii="Times New Roman" w:hAnsi="Times New Roman" w:cs="Times New Roman"/>
          <w:sz w:val="24"/>
          <w:szCs w:val="24"/>
        </w:rPr>
        <w:t xml:space="preserve">Рейтинг действующих в настоящее время государственных мер поддержки семей, которые могли бы позволить (или уже позволили) иметь столько детей, сколько хотят респонденты в зависимости от желаемого и планируемого числа детей (оценка значимости каждой меры по 5-балльной шкале от «1» – не имеет значения до «5» – имеет очень большое значение)», рейтинг построен по доле суммы респондентов, выбравших «4» и «5» баллов, </w:t>
      </w:r>
      <w:proofErr w:type="spellStart"/>
      <w:r w:rsidRPr="002B1059">
        <w:rPr>
          <w:rFonts w:ascii="Times New Roman" w:hAnsi="Times New Roman" w:cs="Times New Roman"/>
          <w:sz w:val="24"/>
          <w:szCs w:val="24"/>
        </w:rPr>
        <w:t>отранжировано</w:t>
      </w:r>
      <w:proofErr w:type="spellEnd"/>
      <w:r w:rsidRPr="002B1059">
        <w:rPr>
          <w:rFonts w:ascii="Times New Roman" w:hAnsi="Times New Roman" w:cs="Times New Roman"/>
          <w:sz w:val="24"/>
          <w:szCs w:val="24"/>
        </w:rPr>
        <w:t xml:space="preserve"> по планирующим иметь троих детей)</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98"/>
        <w:gridCol w:w="425"/>
        <w:gridCol w:w="425"/>
        <w:gridCol w:w="425"/>
        <w:gridCol w:w="426"/>
        <w:gridCol w:w="425"/>
        <w:gridCol w:w="425"/>
        <w:gridCol w:w="426"/>
        <w:gridCol w:w="425"/>
        <w:gridCol w:w="425"/>
        <w:gridCol w:w="426"/>
      </w:tblGrid>
      <w:tr w:rsidR="001648FE" w:rsidRPr="002372B7" w14:paraId="1044A399" w14:textId="77777777" w:rsidTr="002372B7">
        <w:trPr>
          <w:trHeight w:val="77"/>
          <w:tblHeader/>
        </w:trPr>
        <w:tc>
          <w:tcPr>
            <w:tcW w:w="5098" w:type="dxa"/>
            <w:vMerge w:val="restart"/>
            <w:shd w:val="clear" w:color="auto" w:fill="auto"/>
            <w:noWrap/>
            <w:vAlign w:val="center"/>
            <w:hideMark/>
          </w:tcPr>
          <w:p w14:paraId="050C1201" w14:textId="77777777" w:rsidR="001648FE" w:rsidRPr="002372B7" w:rsidRDefault="001648FE" w:rsidP="002372B7">
            <w:pPr>
              <w:spacing w:after="0" w:line="240" w:lineRule="auto"/>
              <w:jc w:val="center"/>
              <w:rPr>
                <w:rFonts w:ascii="Times New Roman" w:eastAsia="Times New Roman" w:hAnsi="Times New Roman" w:cs="Times New Roman"/>
                <w:sz w:val="18"/>
                <w:szCs w:val="18"/>
                <w:lang w:eastAsia="ru-RU"/>
              </w:rPr>
            </w:pPr>
            <w:r w:rsidRPr="002372B7">
              <w:rPr>
                <w:rFonts w:ascii="Times New Roman" w:eastAsia="Times New Roman" w:hAnsi="Times New Roman" w:cs="Times New Roman"/>
                <w:sz w:val="18"/>
                <w:szCs w:val="18"/>
                <w:lang w:eastAsia="ru-RU"/>
              </w:rPr>
              <w:t>Меры поддержки</w:t>
            </w:r>
          </w:p>
        </w:tc>
        <w:tc>
          <w:tcPr>
            <w:tcW w:w="2126" w:type="dxa"/>
            <w:gridSpan w:val="5"/>
            <w:shd w:val="clear" w:color="auto" w:fill="auto"/>
            <w:noWrap/>
            <w:vAlign w:val="center"/>
          </w:tcPr>
          <w:p w14:paraId="3B1B521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eastAsia="Times New Roman" w:hAnsi="Times New Roman" w:cs="Times New Roman"/>
                <w:color w:val="000000"/>
                <w:sz w:val="18"/>
                <w:szCs w:val="18"/>
                <w:lang w:eastAsia="ru-RU"/>
              </w:rPr>
              <w:t>Желаемое число детей</w:t>
            </w:r>
          </w:p>
        </w:tc>
        <w:tc>
          <w:tcPr>
            <w:tcW w:w="2127" w:type="dxa"/>
            <w:gridSpan w:val="5"/>
            <w:shd w:val="clear" w:color="auto" w:fill="auto"/>
            <w:noWrap/>
            <w:vAlign w:val="center"/>
          </w:tcPr>
          <w:p w14:paraId="2228BF6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eastAsia="Times New Roman" w:hAnsi="Times New Roman" w:cs="Times New Roman"/>
                <w:color w:val="000000"/>
                <w:sz w:val="18"/>
                <w:szCs w:val="18"/>
                <w:lang w:eastAsia="ru-RU"/>
              </w:rPr>
              <w:t>Планируемое число детей</w:t>
            </w:r>
          </w:p>
        </w:tc>
      </w:tr>
      <w:tr w:rsidR="001648FE" w:rsidRPr="002372B7" w14:paraId="251F1CBB" w14:textId="77777777" w:rsidTr="002372B7">
        <w:trPr>
          <w:trHeight w:val="77"/>
          <w:tblHeader/>
        </w:trPr>
        <w:tc>
          <w:tcPr>
            <w:tcW w:w="5098" w:type="dxa"/>
            <w:vMerge/>
            <w:shd w:val="clear" w:color="auto" w:fill="auto"/>
            <w:noWrap/>
            <w:vAlign w:val="bottom"/>
          </w:tcPr>
          <w:p w14:paraId="3444E6BF" w14:textId="77777777" w:rsidR="001648FE" w:rsidRPr="002372B7" w:rsidRDefault="001648FE" w:rsidP="002372B7">
            <w:pPr>
              <w:spacing w:after="0" w:line="240" w:lineRule="auto"/>
              <w:rPr>
                <w:rFonts w:ascii="Times New Roman" w:eastAsia="Times New Roman" w:hAnsi="Times New Roman" w:cs="Times New Roman"/>
                <w:sz w:val="18"/>
                <w:szCs w:val="18"/>
                <w:lang w:eastAsia="ru-RU"/>
              </w:rPr>
            </w:pPr>
          </w:p>
        </w:tc>
        <w:tc>
          <w:tcPr>
            <w:tcW w:w="425" w:type="dxa"/>
            <w:shd w:val="clear" w:color="auto" w:fill="auto"/>
            <w:noWrap/>
            <w:vAlign w:val="center"/>
          </w:tcPr>
          <w:p w14:paraId="5254EFC6"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eastAsia="Times New Roman" w:hAnsi="Times New Roman" w:cs="Times New Roman"/>
                <w:color w:val="000000"/>
                <w:sz w:val="18"/>
                <w:szCs w:val="18"/>
                <w:lang w:eastAsia="ru-RU"/>
              </w:rPr>
              <w:t>0</w:t>
            </w:r>
          </w:p>
        </w:tc>
        <w:tc>
          <w:tcPr>
            <w:tcW w:w="425" w:type="dxa"/>
            <w:shd w:val="clear" w:color="auto" w:fill="auto"/>
            <w:noWrap/>
            <w:vAlign w:val="center"/>
          </w:tcPr>
          <w:p w14:paraId="1F7F5639"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eastAsia="Times New Roman" w:hAnsi="Times New Roman" w:cs="Times New Roman"/>
                <w:color w:val="000000"/>
                <w:sz w:val="18"/>
                <w:szCs w:val="18"/>
                <w:lang w:eastAsia="ru-RU"/>
              </w:rPr>
              <w:t>1</w:t>
            </w:r>
          </w:p>
        </w:tc>
        <w:tc>
          <w:tcPr>
            <w:tcW w:w="425" w:type="dxa"/>
            <w:shd w:val="clear" w:color="auto" w:fill="auto"/>
            <w:noWrap/>
            <w:vAlign w:val="center"/>
          </w:tcPr>
          <w:p w14:paraId="731B93A2"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eastAsia="Times New Roman" w:hAnsi="Times New Roman" w:cs="Times New Roman"/>
                <w:color w:val="000000"/>
                <w:sz w:val="18"/>
                <w:szCs w:val="18"/>
                <w:lang w:eastAsia="ru-RU"/>
              </w:rPr>
              <w:t>2</w:t>
            </w:r>
          </w:p>
        </w:tc>
        <w:tc>
          <w:tcPr>
            <w:tcW w:w="426" w:type="dxa"/>
            <w:shd w:val="clear" w:color="auto" w:fill="auto"/>
            <w:noWrap/>
            <w:vAlign w:val="center"/>
          </w:tcPr>
          <w:p w14:paraId="03FBA04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eastAsia="Times New Roman" w:hAnsi="Times New Roman" w:cs="Times New Roman"/>
                <w:color w:val="000000"/>
                <w:sz w:val="18"/>
                <w:szCs w:val="18"/>
                <w:lang w:eastAsia="ru-RU"/>
              </w:rPr>
              <w:t>3</w:t>
            </w:r>
          </w:p>
        </w:tc>
        <w:tc>
          <w:tcPr>
            <w:tcW w:w="425" w:type="dxa"/>
            <w:shd w:val="clear" w:color="auto" w:fill="auto"/>
            <w:noWrap/>
            <w:vAlign w:val="center"/>
          </w:tcPr>
          <w:p w14:paraId="674038A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eastAsia="Times New Roman" w:hAnsi="Times New Roman" w:cs="Times New Roman"/>
                <w:color w:val="000000"/>
                <w:sz w:val="18"/>
                <w:szCs w:val="18"/>
                <w:lang w:eastAsia="ru-RU"/>
              </w:rPr>
              <w:t>4+</w:t>
            </w:r>
          </w:p>
        </w:tc>
        <w:tc>
          <w:tcPr>
            <w:tcW w:w="425" w:type="dxa"/>
            <w:shd w:val="clear" w:color="auto" w:fill="auto"/>
            <w:noWrap/>
            <w:vAlign w:val="center"/>
          </w:tcPr>
          <w:p w14:paraId="25C94FD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eastAsia="Times New Roman" w:hAnsi="Times New Roman" w:cs="Times New Roman"/>
                <w:color w:val="000000"/>
                <w:sz w:val="18"/>
                <w:szCs w:val="18"/>
                <w:lang w:eastAsia="ru-RU"/>
              </w:rPr>
              <w:t>0</w:t>
            </w:r>
          </w:p>
        </w:tc>
        <w:tc>
          <w:tcPr>
            <w:tcW w:w="426" w:type="dxa"/>
            <w:shd w:val="clear" w:color="auto" w:fill="auto"/>
            <w:noWrap/>
            <w:vAlign w:val="center"/>
          </w:tcPr>
          <w:p w14:paraId="3709567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eastAsia="Times New Roman" w:hAnsi="Times New Roman" w:cs="Times New Roman"/>
                <w:color w:val="000000"/>
                <w:sz w:val="18"/>
                <w:szCs w:val="18"/>
                <w:lang w:eastAsia="ru-RU"/>
              </w:rPr>
              <w:t>1</w:t>
            </w:r>
          </w:p>
        </w:tc>
        <w:tc>
          <w:tcPr>
            <w:tcW w:w="425" w:type="dxa"/>
            <w:shd w:val="clear" w:color="auto" w:fill="auto"/>
            <w:noWrap/>
            <w:vAlign w:val="center"/>
          </w:tcPr>
          <w:p w14:paraId="7C468E6F"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eastAsia="Times New Roman" w:hAnsi="Times New Roman" w:cs="Times New Roman"/>
                <w:color w:val="000000"/>
                <w:sz w:val="18"/>
                <w:szCs w:val="18"/>
                <w:lang w:eastAsia="ru-RU"/>
              </w:rPr>
              <w:t>2</w:t>
            </w:r>
          </w:p>
        </w:tc>
        <w:tc>
          <w:tcPr>
            <w:tcW w:w="425" w:type="dxa"/>
            <w:shd w:val="clear" w:color="auto" w:fill="auto"/>
            <w:noWrap/>
            <w:vAlign w:val="center"/>
          </w:tcPr>
          <w:p w14:paraId="39D3208D"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eastAsia="Times New Roman" w:hAnsi="Times New Roman" w:cs="Times New Roman"/>
                <w:color w:val="000000"/>
                <w:sz w:val="18"/>
                <w:szCs w:val="18"/>
                <w:lang w:eastAsia="ru-RU"/>
              </w:rPr>
              <w:t>3</w:t>
            </w:r>
          </w:p>
        </w:tc>
        <w:tc>
          <w:tcPr>
            <w:tcW w:w="426" w:type="dxa"/>
            <w:shd w:val="clear" w:color="auto" w:fill="auto"/>
            <w:noWrap/>
            <w:vAlign w:val="center"/>
          </w:tcPr>
          <w:p w14:paraId="73948E2C"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eastAsia="Times New Roman" w:hAnsi="Times New Roman" w:cs="Times New Roman"/>
                <w:color w:val="000000"/>
                <w:sz w:val="18"/>
                <w:szCs w:val="18"/>
                <w:lang w:eastAsia="ru-RU"/>
              </w:rPr>
              <w:t>4+</w:t>
            </w:r>
          </w:p>
        </w:tc>
      </w:tr>
      <w:tr w:rsidR="001648FE" w:rsidRPr="002372B7" w14:paraId="47FC5009" w14:textId="77777777" w:rsidTr="002372B7">
        <w:trPr>
          <w:trHeight w:val="77"/>
        </w:trPr>
        <w:tc>
          <w:tcPr>
            <w:tcW w:w="5098" w:type="dxa"/>
            <w:shd w:val="clear" w:color="auto" w:fill="auto"/>
            <w:noWrap/>
            <w:vAlign w:val="bottom"/>
            <w:hideMark/>
          </w:tcPr>
          <w:p w14:paraId="359DF73E"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Предоставление места для ребенка в детском саду, яслях</w:t>
            </w:r>
          </w:p>
        </w:tc>
        <w:tc>
          <w:tcPr>
            <w:tcW w:w="425" w:type="dxa"/>
            <w:shd w:val="clear" w:color="auto" w:fill="auto"/>
            <w:noWrap/>
            <w:vAlign w:val="center"/>
            <w:hideMark/>
          </w:tcPr>
          <w:p w14:paraId="0822E00A"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14</w:t>
            </w:r>
          </w:p>
        </w:tc>
        <w:tc>
          <w:tcPr>
            <w:tcW w:w="425" w:type="dxa"/>
            <w:shd w:val="clear" w:color="auto" w:fill="auto"/>
            <w:noWrap/>
            <w:vAlign w:val="center"/>
            <w:hideMark/>
          </w:tcPr>
          <w:p w14:paraId="3CF9A34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19</w:t>
            </w:r>
          </w:p>
        </w:tc>
        <w:tc>
          <w:tcPr>
            <w:tcW w:w="425" w:type="dxa"/>
            <w:shd w:val="clear" w:color="auto" w:fill="auto"/>
            <w:noWrap/>
            <w:vAlign w:val="center"/>
            <w:hideMark/>
          </w:tcPr>
          <w:p w14:paraId="4FFA4EE9"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5</w:t>
            </w:r>
          </w:p>
        </w:tc>
        <w:tc>
          <w:tcPr>
            <w:tcW w:w="426" w:type="dxa"/>
            <w:shd w:val="clear" w:color="auto" w:fill="auto"/>
            <w:noWrap/>
            <w:vAlign w:val="center"/>
            <w:hideMark/>
          </w:tcPr>
          <w:p w14:paraId="50B2123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w:t>
            </w:r>
          </w:p>
        </w:tc>
        <w:tc>
          <w:tcPr>
            <w:tcW w:w="425" w:type="dxa"/>
            <w:shd w:val="clear" w:color="auto" w:fill="auto"/>
            <w:noWrap/>
            <w:vAlign w:val="center"/>
            <w:hideMark/>
          </w:tcPr>
          <w:p w14:paraId="5A72A6F1"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3</w:t>
            </w:r>
          </w:p>
        </w:tc>
        <w:tc>
          <w:tcPr>
            <w:tcW w:w="425" w:type="dxa"/>
            <w:shd w:val="clear" w:color="auto" w:fill="auto"/>
            <w:noWrap/>
            <w:vAlign w:val="center"/>
            <w:hideMark/>
          </w:tcPr>
          <w:p w14:paraId="7B7B6442"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23</w:t>
            </w:r>
          </w:p>
        </w:tc>
        <w:tc>
          <w:tcPr>
            <w:tcW w:w="426" w:type="dxa"/>
            <w:shd w:val="clear" w:color="auto" w:fill="auto"/>
            <w:noWrap/>
            <w:vAlign w:val="center"/>
            <w:hideMark/>
          </w:tcPr>
          <w:p w14:paraId="47C229B8"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20</w:t>
            </w:r>
          </w:p>
        </w:tc>
        <w:tc>
          <w:tcPr>
            <w:tcW w:w="425" w:type="dxa"/>
            <w:shd w:val="clear" w:color="auto" w:fill="auto"/>
            <w:noWrap/>
            <w:vAlign w:val="center"/>
            <w:hideMark/>
          </w:tcPr>
          <w:p w14:paraId="7EC7475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4</w:t>
            </w:r>
          </w:p>
        </w:tc>
        <w:tc>
          <w:tcPr>
            <w:tcW w:w="425" w:type="dxa"/>
            <w:shd w:val="clear" w:color="auto" w:fill="auto"/>
            <w:noWrap/>
            <w:vAlign w:val="center"/>
            <w:hideMark/>
          </w:tcPr>
          <w:p w14:paraId="3E08CA18"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w:t>
            </w:r>
          </w:p>
        </w:tc>
        <w:tc>
          <w:tcPr>
            <w:tcW w:w="426" w:type="dxa"/>
            <w:shd w:val="clear" w:color="auto" w:fill="auto"/>
            <w:noWrap/>
            <w:vAlign w:val="center"/>
            <w:hideMark/>
          </w:tcPr>
          <w:p w14:paraId="723DCD5D"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19</w:t>
            </w:r>
          </w:p>
        </w:tc>
      </w:tr>
      <w:tr w:rsidR="001648FE" w:rsidRPr="002372B7" w14:paraId="32E24542" w14:textId="77777777" w:rsidTr="002372B7">
        <w:trPr>
          <w:trHeight w:val="70"/>
        </w:trPr>
        <w:tc>
          <w:tcPr>
            <w:tcW w:w="5098" w:type="dxa"/>
            <w:shd w:val="clear" w:color="auto" w:fill="auto"/>
            <w:noWrap/>
            <w:vAlign w:val="bottom"/>
            <w:hideMark/>
          </w:tcPr>
          <w:p w14:paraId="35974EA6"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Ежемесячное денежное пособие по уходу за ребёнком до 1,5 лет</w:t>
            </w:r>
          </w:p>
        </w:tc>
        <w:tc>
          <w:tcPr>
            <w:tcW w:w="425" w:type="dxa"/>
            <w:shd w:val="clear" w:color="auto" w:fill="auto"/>
            <w:noWrap/>
            <w:vAlign w:val="center"/>
            <w:hideMark/>
          </w:tcPr>
          <w:p w14:paraId="08B106E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7</w:t>
            </w:r>
          </w:p>
        </w:tc>
        <w:tc>
          <w:tcPr>
            <w:tcW w:w="425" w:type="dxa"/>
            <w:shd w:val="clear" w:color="auto" w:fill="auto"/>
            <w:noWrap/>
            <w:vAlign w:val="center"/>
            <w:hideMark/>
          </w:tcPr>
          <w:p w14:paraId="0A639D06"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17</w:t>
            </w:r>
          </w:p>
        </w:tc>
        <w:tc>
          <w:tcPr>
            <w:tcW w:w="425" w:type="dxa"/>
            <w:shd w:val="clear" w:color="auto" w:fill="auto"/>
            <w:noWrap/>
            <w:vAlign w:val="center"/>
            <w:hideMark/>
          </w:tcPr>
          <w:p w14:paraId="2A8BAA6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w:t>
            </w:r>
          </w:p>
        </w:tc>
        <w:tc>
          <w:tcPr>
            <w:tcW w:w="426" w:type="dxa"/>
            <w:shd w:val="clear" w:color="auto" w:fill="auto"/>
            <w:noWrap/>
            <w:vAlign w:val="center"/>
            <w:hideMark/>
          </w:tcPr>
          <w:p w14:paraId="4B13EB62"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3</w:t>
            </w:r>
          </w:p>
        </w:tc>
        <w:tc>
          <w:tcPr>
            <w:tcW w:w="425" w:type="dxa"/>
            <w:shd w:val="clear" w:color="auto" w:fill="auto"/>
            <w:noWrap/>
            <w:vAlign w:val="center"/>
            <w:hideMark/>
          </w:tcPr>
          <w:p w14:paraId="5639E58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5</w:t>
            </w:r>
          </w:p>
        </w:tc>
        <w:tc>
          <w:tcPr>
            <w:tcW w:w="425" w:type="dxa"/>
            <w:shd w:val="clear" w:color="auto" w:fill="auto"/>
            <w:noWrap/>
            <w:vAlign w:val="center"/>
            <w:hideMark/>
          </w:tcPr>
          <w:p w14:paraId="0626EDC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w:t>
            </w:r>
          </w:p>
        </w:tc>
        <w:tc>
          <w:tcPr>
            <w:tcW w:w="426" w:type="dxa"/>
            <w:shd w:val="clear" w:color="auto" w:fill="auto"/>
            <w:noWrap/>
            <w:vAlign w:val="center"/>
            <w:hideMark/>
          </w:tcPr>
          <w:p w14:paraId="1E7C58DD"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11</w:t>
            </w:r>
          </w:p>
        </w:tc>
        <w:tc>
          <w:tcPr>
            <w:tcW w:w="425" w:type="dxa"/>
            <w:shd w:val="clear" w:color="auto" w:fill="auto"/>
            <w:noWrap/>
            <w:vAlign w:val="center"/>
            <w:hideMark/>
          </w:tcPr>
          <w:p w14:paraId="2369D5E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w:t>
            </w:r>
          </w:p>
        </w:tc>
        <w:tc>
          <w:tcPr>
            <w:tcW w:w="425" w:type="dxa"/>
            <w:shd w:val="clear" w:color="auto" w:fill="auto"/>
            <w:noWrap/>
            <w:vAlign w:val="center"/>
            <w:hideMark/>
          </w:tcPr>
          <w:p w14:paraId="2E3FBA9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w:t>
            </w:r>
          </w:p>
        </w:tc>
        <w:tc>
          <w:tcPr>
            <w:tcW w:w="426" w:type="dxa"/>
            <w:shd w:val="clear" w:color="auto" w:fill="auto"/>
            <w:noWrap/>
            <w:vAlign w:val="center"/>
            <w:hideMark/>
          </w:tcPr>
          <w:p w14:paraId="5DE4F04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4</w:t>
            </w:r>
          </w:p>
        </w:tc>
      </w:tr>
      <w:tr w:rsidR="001648FE" w:rsidRPr="002372B7" w14:paraId="4FE80613" w14:textId="77777777" w:rsidTr="002372B7">
        <w:trPr>
          <w:trHeight w:val="77"/>
        </w:trPr>
        <w:tc>
          <w:tcPr>
            <w:tcW w:w="5098" w:type="dxa"/>
            <w:shd w:val="clear" w:color="auto" w:fill="auto"/>
            <w:noWrap/>
            <w:vAlign w:val="bottom"/>
            <w:hideMark/>
          </w:tcPr>
          <w:p w14:paraId="2D87C5AD"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Налоговые льготы работающим родителям (стандартный налоговый вычет)</w:t>
            </w:r>
          </w:p>
        </w:tc>
        <w:tc>
          <w:tcPr>
            <w:tcW w:w="425" w:type="dxa"/>
            <w:shd w:val="clear" w:color="auto" w:fill="auto"/>
            <w:noWrap/>
            <w:vAlign w:val="center"/>
            <w:hideMark/>
          </w:tcPr>
          <w:p w14:paraId="4CB7496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19</w:t>
            </w:r>
          </w:p>
        </w:tc>
        <w:tc>
          <w:tcPr>
            <w:tcW w:w="425" w:type="dxa"/>
            <w:shd w:val="clear" w:color="auto" w:fill="auto"/>
            <w:noWrap/>
            <w:vAlign w:val="center"/>
            <w:hideMark/>
          </w:tcPr>
          <w:p w14:paraId="2E86C55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16</w:t>
            </w:r>
          </w:p>
        </w:tc>
        <w:tc>
          <w:tcPr>
            <w:tcW w:w="425" w:type="dxa"/>
            <w:shd w:val="clear" w:color="auto" w:fill="auto"/>
            <w:noWrap/>
            <w:vAlign w:val="center"/>
            <w:hideMark/>
          </w:tcPr>
          <w:p w14:paraId="034C54F3"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11</w:t>
            </w:r>
          </w:p>
        </w:tc>
        <w:tc>
          <w:tcPr>
            <w:tcW w:w="426" w:type="dxa"/>
            <w:shd w:val="clear" w:color="auto" w:fill="auto"/>
            <w:noWrap/>
            <w:vAlign w:val="center"/>
            <w:hideMark/>
          </w:tcPr>
          <w:p w14:paraId="22639B5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13</w:t>
            </w:r>
          </w:p>
        </w:tc>
        <w:tc>
          <w:tcPr>
            <w:tcW w:w="425" w:type="dxa"/>
            <w:shd w:val="clear" w:color="auto" w:fill="auto"/>
            <w:noWrap/>
            <w:vAlign w:val="center"/>
            <w:hideMark/>
          </w:tcPr>
          <w:p w14:paraId="624A05E8"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w:t>
            </w:r>
          </w:p>
        </w:tc>
        <w:tc>
          <w:tcPr>
            <w:tcW w:w="425" w:type="dxa"/>
            <w:shd w:val="clear" w:color="auto" w:fill="auto"/>
            <w:noWrap/>
            <w:vAlign w:val="center"/>
            <w:hideMark/>
          </w:tcPr>
          <w:p w14:paraId="4CD18ED1"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18</w:t>
            </w:r>
          </w:p>
        </w:tc>
        <w:tc>
          <w:tcPr>
            <w:tcW w:w="426" w:type="dxa"/>
            <w:shd w:val="clear" w:color="auto" w:fill="auto"/>
            <w:noWrap/>
            <w:vAlign w:val="center"/>
            <w:hideMark/>
          </w:tcPr>
          <w:p w14:paraId="1E60B33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10</w:t>
            </w:r>
          </w:p>
        </w:tc>
        <w:tc>
          <w:tcPr>
            <w:tcW w:w="425" w:type="dxa"/>
            <w:shd w:val="clear" w:color="auto" w:fill="auto"/>
            <w:noWrap/>
            <w:vAlign w:val="center"/>
            <w:hideMark/>
          </w:tcPr>
          <w:p w14:paraId="7EC8A6F6"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15</w:t>
            </w:r>
          </w:p>
        </w:tc>
        <w:tc>
          <w:tcPr>
            <w:tcW w:w="425" w:type="dxa"/>
            <w:shd w:val="clear" w:color="auto" w:fill="auto"/>
            <w:noWrap/>
            <w:vAlign w:val="center"/>
            <w:hideMark/>
          </w:tcPr>
          <w:p w14:paraId="72BA24F9"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3</w:t>
            </w:r>
          </w:p>
        </w:tc>
        <w:tc>
          <w:tcPr>
            <w:tcW w:w="426" w:type="dxa"/>
            <w:shd w:val="clear" w:color="auto" w:fill="auto"/>
            <w:noWrap/>
            <w:vAlign w:val="center"/>
            <w:hideMark/>
          </w:tcPr>
          <w:p w14:paraId="6A295D2A"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7</w:t>
            </w:r>
          </w:p>
        </w:tc>
      </w:tr>
      <w:tr w:rsidR="001648FE" w:rsidRPr="002372B7" w14:paraId="2637FD89" w14:textId="77777777" w:rsidTr="002372B7">
        <w:trPr>
          <w:trHeight w:val="77"/>
        </w:trPr>
        <w:tc>
          <w:tcPr>
            <w:tcW w:w="5098" w:type="dxa"/>
            <w:shd w:val="clear" w:color="auto" w:fill="auto"/>
            <w:noWrap/>
            <w:vAlign w:val="bottom"/>
            <w:hideMark/>
          </w:tcPr>
          <w:p w14:paraId="133DDD5F"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Пособие по беременности и родам («декретные») в размере 100% средней зарплаты, получаемой за последние 24 месяца</w:t>
            </w:r>
          </w:p>
        </w:tc>
        <w:tc>
          <w:tcPr>
            <w:tcW w:w="425" w:type="dxa"/>
            <w:shd w:val="clear" w:color="auto" w:fill="auto"/>
            <w:noWrap/>
            <w:vAlign w:val="center"/>
            <w:hideMark/>
          </w:tcPr>
          <w:p w14:paraId="4762508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3</w:t>
            </w:r>
          </w:p>
        </w:tc>
        <w:tc>
          <w:tcPr>
            <w:tcW w:w="425" w:type="dxa"/>
            <w:shd w:val="clear" w:color="auto" w:fill="auto"/>
            <w:noWrap/>
            <w:vAlign w:val="center"/>
            <w:hideMark/>
          </w:tcPr>
          <w:p w14:paraId="21B7AAFA"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20</w:t>
            </w:r>
          </w:p>
        </w:tc>
        <w:tc>
          <w:tcPr>
            <w:tcW w:w="425" w:type="dxa"/>
            <w:shd w:val="clear" w:color="auto" w:fill="auto"/>
            <w:noWrap/>
            <w:vAlign w:val="center"/>
            <w:hideMark/>
          </w:tcPr>
          <w:p w14:paraId="1E26F63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3</w:t>
            </w:r>
          </w:p>
        </w:tc>
        <w:tc>
          <w:tcPr>
            <w:tcW w:w="426" w:type="dxa"/>
            <w:shd w:val="clear" w:color="auto" w:fill="auto"/>
            <w:noWrap/>
            <w:vAlign w:val="center"/>
            <w:hideMark/>
          </w:tcPr>
          <w:p w14:paraId="57BF6036"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w:t>
            </w:r>
          </w:p>
        </w:tc>
        <w:tc>
          <w:tcPr>
            <w:tcW w:w="425" w:type="dxa"/>
            <w:shd w:val="clear" w:color="auto" w:fill="auto"/>
            <w:noWrap/>
            <w:vAlign w:val="center"/>
            <w:hideMark/>
          </w:tcPr>
          <w:p w14:paraId="63DACA1D"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16</w:t>
            </w:r>
          </w:p>
        </w:tc>
        <w:tc>
          <w:tcPr>
            <w:tcW w:w="425" w:type="dxa"/>
            <w:shd w:val="clear" w:color="auto" w:fill="auto"/>
            <w:noWrap/>
            <w:vAlign w:val="center"/>
            <w:hideMark/>
          </w:tcPr>
          <w:p w14:paraId="5B8893D9"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20</w:t>
            </w:r>
          </w:p>
        </w:tc>
        <w:tc>
          <w:tcPr>
            <w:tcW w:w="426" w:type="dxa"/>
            <w:shd w:val="clear" w:color="auto" w:fill="auto"/>
            <w:noWrap/>
            <w:vAlign w:val="center"/>
            <w:hideMark/>
          </w:tcPr>
          <w:p w14:paraId="219CD97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w:t>
            </w:r>
          </w:p>
        </w:tc>
        <w:tc>
          <w:tcPr>
            <w:tcW w:w="425" w:type="dxa"/>
            <w:shd w:val="clear" w:color="auto" w:fill="auto"/>
            <w:noWrap/>
            <w:vAlign w:val="center"/>
            <w:hideMark/>
          </w:tcPr>
          <w:p w14:paraId="194F070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3</w:t>
            </w:r>
          </w:p>
        </w:tc>
        <w:tc>
          <w:tcPr>
            <w:tcW w:w="425" w:type="dxa"/>
            <w:shd w:val="clear" w:color="auto" w:fill="auto"/>
            <w:noWrap/>
            <w:vAlign w:val="center"/>
            <w:hideMark/>
          </w:tcPr>
          <w:p w14:paraId="07CCF00F"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4</w:t>
            </w:r>
          </w:p>
        </w:tc>
        <w:tc>
          <w:tcPr>
            <w:tcW w:w="426" w:type="dxa"/>
            <w:shd w:val="clear" w:color="auto" w:fill="auto"/>
            <w:noWrap/>
            <w:vAlign w:val="center"/>
            <w:hideMark/>
          </w:tcPr>
          <w:p w14:paraId="5C222D7D"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20</w:t>
            </w:r>
          </w:p>
        </w:tc>
      </w:tr>
      <w:tr w:rsidR="001648FE" w:rsidRPr="002372B7" w14:paraId="5DECC566" w14:textId="77777777" w:rsidTr="002372B7">
        <w:trPr>
          <w:trHeight w:val="77"/>
        </w:trPr>
        <w:tc>
          <w:tcPr>
            <w:tcW w:w="5098" w:type="dxa"/>
            <w:shd w:val="clear" w:color="auto" w:fill="auto"/>
            <w:noWrap/>
            <w:vAlign w:val="bottom"/>
            <w:hideMark/>
          </w:tcPr>
          <w:p w14:paraId="4D06448A"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Предоставление автомобильного транспорта многодетным семьям, воспитывающим 8 и более детей</w:t>
            </w:r>
          </w:p>
        </w:tc>
        <w:tc>
          <w:tcPr>
            <w:tcW w:w="425" w:type="dxa"/>
            <w:shd w:val="clear" w:color="auto" w:fill="auto"/>
            <w:noWrap/>
            <w:vAlign w:val="center"/>
            <w:hideMark/>
          </w:tcPr>
          <w:p w14:paraId="04803ED3"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21</w:t>
            </w:r>
          </w:p>
        </w:tc>
        <w:tc>
          <w:tcPr>
            <w:tcW w:w="425" w:type="dxa"/>
            <w:shd w:val="clear" w:color="auto" w:fill="auto"/>
            <w:noWrap/>
            <w:vAlign w:val="center"/>
            <w:hideMark/>
          </w:tcPr>
          <w:p w14:paraId="46F6CC3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9</w:t>
            </w:r>
          </w:p>
        </w:tc>
        <w:tc>
          <w:tcPr>
            <w:tcW w:w="425" w:type="dxa"/>
            <w:shd w:val="clear" w:color="auto" w:fill="auto"/>
            <w:noWrap/>
            <w:vAlign w:val="center"/>
            <w:hideMark/>
          </w:tcPr>
          <w:p w14:paraId="0505303A"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13</w:t>
            </w:r>
          </w:p>
        </w:tc>
        <w:tc>
          <w:tcPr>
            <w:tcW w:w="426" w:type="dxa"/>
            <w:shd w:val="clear" w:color="auto" w:fill="auto"/>
            <w:noWrap/>
            <w:vAlign w:val="center"/>
            <w:hideMark/>
          </w:tcPr>
          <w:p w14:paraId="3317D72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4</w:t>
            </w:r>
          </w:p>
        </w:tc>
        <w:tc>
          <w:tcPr>
            <w:tcW w:w="425" w:type="dxa"/>
            <w:shd w:val="clear" w:color="auto" w:fill="auto"/>
            <w:noWrap/>
            <w:vAlign w:val="center"/>
            <w:hideMark/>
          </w:tcPr>
          <w:p w14:paraId="34A66C01"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4</w:t>
            </w:r>
          </w:p>
        </w:tc>
        <w:tc>
          <w:tcPr>
            <w:tcW w:w="425" w:type="dxa"/>
            <w:shd w:val="clear" w:color="auto" w:fill="auto"/>
            <w:noWrap/>
            <w:vAlign w:val="center"/>
            <w:hideMark/>
          </w:tcPr>
          <w:p w14:paraId="6F8A44F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24</w:t>
            </w:r>
          </w:p>
        </w:tc>
        <w:tc>
          <w:tcPr>
            <w:tcW w:w="426" w:type="dxa"/>
            <w:shd w:val="clear" w:color="auto" w:fill="auto"/>
            <w:noWrap/>
            <w:vAlign w:val="center"/>
            <w:hideMark/>
          </w:tcPr>
          <w:p w14:paraId="2684B96F"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18</w:t>
            </w:r>
          </w:p>
        </w:tc>
        <w:tc>
          <w:tcPr>
            <w:tcW w:w="425" w:type="dxa"/>
            <w:shd w:val="clear" w:color="auto" w:fill="auto"/>
            <w:noWrap/>
            <w:vAlign w:val="center"/>
            <w:hideMark/>
          </w:tcPr>
          <w:p w14:paraId="4CCA9AFC"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14</w:t>
            </w:r>
          </w:p>
        </w:tc>
        <w:tc>
          <w:tcPr>
            <w:tcW w:w="425" w:type="dxa"/>
            <w:shd w:val="clear" w:color="auto" w:fill="auto"/>
            <w:noWrap/>
            <w:vAlign w:val="center"/>
            <w:hideMark/>
          </w:tcPr>
          <w:p w14:paraId="13A8903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5</w:t>
            </w:r>
          </w:p>
        </w:tc>
        <w:tc>
          <w:tcPr>
            <w:tcW w:w="426" w:type="dxa"/>
            <w:shd w:val="clear" w:color="auto" w:fill="auto"/>
            <w:noWrap/>
            <w:vAlign w:val="center"/>
            <w:hideMark/>
          </w:tcPr>
          <w:p w14:paraId="44B1393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3</w:t>
            </w:r>
          </w:p>
        </w:tc>
      </w:tr>
      <w:tr w:rsidR="001648FE" w:rsidRPr="002372B7" w14:paraId="28F1612A" w14:textId="77777777" w:rsidTr="002372B7">
        <w:trPr>
          <w:trHeight w:val="77"/>
        </w:trPr>
        <w:tc>
          <w:tcPr>
            <w:tcW w:w="5098" w:type="dxa"/>
            <w:shd w:val="clear" w:color="auto" w:fill="auto"/>
            <w:noWrap/>
            <w:vAlign w:val="bottom"/>
            <w:hideMark/>
          </w:tcPr>
          <w:p w14:paraId="5F5DD2C3"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Компенсация расходов на оплату жилого помещения и коммунальных услуг (ЕДК), на приобретение твердого топлива, сжиженного газа многодетным семьям</w:t>
            </w:r>
          </w:p>
        </w:tc>
        <w:tc>
          <w:tcPr>
            <w:tcW w:w="425" w:type="dxa"/>
            <w:shd w:val="clear" w:color="auto" w:fill="auto"/>
            <w:noWrap/>
            <w:vAlign w:val="center"/>
            <w:hideMark/>
          </w:tcPr>
          <w:p w14:paraId="2D6B749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11</w:t>
            </w:r>
          </w:p>
        </w:tc>
        <w:tc>
          <w:tcPr>
            <w:tcW w:w="425" w:type="dxa"/>
            <w:shd w:val="clear" w:color="auto" w:fill="auto"/>
            <w:noWrap/>
            <w:vAlign w:val="center"/>
            <w:hideMark/>
          </w:tcPr>
          <w:p w14:paraId="0E6447A2"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w:t>
            </w:r>
          </w:p>
        </w:tc>
        <w:tc>
          <w:tcPr>
            <w:tcW w:w="425" w:type="dxa"/>
            <w:shd w:val="clear" w:color="auto" w:fill="auto"/>
            <w:noWrap/>
            <w:vAlign w:val="center"/>
            <w:hideMark/>
          </w:tcPr>
          <w:p w14:paraId="381CBA9D"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14</w:t>
            </w:r>
          </w:p>
        </w:tc>
        <w:tc>
          <w:tcPr>
            <w:tcW w:w="426" w:type="dxa"/>
            <w:shd w:val="clear" w:color="auto" w:fill="auto"/>
            <w:noWrap/>
            <w:vAlign w:val="center"/>
            <w:hideMark/>
          </w:tcPr>
          <w:p w14:paraId="412FEBA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12</w:t>
            </w:r>
          </w:p>
        </w:tc>
        <w:tc>
          <w:tcPr>
            <w:tcW w:w="425" w:type="dxa"/>
            <w:shd w:val="clear" w:color="auto" w:fill="auto"/>
            <w:noWrap/>
            <w:vAlign w:val="center"/>
            <w:hideMark/>
          </w:tcPr>
          <w:p w14:paraId="66715976"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9</w:t>
            </w:r>
          </w:p>
        </w:tc>
        <w:tc>
          <w:tcPr>
            <w:tcW w:w="425" w:type="dxa"/>
            <w:shd w:val="clear" w:color="auto" w:fill="auto"/>
            <w:noWrap/>
            <w:vAlign w:val="center"/>
            <w:hideMark/>
          </w:tcPr>
          <w:p w14:paraId="2581E93F"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9</w:t>
            </w:r>
          </w:p>
        </w:tc>
        <w:tc>
          <w:tcPr>
            <w:tcW w:w="426" w:type="dxa"/>
            <w:shd w:val="clear" w:color="auto" w:fill="auto"/>
            <w:noWrap/>
            <w:vAlign w:val="center"/>
            <w:hideMark/>
          </w:tcPr>
          <w:p w14:paraId="03DDE683"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4</w:t>
            </w:r>
          </w:p>
        </w:tc>
        <w:tc>
          <w:tcPr>
            <w:tcW w:w="425" w:type="dxa"/>
            <w:shd w:val="clear" w:color="auto" w:fill="auto"/>
            <w:noWrap/>
            <w:vAlign w:val="center"/>
            <w:hideMark/>
          </w:tcPr>
          <w:p w14:paraId="72E0F42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11</w:t>
            </w:r>
          </w:p>
        </w:tc>
        <w:tc>
          <w:tcPr>
            <w:tcW w:w="425" w:type="dxa"/>
            <w:shd w:val="clear" w:color="auto" w:fill="auto"/>
            <w:noWrap/>
            <w:vAlign w:val="center"/>
            <w:hideMark/>
          </w:tcPr>
          <w:p w14:paraId="3B03375D"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6</w:t>
            </w:r>
          </w:p>
        </w:tc>
        <w:tc>
          <w:tcPr>
            <w:tcW w:w="426" w:type="dxa"/>
            <w:shd w:val="clear" w:color="auto" w:fill="auto"/>
            <w:noWrap/>
            <w:vAlign w:val="center"/>
            <w:hideMark/>
          </w:tcPr>
          <w:p w14:paraId="056FB14C"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16</w:t>
            </w:r>
          </w:p>
        </w:tc>
      </w:tr>
      <w:tr w:rsidR="001648FE" w:rsidRPr="002372B7" w14:paraId="015117DE" w14:textId="77777777" w:rsidTr="002372B7">
        <w:trPr>
          <w:trHeight w:val="77"/>
        </w:trPr>
        <w:tc>
          <w:tcPr>
            <w:tcW w:w="5098" w:type="dxa"/>
            <w:shd w:val="clear" w:color="auto" w:fill="auto"/>
            <w:noWrap/>
            <w:vAlign w:val="bottom"/>
            <w:hideMark/>
          </w:tcPr>
          <w:p w14:paraId="4F2956B5"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Льгота по транспортному налогу для многодетных семей (в отношении 1 транспортного средства по выбору налогоплательщика)</w:t>
            </w:r>
          </w:p>
        </w:tc>
        <w:tc>
          <w:tcPr>
            <w:tcW w:w="425" w:type="dxa"/>
            <w:shd w:val="clear" w:color="auto" w:fill="auto"/>
            <w:noWrap/>
            <w:vAlign w:val="center"/>
            <w:hideMark/>
          </w:tcPr>
          <w:p w14:paraId="7FF03E68"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5</w:t>
            </w:r>
          </w:p>
        </w:tc>
        <w:tc>
          <w:tcPr>
            <w:tcW w:w="425" w:type="dxa"/>
            <w:shd w:val="clear" w:color="auto" w:fill="auto"/>
            <w:noWrap/>
            <w:vAlign w:val="center"/>
            <w:hideMark/>
          </w:tcPr>
          <w:p w14:paraId="3E97281F"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25</w:t>
            </w:r>
          </w:p>
        </w:tc>
        <w:tc>
          <w:tcPr>
            <w:tcW w:w="425" w:type="dxa"/>
            <w:shd w:val="clear" w:color="auto" w:fill="auto"/>
            <w:noWrap/>
            <w:vAlign w:val="center"/>
            <w:hideMark/>
          </w:tcPr>
          <w:p w14:paraId="47EB0F58"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19</w:t>
            </w:r>
          </w:p>
        </w:tc>
        <w:tc>
          <w:tcPr>
            <w:tcW w:w="426" w:type="dxa"/>
            <w:shd w:val="clear" w:color="auto" w:fill="auto"/>
            <w:noWrap/>
            <w:vAlign w:val="center"/>
            <w:hideMark/>
          </w:tcPr>
          <w:p w14:paraId="1FB873E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8</w:t>
            </w:r>
          </w:p>
        </w:tc>
        <w:tc>
          <w:tcPr>
            <w:tcW w:w="425" w:type="dxa"/>
            <w:shd w:val="clear" w:color="auto" w:fill="auto"/>
            <w:noWrap/>
            <w:vAlign w:val="center"/>
            <w:hideMark/>
          </w:tcPr>
          <w:p w14:paraId="0242D24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17</w:t>
            </w:r>
          </w:p>
        </w:tc>
        <w:tc>
          <w:tcPr>
            <w:tcW w:w="425" w:type="dxa"/>
            <w:shd w:val="clear" w:color="auto" w:fill="auto"/>
            <w:noWrap/>
            <w:vAlign w:val="center"/>
            <w:hideMark/>
          </w:tcPr>
          <w:p w14:paraId="58892569"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10</w:t>
            </w:r>
          </w:p>
        </w:tc>
        <w:tc>
          <w:tcPr>
            <w:tcW w:w="426" w:type="dxa"/>
            <w:shd w:val="clear" w:color="auto" w:fill="auto"/>
            <w:noWrap/>
            <w:vAlign w:val="center"/>
            <w:hideMark/>
          </w:tcPr>
          <w:p w14:paraId="206D1B8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16</w:t>
            </w:r>
          </w:p>
        </w:tc>
        <w:tc>
          <w:tcPr>
            <w:tcW w:w="425" w:type="dxa"/>
            <w:shd w:val="clear" w:color="auto" w:fill="auto"/>
            <w:noWrap/>
            <w:vAlign w:val="center"/>
            <w:hideMark/>
          </w:tcPr>
          <w:p w14:paraId="14C576CA"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19</w:t>
            </w:r>
          </w:p>
        </w:tc>
        <w:tc>
          <w:tcPr>
            <w:tcW w:w="425" w:type="dxa"/>
            <w:shd w:val="clear" w:color="auto" w:fill="auto"/>
            <w:noWrap/>
            <w:vAlign w:val="center"/>
            <w:hideMark/>
          </w:tcPr>
          <w:p w14:paraId="766AE312"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7</w:t>
            </w:r>
          </w:p>
        </w:tc>
        <w:tc>
          <w:tcPr>
            <w:tcW w:w="426" w:type="dxa"/>
            <w:shd w:val="clear" w:color="auto" w:fill="auto"/>
            <w:noWrap/>
            <w:vAlign w:val="center"/>
            <w:hideMark/>
          </w:tcPr>
          <w:p w14:paraId="7D961283"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17</w:t>
            </w:r>
          </w:p>
        </w:tc>
      </w:tr>
      <w:tr w:rsidR="001648FE" w:rsidRPr="002372B7" w14:paraId="79B1EB13" w14:textId="77777777" w:rsidTr="002372B7">
        <w:trPr>
          <w:trHeight w:val="77"/>
        </w:trPr>
        <w:tc>
          <w:tcPr>
            <w:tcW w:w="5098" w:type="dxa"/>
            <w:shd w:val="clear" w:color="auto" w:fill="auto"/>
            <w:noWrap/>
            <w:vAlign w:val="bottom"/>
            <w:hideMark/>
          </w:tcPr>
          <w:p w14:paraId="1F0D3EE5"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Предоставление семьям с тремя и более детьми земельных участков под строительство жилого дома (или денежной выплаты взамен земельного участка)</w:t>
            </w:r>
          </w:p>
        </w:tc>
        <w:tc>
          <w:tcPr>
            <w:tcW w:w="425" w:type="dxa"/>
            <w:shd w:val="clear" w:color="auto" w:fill="auto"/>
            <w:noWrap/>
            <w:vAlign w:val="center"/>
            <w:hideMark/>
          </w:tcPr>
          <w:p w14:paraId="5A32A73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24</w:t>
            </w:r>
          </w:p>
        </w:tc>
        <w:tc>
          <w:tcPr>
            <w:tcW w:w="425" w:type="dxa"/>
            <w:shd w:val="clear" w:color="auto" w:fill="auto"/>
            <w:noWrap/>
            <w:vAlign w:val="center"/>
            <w:hideMark/>
          </w:tcPr>
          <w:p w14:paraId="6445CE0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8</w:t>
            </w:r>
          </w:p>
        </w:tc>
        <w:tc>
          <w:tcPr>
            <w:tcW w:w="425" w:type="dxa"/>
            <w:shd w:val="clear" w:color="auto" w:fill="auto"/>
            <w:noWrap/>
            <w:vAlign w:val="center"/>
            <w:hideMark/>
          </w:tcPr>
          <w:p w14:paraId="64FD80AA"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17</w:t>
            </w:r>
          </w:p>
        </w:tc>
        <w:tc>
          <w:tcPr>
            <w:tcW w:w="426" w:type="dxa"/>
            <w:shd w:val="clear" w:color="auto" w:fill="auto"/>
            <w:noWrap/>
            <w:vAlign w:val="center"/>
            <w:hideMark/>
          </w:tcPr>
          <w:p w14:paraId="6C3DD458"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7</w:t>
            </w:r>
          </w:p>
        </w:tc>
        <w:tc>
          <w:tcPr>
            <w:tcW w:w="425" w:type="dxa"/>
            <w:shd w:val="clear" w:color="auto" w:fill="auto"/>
            <w:noWrap/>
            <w:vAlign w:val="center"/>
            <w:hideMark/>
          </w:tcPr>
          <w:p w14:paraId="1B0824F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15</w:t>
            </w:r>
          </w:p>
        </w:tc>
        <w:tc>
          <w:tcPr>
            <w:tcW w:w="425" w:type="dxa"/>
            <w:shd w:val="clear" w:color="auto" w:fill="auto"/>
            <w:noWrap/>
            <w:vAlign w:val="center"/>
            <w:hideMark/>
          </w:tcPr>
          <w:p w14:paraId="227EC7E9"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22</w:t>
            </w:r>
          </w:p>
        </w:tc>
        <w:tc>
          <w:tcPr>
            <w:tcW w:w="426" w:type="dxa"/>
            <w:shd w:val="clear" w:color="auto" w:fill="auto"/>
            <w:noWrap/>
            <w:vAlign w:val="center"/>
            <w:hideMark/>
          </w:tcPr>
          <w:p w14:paraId="74C8079D"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12</w:t>
            </w:r>
          </w:p>
        </w:tc>
        <w:tc>
          <w:tcPr>
            <w:tcW w:w="425" w:type="dxa"/>
            <w:shd w:val="clear" w:color="auto" w:fill="auto"/>
            <w:noWrap/>
            <w:vAlign w:val="center"/>
            <w:hideMark/>
          </w:tcPr>
          <w:p w14:paraId="38D9074C"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23</w:t>
            </w:r>
          </w:p>
        </w:tc>
        <w:tc>
          <w:tcPr>
            <w:tcW w:w="425" w:type="dxa"/>
            <w:shd w:val="clear" w:color="auto" w:fill="auto"/>
            <w:noWrap/>
            <w:vAlign w:val="center"/>
            <w:hideMark/>
          </w:tcPr>
          <w:p w14:paraId="78F9D2C9"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8</w:t>
            </w:r>
          </w:p>
        </w:tc>
        <w:tc>
          <w:tcPr>
            <w:tcW w:w="426" w:type="dxa"/>
            <w:shd w:val="clear" w:color="auto" w:fill="auto"/>
            <w:noWrap/>
            <w:vAlign w:val="center"/>
            <w:hideMark/>
          </w:tcPr>
          <w:p w14:paraId="2318639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23</w:t>
            </w:r>
          </w:p>
        </w:tc>
      </w:tr>
      <w:tr w:rsidR="001648FE" w:rsidRPr="002372B7" w14:paraId="5321D965" w14:textId="77777777" w:rsidTr="002372B7">
        <w:trPr>
          <w:trHeight w:val="295"/>
        </w:trPr>
        <w:tc>
          <w:tcPr>
            <w:tcW w:w="5098" w:type="dxa"/>
            <w:shd w:val="clear" w:color="auto" w:fill="auto"/>
            <w:noWrap/>
            <w:vAlign w:val="bottom"/>
            <w:hideMark/>
          </w:tcPr>
          <w:p w14:paraId="399439D4"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Увеличенные больничные по уходу за ребенком до 7 лет (100% среднего заработка родителя независимо от стажа)</w:t>
            </w:r>
          </w:p>
        </w:tc>
        <w:tc>
          <w:tcPr>
            <w:tcW w:w="425" w:type="dxa"/>
            <w:shd w:val="clear" w:color="auto" w:fill="auto"/>
            <w:noWrap/>
            <w:vAlign w:val="center"/>
            <w:hideMark/>
          </w:tcPr>
          <w:p w14:paraId="067B5283"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15</w:t>
            </w:r>
          </w:p>
        </w:tc>
        <w:tc>
          <w:tcPr>
            <w:tcW w:w="425" w:type="dxa"/>
            <w:shd w:val="clear" w:color="auto" w:fill="auto"/>
            <w:noWrap/>
            <w:vAlign w:val="center"/>
            <w:hideMark/>
          </w:tcPr>
          <w:p w14:paraId="44190C8F"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4</w:t>
            </w:r>
          </w:p>
        </w:tc>
        <w:tc>
          <w:tcPr>
            <w:tcW w:w="425" w:type="dxa"/>
            <w:shd w:val="clear" w:color="auto" w:fill="auto"/>
            <w:noWrap/>
            <w:vAlign w:val="center"/>
            <w:hideMark/>
          </w:tcPr>
          <w:p w14:paraId="1003A0C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15</w:t>
            </w:r>
          </w:p>
        </w:tc>
        <w:tc>
          <w:tcPr>
            <w:tcW w:w="426" w:type="dxa"/>
            <w:shd w:val="clear" w:color="auto" w:fill="auto"/>
            <w:noWrap/>
            <w:vAlign w:val="center"/>
            <w:hideMark/>
          </w:tcPr>
          <w:p w14:paraId="763C533A"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5</w:t>
            </w:r>
          </w:p>
        </w:tc>
        <w:tc>
          <w:tcPr>
            <w:tcW w:w="425" w:type="dxa"/>
            <w:shd w:val="clear" w:color="auto" w:fill="auto"/>
            <w:noWrap/>
            <w:vAlign w:val="center"/>
            <w:hideMark/>
          </w:tcPr>
          <w:p w14:paraId="0351BCDA"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14</w:t>
            </w:r>
          </w:p>
        </w:tc>
        <w:tc>
          <w:tcPr>
            <w:tcW w:w="425" w:type="dxa"/>
            <w:shd w:val="clear" w:color="auto" w:fill="auto"/>
            <w:noWrap/>
            <w:vAlign w:val="center"/>
            <w:hideMark/>
          </w:tcPr>
          <w:p w14:paraId="71C6B682"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12</w:t>
            </w:r>
          </w:p>
        </w:tc>
        <w:tc>
          <w:tcPr>
            <w:tcW w:w="426" w:type="dxa"/>
            <w:shd w:val="clear" w:color="auto" w:fill="auto"/>
            <w:noWrap/>
            <w:vAlign w:val="center"/>
            <w:hideMark/>
          </w:tcPr>
          <w:p w14:paraId="6F5485B9"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22</w:t>
            </w:r>
          </w:p>
        </w:tc>
        <w:tc>
          <w:tcPr>
            <w:tcW w:w="425" w:type="dxa"/>
            <w:shd w:val="clear" w:color="auto" w:fill="auto"/>
            <w:noWrap/>
            <w:vAlign w:val="center"/>
            <w:hideMark/>
          </w:tcPr>
          <w:p w14:paraId="189AFB9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13</w:t>
            </w:r>
          </w:p>
        </w:tc>
        <w:tc>
          <w:tcPr>
            <w:tcW w:w="425" w:type="dxa"/>
            <w:shd w:val="clear" w:color="auto" w:fill="auto"/>
            <w:noWrap/>
            <w:vAlign w:val="center"/>
            <w:hideMark/>
          </w:tcPr>
          <w:p w14:paraId="0CB2098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9</w:t>
            </w:r>
          </w:p>
        </w:tc>
        <w:tc>
          <w:tcPr>
            <w:tcW w:w="426" w:type="dxa"/>
            <w:shd w:val="clear" w:color="auto" w:fill="auto"/>
            <w:noWrap/>
            <w:vAlign w:val="center"/>
            <w:hideMark/>
          </w:tcPr>
          <w:p w14:paraId="252337D6"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8</w:t>
            </w:r>
          </w:p>
        </w:tc>
      </w:tr>
      <w:tr w:rsidR="001648FE" w:rsidRPr="002372B7" w14:paraId="2DF1A0F5" w14:textId="77777777" w:rsidTr="002372B7">
        <w:trPr>
          <w:trHeight w:val="77"/>
        </w:trPr>
        <w:tc>
          <w:tcPr>
            <w:tcW w:w="5098" w:type="dxa"/>
            <w:shd w:val="clear" w:color="auto" w:fill="auto"/>
            <w:noWrap/>
            <w:vAlign w:val="bottom"/>
            <w:hideMark/>
          </w:tcPr>
          <w:p w14:paraId="549DCA90"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Ежемесячная выплата до достижения ребёнком возраста 3 лет (из средств материнского (семейного) капитала) в размере прожиточного минимума для детей в регионе</w:t>
            </w:r>
          </w:p>
        </w:tc>
        <w:tc>
          <w:tcPr>
            <w:tcW w:w="425" w:type="dxa"/>
            <w:shd w:val="clear" w:color="auto" w:fill="auto"/>
            <w:noWrap/>
            <w:vAlign w:val="center"/>
            <w:hideMark/>
          </w:tcPr>
          <w:p w14:paraId="4470CC1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8</w:t>
            </w:r>
          </w:p>
        </w:tc>
        <w:tc>
          <w:tcPr>
            <w:tcW w:w="425" w:type="dxa"/>
            <w:shd w:val="clear" w:color="auto" w:fill="auto"/>
            <w:noWrap/>
            <w:vAlign w:val="center"/>
            <w:hideMark/>
          </w:tcPr>
          <w:p w14:paraId="365300D3"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24</w:t>
            </w:r>
          </w:p>
        </w:tc>
        <w:tc>
          <w:tcPr>
            <w:tcW w:w="425" w:type="dxa"/>
            <w:shd w:val="clear" w:color="auto" w:fill="auto"/>
            <w:noWrap/>
            <w:vAlign w:val="center"/>
            <w:hideMark/>
          </w:tcPr>
          <w:p w14:paraId="2953706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4</w:t>
            </w:r>
          </w:p>
        </w:tc>
        <w:tc>
          <w:tcPr>
            <w:tcW w:w="426" w:type="dxa"/>
            <w:shd w:val="clear" w:color="auto" w:fill="auto"/>
            <w:noWrap/>
            <w:vAlign w:val="center"/>
            <w:hideMark/>
          </w:tcPr>
          <w:p w14:paraId="010BD96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10</w:t>
            </w:r>
          </w:p>
        </w:tc>
        <w:tc>
          <w:tcPr>
            <w:tcW w:w="425" w:type="dxa"/>
            <w:shd w:val="clear" w:color="auto" w:fill="auto"/>
            <w:noWrap/>
            <w:vAlign w:val="center"/>
            <w:hideMark/>
          </w:tcPr>
          <w:p w14:paraId="3EA0819D"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8</w:t>
            </w:r>
          </w:p>
        </w:tc>
        <w:tc>
          <w:tcPr>
            <w:tcW w:w="425" w:type="dxa"/>
            <w:shd w:val="clear" w:color="auto" w:fill="auto"/>
            <w:noWrap/>
            <w:vAlign w:val="center"/>
            <w:hideMark/>
          </w:tcPr>
          <w:p w14:paraId="2E99302A"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3</w:t>
            </w:r>
          </w:p>
        </w:tc>
        <w:tc>
          <w:tcPr>
            <w:tcW w:w="426" w:type="dxa"/>
            <w:shd w:val="clear" w:color="auto" w:fill="auto"/>
            <w:noWrap/>
            <w:vAlign w:val="center"/>
            <w:hideMark/>
          </w:tcPr>
          <w:p w14:paraId="45D98F2D"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8</w:t>
            </w:r>
          </w:p>
        </w:tc>
        <w:tc>
          <w:tcPr>
            <w:tcW w:w="425" w:type="dxa"/>
            <w:shd w:val="clear" w:color="auto" w:fill="auto"/>
            <w:noWrap/>
            <w:vAlign w:val="center"/>
            <w:hideMark/>
          </w:tcPr>
          <w:p w14:paraId="46569BF8"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5</w:t>
            </w:r>
          </w:p>
        </w:tc>
        <w:tc>
          <w:tcPr>
            <w:tcW w:w="425" w:type="dxa"/>
            <w:shd w:val="clear" w:color="auto" w:fill="auto"/>
            <w:noWrap/>
            <w:vAlign w:val="center"/>
            <w:hideMark/>
          </w:tcPr>
          <w:p w14:paraId="03AA652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10</w:t>
            </w:r>
          </w:p>
        </w:tc>
        <w:tc>
          <w:tcPr>
            <w:tcW w:w="426" w:type="dxa"/>
            <w:shd w:val="clear" w:color="auto" w:fill="auto"/>
            <w:noWrap/>
            <w:vAlign w:val="center"/>
            <w:hideMark/>
          </w:tcPr>
          <w:p w14:paraId="3AF6ED12"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w:t>
            </w:r>
          </w:p>
        </w:tc>
      </w:tr>
      <w:tr w:rsidR="001648FE" w:rsidRPr="002372B7" w14:paraId="469759FE" w14:textId="77777777" w:rsidTr="002372B7">
        <w:trPr>
          <w:trHeight w:val="77"/>
        </w:trPr>
        <w:tc>
          <w:tcPr>
            <w:tcW w:w="5098" w:type="dxa"/>
            <w:shd w:val="clear" w:color="auto" w:fill="auto"/>
            <w:noWrap/>
            <w:vAlign w:val="bottom"/>
            <w:hideMark/>
          </w:tcPr>
          <w:p w14:paraId="29B8B38B"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Федеральный материнский (семейный) капитал (с 2020 года на первого или последующих детей)</w:t>
            </w:r>
          </w:p>
        </w:tc>
        <w:tc>
          <w:tcPr>
            <w:tcW w:w="425" w:type="dxa"/>
            <w:shd w:val="clear" w:color="auto" w:fill="auto"/>
            <w:noWrap/>
            <w:vAlign w:val="center"/>
            <w:hideMark/>
          </w:tcPr>
          <w:p w14:paraId="2DCC9B7C"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17</w:t>
            </w:r>
          </w:p>
        </w:tc>
        <w:tc>
          <w:tcPr>
            <w:tcW w:w="425" w:type="dxa"/>
            <w:shd w:val="clear" w:color="auto" w:fill="auto"/>
            <w:noWrap/>
            <w:vAlign w:val="center"/>
            <w:hideMark/>
          </w:tcPr>
          <w:p w14:paraId="1D75C289"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22</w:t>
            </w:r>
          </w:p>
        </w:tc>
        <w:tc>
          <w:tcPr>
            <w:tcW w:w="425" w:type="dxa"/>
            <w:shd w:val="clear" w:color="auto" w:fill="auto"/>
            <w:noWrap/>
            <w:vAlign w:val="center"/>
            <w:hideMark/>
          </w:tcPr>
          <w:p w14:paraId="49B4B71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w:t>
            </w:r>
          </w:p>
        </w:tc>
        <w:tc>
          <w:tcPr>
            <w:tcW w:w="426" w:type="dxa"/>
            <w:shd w:val="clear" w:color="auto" w:fill="auto"/>
            <w:noWrap/>
            <w:vAlign w:val="center"/>
            <w:hideMark/>
          </w:tcPr>
          <w:p w14:paraId="34E1E05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9</w:t>
            </w:r>
          </w:p>
        </w:tc>
        <w:tc>
          <w:tcPr>
            <w:tcW w:w="425" w:type="dxa"/>
            <w:shd w:val="clear" w:color="auto" w:fill="auto"/>
            <w:noWrap/>
            <w:vAlign w:val="center"/>
            <w:hideMark/>
          </w:tcPr>
          <w:p w14:paraId="5867B59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7</w:t>
            </w:r>
          </w:p>
        </w:tc>
        <w:tc>
          <w:tcPr>
            <w:tcW w:w="425" w:type="dxa"/>
            <w:shd w:val="clear" w:color="auto" w:fill="auto"/>
            <w:noWrap/>
            <w:vAlign w:val="center"/>
            <w:hideMark/>
          </w:tcPr>
          <w:p w14:paraId="1DAED2E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16</w:t>
            </w:r>
          </w:p>
        </w:tc>
        <w:tc>
          <w:tcPr>
            <w:tcW w:w="426" w:type="dxa"/>
            <w:shd w:val="clear" w:color="auto" w:fill="auto"/>
            <w:noWrap/>
            <w:vAlign w:val="center"/>
            <w:hideMark/>
          </w:tcPr>
          <w:p w14:paraId="56DDA85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w:t>
            </w:r>
          </w:p>
        </w:tc>
        <w:tc>
          <w:tcPr>
            <w:tcW w:w="425" w:type="dxa"/>
            <w:shd w:val="clear" w:color="auto" w:fill="auto"/>
            <w:noWrap/>
            <w:vAlign w:val="center"/>
            <w:hideMark/>
          </w:tcPr>
          <w:p w14:paraId="10908CF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w:t>
            </w:r>
          </w:p>
        </w:tc>
        <w:tc>
          <w:tcPr>
            <w:tcW w:w="425" w:type="dxa"/>
            <w:shd w:val="clear" w:color="auto" w:fill="auto"/>
            <w:noWrap/>
            <w:vAlign w:val="center"/>
            <w:hideMark/>
          </w:tcPr>
          <w:p w14:paraId="147DAF43"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11</w:t>
            </w:r>
          </w:p>
        </w:tc>
        <w:tc>
          <w:tcPr>
            <w:tcW w:w="426" w:type="dxa"/>
            <w:shd w:val="clear" w:color="auto" w:fill="auto"/>
            <w:noWrap/>
            <w:vAlign w:val="center"/>
            <w:hideMark/>
          </w:tcPr>
          <w:p w14:paraId="34B95FA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6</w:t>
            </w:r>
          </w:p>
        </w:tc>
      </w:tr>
      <w:tr w:rsidR="001648FE" w:rsidRPr="002372B7" w14:paraId="613D8BDB" w14:textId="77777777" w:rsidTr="002372B7">
        <w:trPr>
          <w:trHeight w:val="77"/>
        </w:trPr>
        <w:tc>
          <w:tcPr>
            <w:tcW w:w="5098" w:type="dxa"/>
            <w:shd w:val="clear" w:color="auto" w:fill="auto"/>
            <w:noWrap/>
            <w:vAlign w:val="bottom"/>
            <w:hideMark/>
          </w:tcPr>
          <w:p w14:paraId="37643453"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Единовременное пособие беременной жене военнослужащего, проходящего военную службу по призыву</w:t>
            </w:r>
          </w:p>
        </w:tc>
        <w:tc>
          <w:tcPr>
            <w:tcW w:w="425" w:type="dxa"/>
            <w:shd w:val="clear" w:color="auto" w:fill="auto"/>
            <w:noWrap/>
            <w:vAlign w:val="center"/>
            <w:hideMark/>
          </w:tcPr>
          <w:p w14:paraId="1A381FD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23</w:t>
            </w:r>
          </w:p>
        </w:tc>
        <w:tc>
          <w:tcPr>
            <w:tcW w:w="425" w:type="dxa"/>
            <w:shd w:val="clear" w:color="auto" w:fill="auto"/>
            <w:noWrap/>
            <w:vAlign w:val="center"/>
            <w:hideMark/>
          </w:tcPr>
          <w:p w14:paraId="7629F363"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12</w:t>
            </w:r>
          </w:p>
        </w:tc>
        <w:tc>
          <w:tcPr>
            <w:tcW w:w="425" w:type="dxa"/>
            <w:shd w:val="clear" w:color="auto" w:fill="auto"/>
            <w:noWrap/>
            <w:vAlign w:val="center"/>
            <w:hideMark/>
          </w:tcPr>
          <w:p w14:paraId="426B01F8"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22</w:t>
            </w:r>
          </w:p>
        </w:tc>
        <w:tc>
          <w:tcPr>
            <w:tcW w:w="426" w:type="dxa"/>
            <w:shd w:val="clear" w:color="auto" w:fill="auto"/>
            <w:noWrap/>
            <w:vAlign w:val="center"/>
            <w:hideMark/>
          </w:tcPr>
          <w:p w14:paraId="1E375B3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15</w:t>
            </w:r>
          </w:p>
        </w:tc>
        <w:tc>
          <w:tcPr>
            <w:tcW w:w="425" w:type="dxa"/>
            <w:shd w:val="clear" w:color="auto" w:fill="auto"/>
            <w:noWrap/>
            <w:vAlign w:val="center"/>
            <w:hideMark/>
          </w:tcPr>
          <w:p w14:paraId="4CB40C53"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18</w:t>
            </w:r>
          </w:p>
        </w:tc>
        <w:tc>
          <w:tcPr>
            <w:tcW w:w="425" w:type="dxa"/>
            <w:shd w:val="clear" w:color="auto" w:fill="auto"/>
            <w:noWrap/>
            <w:vAlign w:val="center"/>
            <w:hideMark/>
          </w:tcPr>
          <w:p w14:paraId="3249ABD6"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6</w:t>
            </w:r>
          </w:p>
        </w:tc>
        <w:tc>
          <w:tcPr>
            <w:tcW w:w="426" w:type="dxa"/>
            <w:shd w:val="clear" w:color="auto" w:fill="auto"/>
            <w:noWrap/>
            <w:vAlign w:val="center"/>
            <w:hideMark/>
          </w:tcPr>
          <w:p w14:paraId="4F5208D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19</w:t>
            </w:r>
          </w:p>
        </w:tc>
        <w:tc>
          <w:tcPr>
            <w:tcW w:w="425" w:type="dxa"/>
            <w:shd w:val="clear" w:color="auto" w:fill="auto"/>
            <w:noWrap/>
            <w:vAlign w:val="center"/>
            <w:hideMark/>
          </w:tcPr>
          <w:p w14:paraId="192AAAC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22</w:t>
            </w:r>
          </w:p>
        </w:tc>
        <w:tc>
          <w:tcPr>
            <w:tcW w:w="425" w:type="dxa"/>
            <w:shd w:val="clear" w:color="auto" w:fill="auto"/>
            <w:noWrap/>
            <w:vAlign w:val="center"/>
            <w:hideMark/>
          </w:tcPr>
          <w:p w14:paraId="14E65961"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12</w:t>
            </w:r>
          </w:p>
        </w:tc>
        <w:tc>
          <w:tcPr>
            <w:tcW w:w="426" w:type="dxa"/>
            <w:shd w:val="clear" w:color="auto" w:fill="auto"/>
            <w:noWrap/>
            <w:vAlign w:val="center"/>
            <w:hideMark/>
          </w:tcPr>
          <w:p w14:paraId="63FFA3D8"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21</w:t>
            </w:r>
          </w:p>
        </w:tc>
      </w:tr>
      <w:tr w:rsidR="001648FE" w:rsidRPr="002372B7" w14:paraId="15F34AB8" w14:textId="77777777" w:rsidTr="002372B7">
        <w:trPr>
          <w:trHeight w:val="77"/>
        </w:trPr>
        <w:tc>
          <w:tcPr>
            <w:tcW w:w="5098" w:type="dxa"/>
            <w:shd w:val="clear" w:color="auto" w:fill="auto"/>
            <w:noWrap/>
            <w:vAlign w:val="bottom"/>
            <w:hideMark/>
          </w:tcPr>
          <w:p w14:paraId="112B2A1A"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Материнский (семейный) капитал, установленный в регионе (в связи с рождением (усыновлением) 3-го ребенка или последующих детей)</w:t>
            </w:r>
          </w:p>
        </w:tc>
        <w:tc>
          <w:tcPr>
            <w:tcW w:w="425" w:type="dxa"/>
            <w:shd w:val="clear" w:color="auto" w:fill="auto"/>
            <w:noWrap/>
            <w:vAlign w:val="center"/>
            <w:hideMark/>
          </w:tcPr>
          <w:p w14:paraId="3FFADD3F"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9</w:t>
            </w:r>
          </w:p>
        </w:tc>
        <w:tc>
          <w:tcPr>
            <w:tcW w:w="425" w:type="dxa"/>
            <w:shd w:val="clear" w:color="auto" w:fill="auto"/>
            <w:noWrap/>
            <w:vAlign w:val="center"/>
            <w:hideMark/>
          </w:tcPr>
          <w:p w14:paraId="16067D66"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w:t>
            </w:r>
          </w:p>
        </w:tc>
        <w:tc>
          <w:tcPr>
            <w:tcW w:w="425" w:type="dxa"/>
            <w:shd w:val="clear" w:color="auto" w:fill="auto"/>
            <w:noWrap/>
            <w:vAlign w:val="center"/>
            <w:hideMark/>
          </w:tcPr>
          <w:p w14:paraId="12057EC9"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8</w:t>
            </w:r>
          </w:p>
        </w:tc>
        <w:tc>
          <w:tcPr>
            <w:tcW w:w="426" w:type="dxa"/>
            <w:shd w:val="clear" w:color="auto" w:fill="auto"/>
            <w:noWrap/>
            <w:vAlign w:val="center"/>
            <w:hideMark/>
          </w:tcPr>
          <w:p w14:paraId="77DD987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6</w:t>
            </w:r>
          </w:p>
        </w:tc>
        <w:tc>
          <w:tcPr>
            <w:tcW w:w="425" w:type="dxa"/>
            <w:shd w:val="clear" w:color="auto" w:fill="auto"/>
            <w:noWrap/>
            <w:vAlign w:val="center"/>
            <w:hideMark/>
          </w:tcPr>
          <w:p w14:paraId="0B3011D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6</w:t>
            </w:r>
          </w:p>
        </w:tc>
        <w:tc>
          <w:tcPr>
            <w:tcW w:w="425" w:type="dxa"/>
            <w:shd w:val="clear" w:color="auto" w:fill="auto"/>
            <w:noWrap/>
            <w:vAlign w:val="center"/>
            <w:hideMark/>
          </w:tcPr>
          <w:p w14:paraId="4E280B9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21</w:t>
            </w:r>
          </w:p>
        </w:tc>
        <w:tc>
          <w:tcPr>
            <w:tcW w:w="426" w:type="dxa"/>
            <w:shd w:val="clear" w:color="auto" w:fill="auto"/>
            <w:noWrap/>
            <w:vAlign w:val="center"/>
            <w:hideMark/>
          </w:tcPr>
          <w:p w14:paraId="71516E1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3</w:t>
            </w:r>
          </w:p>
        </w:tc>
        <w:tc>
          <w:tcPr>
            <w:tcW w:w="425" w:type="dxa"/>
            <w:shd w:val="clear" w:color="auto" w:fill="auto"/>
            <w:noWrap/>
            <w:vAlign w:val="center"/>
            <w:hideMark/>
          </w:tcPr>
          <w:p w14:paraId="5BF8E761"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8</w:t>
            </w:r>
          </w:p>
        </w:tc>
        <w:tc>
          <w:tcPr>
            <w:tcW w:w="425" w:type="dxa"/>
            <w:shd w:val="clear" w:color="auto" w:fill="auto"/>
            <w:noWrap/>
            <w:vAlign w:val="center"/>
            <w:hideMark/>
          </w:tcPr>
          <w:p w14:paraId="76D166A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13</w:t>
            </w:r>
          </w:p>
        </w:tc>
        <w:tc>
          <w:tcPr>
            <w:tcW w:w="426" w:type="dxa"/>
            <w:shd w:val="clear" w:color="auto" w:fill="auto"/>
            <w:noWrap/>
            <w:vAlign w:val="center"/>
            <w:hideMark/>
          </w:tcPr>
          <w:p w14:paraId="5A5BFC8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11</w:t>
            </w:r>
          </w:p>
        </w:tc>
      </w:tr>
      <w:tr w:rsidR="001648FE" w:rsidRPr="002372B7" w14:paraId="7304097D" w14:textId="77777777" w:rsidTr="002372B7">
        <w:trPr>
          <w:trHeight w:val="77"/>
        </w:trPr>
        <w:tc>
          <w:tcPr>
            <w:tcW w:w="5098" w:type="dxa"/>
            <w:shd w:val="clear" w:color="auto" w:fill="auto"/>
            <w:noWrap/>
            <w:vAlign w:val="bottom"/>
            <w:hideMark/>
          </w:tcPr>
          <w:p w14:paraId="31862480"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Выплата женщине при рождении первого ребенка до 25 лет (100 тыс. руб.)</w:t>
            </w:r>
          </w:p>
        </w:tc>
        <w:tc>
          <w:tcPr>
            <w:tcW w:w="425" w:type="dxa"/>
            <w:shd w:val="clear" w:color="auto" w:fill="auto"/>
            <w:noWrap/>
            <w:vAlign w:val="center"/>
            <w:hideMark/>
          </w:tcPr>
          <w:p w14:paraId="02330A1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18</w:t>
            </w:r>
          </w:p>
        </w:tc>
        <w:tc>
          <w:tcPr>
            <w:tcW w:w="425" w:type="dxa"/>
            <w:shd w:val="clear" w:color="auto" w:fill="auto"/>
            <w:noWrap/>
            <w:vAlign w:val="center"/>
            <w:hideMark/>
          </w:tcPr>
          <w:p w14:paraId="7B15A6D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18</w:t>
            </w:r>
          </w:p>
        </w:tc>
        <w:tc>
          <w:tcPr>
            <w:tcW w:w="425" w:type="dxa"/>
            <w:shd w:val="clear" w:color="auto" w:fill="auto"/>
            <w:noWrap/>
            <w:vAlign w:val="center"/>
            <w:hideMark/>
          </w:tcPr>
          <w:p w14:paraId="08AE1AD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12</w:t>
            </w:r>
          </w:p>
        </w:tc>
        <w:tc>
          <w:tcPr>
            <w:tcW w:w="426" w:type="dxa"/>
            <w:shd w:val="clear" w:color="auto" w:fill="auto"/>
            <w:noWrap/>
            <w:vAlign w:val="center"/>
            <w:hideMark/>
          </w:tcPr>
          <w:p w14:paraId="1A4966D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14</w:t>
            </w:r>
          </w:p>
        </w:tc>
        <w:tc>
          <w:tcPr>
            <w:tcW w:w="425" w:type="dxa"/>
            <w:shd w:val="clear" w:color="auto" w:fill="auto"/>
            <w:noWrap/>
            <w:vAlign w:val="center"/>
            <w:hideMark/>
          </w:tcPr>
          <w:p w14:paraId="0CFAA4F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10</w:t>
            </w:r>
          </w:p>
        </w:tc>
        <w:tc>
          <w:tcPr>
            <w:tcW w:w="425" w:type="dxa"/>
            <w:shd w:val="clear" w:color="auto" w:fill="auto"/>
            <w:noWrap/>
            <w:vAlign w:val="center"/>
            <w:hideMark/>
          </w:tcPr>
          <w:p w14:paraId="06984CD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w:t>
            </w:r>
          </w:p>
        </w:tc>
        <w:tc>
          <w:tcPr>
            <w:tcW w:w="426" w:type="dxa"/>
            <w:shd w:val="clear" w:color="auto" w:fill="auto"/>
            <w:noWrap/>
            <w:vAlign w:val="center"/>
            <w:hideMark/>
          </w:tcPr>
          <w:p w14:paraId="1BC7854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13</w:t>
            </w:r>
          </w:p>
        </w:tc>
        <w:tc>
          <w:tcPr>
            <w:tcW w:w="425" w:type="dxa"/>
            <w:shd w:val="clear" w:color="auto" w:fill="auto"/>
            <w:noWrap/>
            <w:vAlign w:val="center"/>
            <w:hideMark/>
          </w:tcPr>
          <w:p w14:paraId="5051CE96"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10</w:t>
            </w:r>
          </w:p>
        </w:tc>
        <w:tc>
          <w:tcPr>
            <w:tcW w:w="425" w:type="dxa"/>
            <w:shd w:val="clear" w:color="auto" w:fill="auto"/>
            <w:noWrap/>
            <w:vAlign w:val="center"/>
            <w:hideMark/>
          </w:tcPr>
          <w:p w14:paraId="6D6F34B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14</w:t>
            </w:r>
          </w:p>
        </w:tc>
        <w:tc>
          <w:tcPr>
            <w:tcW w:w="426" w:type="dxa"/>
            <w:shd w:val="clear" w:color="auto" w:fill="auto"/>
            <w:noWrap/>
            <w:vAlign w:val="center"/>
            <w:hideMark/>
          </w:tcPr>
          <w:p w14:paraId="5E475E93"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13</w:t>
            </w:r>
          </w:p>
        </w:tc>
      </w:tr>
      <w:tr w:rsidR="001648FE" w:rsidRPr="002372B7" w14:paraId="1D5A9A78" w14:textId="77777777" w:rsidTr="002372B7">
        <w:trPr>
          <w:trHeight w:val="77"/>
        </w:trPr>
        <w:tc>
          <w:tcPr>
            <w:tcW w:w="5098" w:type="dxa"/>
            <w:shd w:val="clear" w:color="auto" w:fill="auto"/>
            <w:noWrap/>
            <w:vAlign w:val="bottom"/>
            <w:hideMark/>
          </w:tcPr>
          <w:p w14:paraId="7CECE350"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lastRenderedPageBreak/>
              <w:t>Льготные ипотечные программы для семей («Семейная ипотека», «Вологодская семейная ипотека»)</w:t>
            </w:r>
          </w:p>
        </w:tc>
        <w:tc>
          <w:tcPr>
            <w:tcW w:w="425" w:type="dxa"/>
            <w:shd w:val="clear" w:color="auto" w:fill="auto"/>
            <w:noWrap/>
            <w:vAlign w:val="center"/>
            <w:hideMark/>
          </w:tcPr>
          <w:p w14:paraId="26D96B46"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20</w:t>
            </w:r>
          </w:p>
        </w:tc>
        <w:tc>
          <w:tcPr>
            <w:tcW w:w="425" w:type="dxa"/>
            <w:shd w:val="clear" w:color="auto" w:fill="auto"/>
            <w:noWrap/>
            <w:vAlign w:val="center"/>
            <w:hideMark/>
          </w:tcPr>
          <w:p w14:paraId="7DF535F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11</w:t>
            </w:r>
          </w:p>
        </w:tc>
        <w:tc>
          <w:tcPr>
            <w:tcW w:w="425" w:type="dxa"/>
            <w:shd w:val="clear" w:color="auto" w:fill="auto"/>
            <w:noWrap/>
            <w:vAlign w:val="center"/>
            <w:hideMark/>
          </w:tcPr>
          <w:p w14:paraId="43244741"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10</w:t>
            </w:r>
          </w:p>
        </w:tc>
        <w:tc>
          <w:tcPr>
            <w:tcW w:w="426" w:type="dxa"/>
            <w:shd w:val="clear" w:color="auto" w:fill="auto"/>
            <w:noWrap/>
            <w:vAlign w:val="center"/>
            <w:hideMark/>
          </w:tcPr>
          <w:p w14:paraId="61CE727C"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11</w:t>
            </w:r>
          </w:p>
        </w:tc>
        <w:tc>
          <w:tcPr>
            <w:tcW w:w="425" w:type="dxa"/>
            <w:shd w:val="clear" w:color="auto" w:fill="auto"/>
            <w:noWrap/>
            <w:vAlign w:val="center"/>
            <w:hideMark/>
          </w:tcPr>
          <w:p w14:paraId="480AF223"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24</w:t>
            </w:r>
          </w:p>
        </w:tc>
        <w:tc>
          <w:tcPr>
            <w:tcW w:w="425" w:type="dxa"/>
            <w:shd w:val="clear" w:color="auto" w:fill="auto"/>
            <w:noWrap/>
            <w:vAlign w:val="center"/>
            <w:hideMark/>
          </w:tcPr>
          <w:p w14:paraId="66F8028D"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25</w:t>
            </w:r>
          </w:p>
        </w:tc>
        <w:tc>
          <w:tcPr>
            <w:tcW w:w="426" w:type="dxa"/>
            <w:shd w:val="clear" w:color="auto" w:fill="auto"/>
            <w:noWrap/>
            <w:vAlign w:val="center"/>
            <w:hideMark/>
          </w:tcPr>
          <w:p w14:paraId="5386D342"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25</w:t>
            </w:r>
          </w:p>
        </w:tc>
        <w:tc>
          <w:tcPr>
            <w:tcW w:w="425" w:type="dxa"/>
            <w:shd w:val="clear" w:color="auto" w:fill="auto"/>
            <w:noWrap/>
            <w:vAlign w:val="center"/>
            <w:hideMark/>
          </w:tcPr>
          <w:p w14:paraId="7663645D"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12</w:t>
            </w:r>
          </w:p>
        </w:tc>
        <w:tc>
          <w:tcPr>
            <w:tcW w:w="425" w:type="dxa"/>
            <w:shd w:val="clear" w:color="auto" w:fill="auto"/>
            <w:noWrap/>
            <w:vAlign w:val="center"/>
            <w:hideMark/>
          </w:tcPr>
          <w:p w14:paraId="5E0E385F"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15</w:t>
            </w:r>
          </w:p>
        </w:tc>
        <w:tc>
          <w:tcPr>
            <w:tcW w:w="426" w:type="dxa"/>
            <w:shd w:val="clear" w:color="auto" w:fill="auto"/>
            <w:noWrap/>
            <w:vAlign w:val="center"/>
            <w:hideMark/>
          </w:tcPr>
          <w:p w14:paraId="629586A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w:t>
            </w:r>
          </w:p>
        </w:tc>
      </w:tr>
      <w:tr w:rsidR="001648FE" w:rsidRPr="002372B7" w14:paraId="738F16AA" w14:textId="77777777" w:rsidTr="002372B7">
        <w:trPr>
          <w:trHeight w:val="77"/>
        </w:trPr>
        <w:tc>
          <w:tcPr>
            <w:tcW w:w="5098" w:type="dxa"/>
            <w:shd w:val="clear" w:color="auto" w:fill="auto"/>
            <w:noWrap/>
            <w:vAlign w:val="bottom"/>
            <w:hideMark/>
          </w:tcPr>
          <w:p w14:paraId="37E4A81D"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Дополнительное единовременное пособие (малоимущим родителям (усыновителям) при рождении (усыновлении) второго, третьего ребенка</w:t>
            </w:r>
          </w:p>
        </w:tc>
        <w:tc>
          <w:tcPr>
            <w:tcW w:w="425" w:type="dxa"/>
            <w:shd w:val="clear" w:color="auto" w:fill="auto"/>
            <w:noWrap/>
            <w:vAlign w:val="center"/>
            <w:hideMark/>
          </w:tcPr>
          <w:p w14:paraId="5A12350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10</w:t>
            </w:r>
          </w:p>
        </w:tc>
        <w:tc>
          <w:tcPr>
            <w:tcW w:w="425" w:type="dxa"/>
            <w:shd w:val="clear" w:color="auto" w:fill="auto"/>
            <w:noWrap/>
            <w:vAlign w:val="center"/>
            <w:hideMark/>
          </w:tcPr>
          <w:p w14:paraId="078A2FBC"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21</w:t>
            </w:r>
          </w:p>
        </w:tc>
        <w:tc>
          <w:tcPr>
            <w:tcW w:w="425" w:type="dxa"/>
            <w:shd w:val="clear" w:color="auto" w:fill="auto"/>
            <w:noWrap/>
            <w:vAlign w:val="center"/>
            <w:hideMark/>
          </w:tcPr>
          <w:p w14:paraId="5B55E403"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7</w:t>
            </w:r>
          </w:p>
        </w:tc>
        <w:tc>
          <w:tcPr>
            <w:tcW w:w="426" w:type="dxa"/>
            <w:shd w:val="clear" w:color="auto" w:fill="auto"/>
            <w:noWrap/>
            <w:vAlign w:val="center"/>
            <w:hideMark/>
          </w:tcPr>
          <w:p w14:paraId="0919211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20</w:t>
            </w:r>
          </w:p>
        </w:tc>
        <w:tc>
          <w:tcPr>
            <w:tcW w:w="425" w:type="dxa"/>
            <w:shd w:val="clear" w:color="auto" w:fill="auto"/>
            <w:noWrap/>
            <w:vAlign w:val="center"/>
            <w:hideMark/>
          </w:tcPr>
          <w:p w14:paraId="2416DBE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12</w:t>
            </w:r>
          </w:p>
        </w:tc>
        <w:tc>
          <w:tcPr>
            <w:tcW w:w="425" w:type="dxa"/>
            <w:shd w:val="clear" w:color="auto" w:fill="auto"/>
            <w:noWrap/>
            <w:vAlign w:val="center"/>
            <w:hideMark/>
          </w:tcPr>
          <w:p w14:paraId="1BFDF186"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17</w:t>
            </w:r>
          </w:p>
        </w:tc>
        <w:tc>
          <w:tcPr>
            <w:tcW w:w="426" w:type="dxa"/>
            <w:shd w:val="clear" w:color="auto" w:fill="auto"/>
            <w:noWrap/>
            <w:vAlign w:val="center"/>
            <w:hideMark/>
          </w:tcPr>
          <w:p w14:paraId="782770A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9</w:t>
            </w:r>
          </w:p>
        </w:tc>
        <w:tc>
          <w:tcPr>
            <w:tcW w:w="425" w:type="dxa"/>
            <w:shd w:val="clear" w:color="auto" w:fill="auto"/>
            <w:noWrap/>
            <w:vAlign w:val="center"/>
            <w:hideMark/>
          </w:tcPr>
          <w:p w14:paraId="1C19A1B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9</w:t>
            </w:r>
          </w:p>
        </w:tc>
        <w:tc>
          <w:tcPr>
            <w:tcW w:w="425" w:type="dxa"/>
            <w:shd w:val="clear" w:color="auto" w:fill="auto"/>
            <w:noWrap/>
            <w:vAlign w:val="center"/>
            <w:hideMark/>
          </w:tcPr>
          <w:p w14:paraId="1E5EBF3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16</w:t>
            </w:r>
          </w:p>
        </w:tc>
        <w:tc>
          <w:tcPr>
            <w:tcW w:w="426" w:type="dxa"/>
            <w:shd w:val="clear" w:color="auto" w:fill="auto"/>
            <w:noWrap/>
            <w:vAlign w:val="center"/>
            <w:hideMark/>
          </w:tcPr>
          <w:p w14:paraId="33DAFFA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14</w:t>
            </w:r>
          </w:p>
        </w:tc>
      </w:tr>
      <w:tr w:rsidR="001648FE" w:rsidRPr="002372B7" w14:paraId="3E033E72" w14:textId="77777777" w:rsidTr="002372B7">
        <w:trPr>
          <w:trHeight w:val="295"/>
        </w:trPr>
        <w:tc>
          <w:tcPr>
            <w:tcW w:w="5098" w:type="dxa"/>
            <w:shd w:val="clear" w:color="auto" w:fill="auto"/>
            <w:noWrap/>
            <w:vAlign w:val="bottom"/>
            <w:hideMark/>
          </w:tcPr>
          <w:p w14:paraId="536565E7"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Ежемесячное пособие в связи с рождением и воспитанием ребёнка в размере 50, 75 или 100% величины прожиточного минимума для детей в регионе (до достижения ребёнком возраста 17 лет)</w:t>
            </w:r>
          </w:p>
        </w:tc>
        <w:tc>
          <w:tcPr>
            <w:tcW w:w="425" w:type="dxa"/>
            <w:shd w:val="clear" w:color="auto" w:fill="auto"/>
            <w:noWrap/>
            <w:vAlign w:val="center"/>
            <w:hideMark/>
          </w:tcPr>
          <w:p w14:paraId="7403293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w:t>
            </w:r>
          </w:p>
        </w:tc>
        <w:tc>
          <w:tcPr>
            <w:tcW w:w="425" w:type="dxa"/>
            <w:shd w:val="clear" w:color="auto" w:fill="auto"/>
            <w:noWrap/>
            <w:vAlign w:val="center"/>
            <w:hideMark/>
          </w:tcPr>
          <w:p w14:paraId="3850AB6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6</w:t>
            </w:r>
          </w:p>
        </w:tc>
        <w:tc>
          <w:tcPr>
            <w:tcW w:w="425" w:type="dxa"/>
            <w:shd w:val="clear" w:color="auto" w:fill="auto"/>
            <w:noWrap/>
            <w:vAlign w:val="center"/>
            <w:hideMark/>
          </w:tcPr>
          <w:p w14:paraId="09CB428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6</w:t>
            </w:r>
          </w:p>
        </w:tc>
        <w:tc>
          <w:tcPr>
            <w:tcW w:w="426" w:type="dxa"/>
            <w:shd w:val="clear" w:color="auto" w:fill="auto"/>
            <w:noWrap/>
            <w:vAlign w:val="center"/>
            <w:hideMark/>
          </w:tcPr>
          <w:p w14:paraId="55C4789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19</w:t>
            </w:r>
          </w:p>
        </w:tc>
        <w:tc>
          <w:tcPr>
            <w:tcW w:w="425" w:type="dxa"/>
            <w:shd w:val="clear" w:color="auto" w:fill="auto"/>
            <w:noWrap/>
            <w:vAlign w:val="center"/>
            <w:hideMark/>
          </w:tcPr>
          <w:p w14:paraId="6D53AF4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11</w:t>
            </w:r>
          </w:p>
        </w:tc>
        <w:tc>
          <w:tcPr>
            <w:tcW w:w="425" w:type="dxa"/>
            <w:shd w:val="clear" w:color="auto" w:fill="auto"/>
            <w:noWrap/>
            <w:vAlign w:val="center"/>
            <w:hideMark/>
          </w:tcPr>
          <w:p w14:paraId="3E78BA0C"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4</w:t>
            </w:r>
          </w:p>
        </w:tc>
        <w:tc>
          <w:tcPr>
            <w:tcW w:w="426" w:type="dxa"/>
            <w:shd w:val="clear" w:color="auto" w:fill="auto"/>
            <w:noWrap/>
            <w:vAlign w:val="center"/>
            <w:hideMark/>
          </w:tcPr>
          <w:p w14:paraId="3886241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15</w:t>
            </w:r>
          </w:p>
        </w:tc>
        <w:tc>
          <w:tcPr>
            <w:tcW w:w="425" w:type="dxa"/>
            <w:shd w:val="clear" w:color="auto" w:fill="auto"/>
            <w:noWrap/>
            <w:vAlign w:val="center"/>
            <w:hideMark/>
          </w:tcPr>
          <w:p w14:paraId="0D2470DD"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7</w:t>
            </w:r>
          </w:p>
        </w:tc>
        <w:tc>
          <w:tcPr>
            <w:tcW w:w="425" w:type="dxa"/>
            <w:shd w:val="clear" w:color="auto" w:fill="auto"/>
            <w:noWrap/>
            <w:vAlign w:val="center"/>
            <w:hideMark/>
          </w:tcPr>
          <w:p w14:paraId="4A0A7938"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17</w:t>
            </w:r>
          </w:p>
        </w:tc>
        <w:tc>
          <w:tcPr>
            <w:tcW w:w="426" w:type="dxa"/>
            <w:shd w:val="clear" w:color="auto" w:fill="auto"/>
            <w:noWrap/>
            <w:vAlign w:val="center"/>
            <w:hideMark/>
          </w:tcPr>
          <w:p w14:paraId="0ED93642"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25</w:t>
            </w:r>
          </w:p>
        </w:tc>
      </w:tr>
      <w:tr w:rsidR="001648FE" w:rsidRPr="002372B7" w14:paraId="6D6AF05E" w14:textId="77777777" w:rsidTr="002372B7">
        <w:trPr>
          <w:trHeight w:val="77"/>
        </w:trPr>
        <w:tc>
          <w:tcPr>
            <w:tcW w:w="5098" w:type="dxa"/>
            <w:shd w:val="clear" w:color="auto" w:fill="auto"/>
            <w:noWrap/>
            <w:vAlign w:val="bottom"/>
            <w:hideMark/>
          </w:tcPr>
          <w:p w14:paraId="1D7F654C"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 xml:space="preserve">Единовременное пособие при рождении ребенка (одному из родителей (опекуну) в случае, если оба родителя (опекуна) не работают, обучаются очно или являются индивидуальными предпринимателями. Размер по области: 30982,97 руб., в г. Череповец: 33677,14 руб. </w:t>
            </w:r>
          </w:p>
        </w:tc>
        <w:tc>
          <w:tcPr>
            <w:tcW w:w="425" w:type="dxa"/>
            <w:shd w:val="clear" w:color="auto" w:fill="auto"/>
            <w:noWrap/>
            <w:vAlign w:val="center"/>
            <w:hideMark/>
          </w:tcPr>
          <w:p w14:paraId="3B5DCBD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22</w:t>
            </w:r>
          </w:p>
        </w:tc>
        <w:tc>
          <w:tcPr>
            <w:tcW w:w="425" w:type="dxa"/>
            <w:shd w:val="clear" w:color="auto" w:fill="auto"/>
            <w:noWrap/>
            <w:vAlign w:val="center"/>
            <w:hideMark/>
          </w:tcPr>
          <w:p w14:paraId="18617F33"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7</w:t>
            </w:r>
          </w:p>
        </w:tc>
        <w:tc>
          <w:tcPr>
            <w:tcW w:w="425" w:type="dxa"/>
            <w:shd w:val="clear" w:color="auto" w:fill="auto"/>
            <w:noWrap/>
            <w:vAlign w:val="center"/>
            <w:hideMark/>
          </w:tcPr>
          <w:p w14:paraId="6F5992A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23</w:t>
            </w:r>
          </w:p>
        </w:tc>
        <w:tc>
          <w:tcPr>
            <w:tcW w:w="426" w:type="dxa"/>
            <w:shd w:val="clear" w:color="auto" w:fill="auto"/>
            <w:noWrap/>
            <w:vAlign w:val="center"/>
            <w:hideMark/>
          </w:tcPr>
          <w:p w14:paraId="5A5CFE2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22</w:t>
            </w:r>
          </w:p>
        </w:tc>
        <w:tc>
          <w:tcPr>
            <w:tcW w:w="425" w:type="dxa"/>
            <w:shd w:val="clear" w:color="auto" w:fill="auto"/>
            <w:noWrap/>
            <w:vAlign w:val="center"/>
            <w:hideMark/>
          </w:tcPr>
          <w:p w14:paraId="3C8F931C"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21</w:t>
            </w:r>
          </w:p>
        </w:tc>
        <w:tc>
          <w:tcPr>
            <w:tcW w:w="425" w:type="dxa"/>
            <w:shd w:val="clear" w:color="auto" w:fill="auto"/>
            <w:noWrap/>
            <w:vAlign w:val="center"/>
            <w:hideMark/>
          </w:tcPr>
          <w:p w14:paraId="6B0B6AB1"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7</w:t>
            </w:r>
          </w:p>
        </w:tc>
        <w:tc>
          <w:tcPr>
            <w:tcW w:w="426" w:type="dxa"/>
            <w:shd w:val="clear" w:color="auto" w:fill="auto"/>
            <w:noWrap/>
            <w:vAlign w:val="center"/>
            <w:hideMark/>
          </w:tcPr>
          <w:p w14:paraId="3008FA1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6</w:t>
            </w:r>
          </w:p>
        </w:tc>
        <w:tc>
          <w:tcPr>
            <w:tcW w:w="425" w:type="dxa"/>
            <w:shd w:val="clear" w:color="auto" w:fill="auto"/>
            <w:noWrap/>
            <w:vAlign w:val="center"/>
            <w:hideMark/>
          </w:tcPr>
          <w:p w14:paraId="6370277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21</w:t>
            </w:r>
          </w:p>
        </w:tc>
        <w:tc>
          <w:tcPr>
            <w:tcW w:w="425" w:type="dxa"/>
            <w:shd w:val="clear" w:color="auto" w:fill="auto"/>
            <w:noWrap/>
            <w:vAlign w:val="center"/>
            <w:hideMark/>
          </w:tcPr>
          <w:p w14:paraId="60A5EC0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18</w:t>
            </w:r>
          </w:p>
        </w:tc>
        <w:tc>
          <w:tcPr>
            <w:tcW w:w="426" w:type="dxa"/>
            <w:shd w:val="clear" w:color="auto" w:fill="auto"/>
            <w:noWrap/>
            <w:vAlign w:val="center"/>
            <w:hideMark/>
          </w:tcPr>
          <w:p w14:paraId="585C711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22</w:t>
            </w:r>
          </w:p>
        </w:tc>
      </w:tr>
      <w:tr w:rsidR="001648FE" w:rsidRPr="002372B7" w14:paraId="301C0811" w14:textId="77777777" w:rsidTr="002372B7">
        <w:trPr>
          <w:trHeight w:val="77"/>
        </w:trPr>
        <w:tc>
          <w:tcPr>
            <w:tcW w:w="5098" w:type="dxa"/>
            <w:shd w:val="clear" w:color="auto" w:fill="auto"/>
            <w:noWrap/>
            <w:vAlign w:val="bottom"/>
            <w:hideMark/>
          </w:tcPr>
          <w:p w14:paraId="3A9439C3"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Ежемесячная денежная компенсация оплаты найма (поднайма) жилого помещения молодой семье с детьми (50% при рождении с 1.01.2025 первого ребёнка, 70% при рождении с 1.01.2025 2-го и последующих детей, но не более 20 тыс. руб.)</w:t>
            </w:r>
          </w:p>
        </w:tc>
        <w:tc>
          <w:tcPr>
            <w:tcW w:w="425" w:type="dxa"/>
            <w:shd w:val="clear" w:color="auto" w:fill="auto"/>
            <w:noWrap/>
            <w:vAlign w:val="center"/>
            <w:hideMark/>
          </w:tcPr>
          <w:p w14:paraId="6378D22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12</w:t>
            </w:r>
          </w:p>
        </w:tc>
        <w:tc>
          <w:tcPr>
            <w:tcW w:w="425" w:type="dxa"/>
            <w:shd w:val="clear" w:color="auto" w:fill="auto"/>
            <w:noWrap/>
            <w:vAlign w:val="center"/>
            <w:hideMark/>
          </w:tcPr>
          <w:p w14:paraId="2D239DC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3</w:t>
            </w:r>
          </w:p>
        </w:tc>
        <w:tc>
          <w:tcPr>
            <w:tcW w:w="425" w:type="dxa"/>
            <w:shd w:val="clear" w:color="auto" w:fill="auto"/>
            <w:noWrap/>
            <w:vAlign w:val="center"/>
            <w:hideMark/>
          </w:tcPr>
          <w:p w14:paraId="4A68B32F"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24</w:t>
            </w:r>
          </w:p>
        </w:tc>
        <w:tc>
          <w:tcPr>
            <w:tcW w:w="426" w:type="dxa"/>
            <w:shd w:val="clear" w:color="auto" w:fill="auto"/>
            <w:noWrap/>
            <w:vAlign w:val="center"/>
            <w:hideMark/>
          </w:tcPr>
          <w:p w14:paraId="2DAEEE63"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18</w:t>
            </w:r>
          </w:p>
        </w:tc>
        <w:tc>
          <w:tcPr>
            <w:tcW w:w="425" w:type="dxa"/>
            <w:shd w:val="clear" w:color="auto" w:fill="auto"/>
            <w:noWrap/>
            <w:vAlign w:val="center"/>
            <w:hideMark/>
          </w:tcPr>
          <w:p w14:paraId="2AFC1D6A"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w:t>
            </w:r>
          </w:p>
        </w:tc>
        <w:tc>
          <w:tcPr>
            <w:tcW w:w="425" w:type="dxa"/>
            <w:shd w:val="clear" w:color="auto" w:fill="auto"/>
            <w:noWrap/>
            <w:vAlign w:val="center"/>
            <w:hideMark/>
          </w:tcPr>
          <w:p w14:paraId="25012FFF"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11</w:t>
            </w:r>
          </w:p>
        </w:tc>
        <w:tc>
          <w:tcPr>
            <w:tcW w:w="426" w:type="dxa"/>
            <w:shd w:val="clear" w:color="auto" w:fill="auto"/>
            <w:noWrap/>
            <w:vAlign w:val="center"/>
            <w:hideMark/>
          </w:tcPr>
          <w:p w14:paraId="399AFDDD"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23</w:t>
            </w:r>
          </w:p>
        </w:tc>
        <w:tc>
          <w:tcPr>
            <w:tcW w:w="425" w:type="dxa"/>
            <w:shd w:val="clear" w:color="auto" w:fill="auto"/>
            <w:noWrap/>
            <w:vAlign w:val="center"/>
            <w:hideMark/>
          </w:tcPr>
          <w:p w14:paraId="0A09D1E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20</w:t>
            </w:r>
          </w:p>
        </w:tc>
        <w:tc>
          <w:tcPr>
            <w:tcW w:w="425" w:type="dxa"/>
            <w:shd w:val="clear" w:color="auto" w:fill="auto"/>
            <w:noWrap/>
            <w:vAlign w:val="center"/>
            <w:hideMark/>
          </w:tcPr>
          <w:p w14:paraId="35C6D48D"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19</w:t>
            </w:r>
          </w:p>
        </w:tc>
        <w:tc>
          <w:tcPr>
            <w:tcW w:w="426" w:type="dxa"/>
            <w:shd w:val="clear" w:color="auto" w:fill="auto"/>
            <w:noWrap/>
            <w:vAlign w:val="center"/>
            <w:hideMark/>
          </w:tcPr>
          <w:p w14:paraId="27D4F732"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18</w:t>
            </w:r>
          </w:p>
        </w:tc>
      </w:tr>
      <w:tr w:rsidR="001648FE" w:rsidRPr="002372B7" w14:paraId="1E8E47F5" w14:textId="77777777" w:rsidTr="002372B7">
        <w:trPr>
          <w:trHeight w:val="77"/>
        </w:trPr>
        <w:tc>
          <w:tcPr>
            <w:tcW w:w="5098" w:type="dxa"/>
            <w:shd w:val="clear" w:color="auto" w:fill="auto"/>
            <w:noWrap/>
            <w:vAlign w:val="bottom"/>
            <w:hideMark/>
          </w:tcPr>
          <w:p w14:paraId="3E6E31EB"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Ежемесячная выплата в связи с рождением (усыновлением) первого ребенка в период с 01.01.2018 до 01.01.2023 в размере прожиточного минимума для детей в регионе (до достижения ребёнком 3 лет)</w:t>
            </w:r>
          </w:p>
        </w:tc>
        <w:tc>
          <w:tcPr>
            <w:tcW w:w="425" w:type="dxa"/>
            <w:shd w:val="clear" w:color="auto" w:fill="auto"/>
            <w:noWrap/>
            <w:vAlign w:val="center"/>
            <w:hideMark/>
          </w:tcPr>
          <w:p w14:paraId="247DD1A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w:t>
            </w:r>
          </w:p>
        </w:tc>
        <w:tc>
          <w:tcPr>
            <w:tcW w:w="425" w:type="dxa"/>
            <w:shd w:val="clear" w:color="auto" w:fill="auto"/>
            <w:noWrap/>
            <w:vAlign w:val="center"/>
            <w:hideMark/>
          </w:tcPr>
          <w:p w14:paraId="09DFA50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13</w:t>
            </w:r>
          </w:p>
        </w:tc>
        <w:tc>
          <w:tcPr>
            <w:tcW w:w="425" w:type="dxa"/>
            <w:shd w:val="clear" w:color="auto" w:fill="auto"/>
            <w:noWrap/>
            <w:vAlign w:val="center"/>
            <w:hideMark/>
          </w:tcPr>
          <w:p w14:paraId="63CA65A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9</w:t>
            </w:r>
          </w:p>
        </w:tc>
        <w:tc>
          <w:tcPr>
            <w:tcW w:w="426" w:type="dxa"/>
            <w:shd w:val="clear" w:color="auto" w:fill="auto"/>
            <w:noWrap/>
            <w:vAlign w:val="center"/>
            <w:hideMark/>
          </w:tcPr>
          <w:p w14:paraId="66AA209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23</w:t>
            </w:r>
          </w:p>
        </w:tc>
        <w:tc>
          <w:tcPr>
            <w:tcW w:w="425" w:type="dxa"/>
            <w:shd w:val="clear" w:color="auto" w:fill="auto"/>
            <w:noWrap/>
            <w:vAlign w:val="center"/>
            <w:hideMark/>
          </w:tcPr>
          <w:p w14:paraId="27B11CC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22</w:t>
            </w:r>
          </w:p>
        </w:tc>
        <w:tc>
          <w:tcPr>
            <w:tcW w:w="425" w:type="dxa"/>
            <w:shd w:val="clear" w:color="auto" w:fill="auto"/>
            <w:noWrap/>
            <w:vAlign w:val="center"/>
            <w:hideMark/>
          </w:tcPr>
          <w:p w14:paraId="50AA6CB7"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13</w:t>
            </w:r>
          </w:p>
        </w:tc>
        <w:tc>
          <w:tcPr>
            <w:tcW w:w="426" w:type="dxa"/>
            <w:shd w:val="clear" w:color="auto" w:fill="auto"/>
            <w:noWrap/>
            <w:vAlign w:val="center"/>
            <w:hideMark/>
          </w:tcPr>
          <w:p w14:paraId="35198192"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24</w:t>
            </w:r>
          </w:p>
        </w:tc>
        <w:tc>
          <w:tcPr>
            <w:tcW w:w="425" w:type="dxa"/>
            <w:shd w:val="clear" w:color="auto" w:fill="auto"/>
            <w:noWrap/>
            <w:vAlign w:val="center"/>
            <w:hideMark/>
          </w:tcPr>
          <w:p w14:paraId="2E8C96C1"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6</w:t>
            </w:r>
          </w:p>
        </w:tc>
        <w:tc>
          <w:tcPr>
            <w:tcW w:w="425" w:type="dxa"/>
            <w:shd w:val="clear" w:color="auto" w:fill="auto"/>
            <w:noWrap/>
            <w:vAlign w:val="center"/>
            <w:hideMark/>
          </w:tcPr>
          <w:p w14:paraId="62804659"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20</w:t>
            </w:r>
          </w:p>
        </w:tc>
        <w:tc>
          <w:tcPr>
            <w:tcW w:w="426" w:type="dxa"/>
            <w:shd w:val="clear" w:color="auto" w:fill="auto"/>
            <w:noWrap/>
            <w:vAlign w:val="center"/>
            <w:hideMark/>
          </w:tcPr>
          <w:p w14:paraId="6E17B52C"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9</w:t>
            </w:r>
          </w:p>
        </w:tc>
      </w:tr>
      <w:tr w:rsidR="001648FE" w:rsidRPr="002372B7" w14:paraId="1C97D0ED" w14:textId="77777777" w:rsidTr="002372B7">
        <w:trPr>
          <w:trHeight w:val="77"/>
        </w:trPr>
        <w:tc>
          <w:tcPr>
            <w:tcW w:w="5098" w:type="dxa"/>
            <w:shd w:val="clear" w:color="auto" w:fill="auto"/>
            <w:noWrap/>
            <w:vAlign w:val="bottom"/>
            <w:hideMark/>
          </w:tcPr>
          <w:p w14:paraId="536B35EE"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Предоставление денежной компенсации за оплату детского сада (на 1-го ребёнка – 20% размера родительской платы, на 2-го – 50%, на 3-го – 75%)</w:t>
            </w:r>
          </w:p>
        </w:tc>
        <w:tc>
          <w:tcPr>
            <w:tcW w:w="425" w:type="dxa"/>
            <w:shd w:val="clear" w:color="auto" w:fill="auto"/>
            <w:noWrap/>
            <w:vAlign w:val="center"/>
            <w:hideMark/>
          </w:tcPr>
          <w:p w14:paraId="5300C09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25</w:t>
            </w:r>
          </w:p>
        </w:tc>
        <w:tc>
          <w:tcPr>
            <w:tcW w:w="425" w:type="dxa"/>
            <w:shd w:val="clear" w:color="auto" w:fill="auto"/>
            <w:noWrap/>
            <w:vAlign w:val="center"/>
            <w:hideMark/>
          </w:tcPr>
          <w:p w14:paraId="5EE8D4CA"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15</w:t>
            </w:r>
          </w:p>
        </w:tc>
        <w:tc>
          <w:tcPr>
            <w:tcW w:w="425" w:type="dxa"/>
            <w:shd w:val="clear" w:color="auto" w:fill="auto"/>
            <w:noWrap/>
            <w:vAlign w:val="center"/>
            <w:hideMark/>
          </w:tcPr>
          <w:p w14:paraId="25384039"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21</w:t>
            </w:r>
          </w:p>
        </w:tc>
        <w:tc>
          <w:tcPr>
            <w:tcW w:w="426" w:type="dxa"/>
            <w:shd w:val="clear" w:color="auto" w:fill="auto"/>
            <w:noWrap/>
            <w:vAlign w:val="center"/>
            <w:hideMark/>
          </w:tcPr>
          <w:p w14:paraId="7A04815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21</w:t>
            </w:r>
          </w:p>
        </w:tc>
        <w:tc>
          <w:tcPr>
            <w:tcW w:w="425" w:type="dxa"/>
            <w:shd w:val="clear" w:color="auto" w:fill="auto"/>
            <w:noWrap/>
            <w:vAlign w:val="center"/>
            <w:hideMark/>
          </w:tcPr>
          <w:p w14:paraId="19E25D51"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20</w:t>
            </w:r>
          </w:p>
        </w:tc>
        <w:tc>
          <w:tcPr>
            <w:tcW w:w="425" w:type="dxa"/>
            <w:shd w:val="clear" w:color="auto" w:fill="auto"/>
            <w:noWrap/>
            <w:vAlign w:val="center"/>
            <w:hideMark/>
          </w:tcPr>
          <w:p w14:paraId="1C22B23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8</w:t>
            </w:r>
          </w:p>
        </w:tc>
        <w:tc>
          <w:tcPr>
            <w:tcW w:w="426" w:type="dxa"/>
            <w:shd w:val="clear" w:color="auto" w:fill="auto"/>
            <w:noWrap/>
            <w:vAlign w:val="center"/>
            <w:hideMark/>
          </w:tcPr>
          <w:p w14:paraId="7A1A9308"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7</w:t>
            </w:r>
          </w:p>
        </w:tc>
        <w:tc>
          <w:tcPr>
            <w:tcW w:w="425" w:type="dxa"/>
            <w:shd w:val="clear" w:color="auto" w:fill="auto"/>
            <w:noWrap/>
            <w:vAlign w:val="center"/>
            <w:hideMark/>
          </w:tcPr>
          <w:p w14:paraId="68879191"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24</w:t>
            </w:r>
          </w:p>
        </w:tc>
        <w:tc>
          <w:tcPr>
            <w:tcW w:w="425" w:type="dxa"/>
            <w:shd w:val="clear" w:color="auto" w:fill="auto"/>
            <w:noWrap/>
            <w:vAlign w:val="center"/>
            <w:hideMark/>
          </w:tcPr>
          <w:p w14:paraId="33E844AA"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21</w:t>
            </w:r>
          </w:p>
        </w:tc>
        <w:tc>
          <w:tcPr>
            <w:tcW w:w="426" w:type="dxa"/>
            <w:shd w:val="clear" w:color="auto" w:fill="auto"/>
            <w:noWrap/>
            <w:vAlign w:val="center"/>
            <w:hideMark/>
          </w:tcPr>
          <w:p w14:paraId="709EF131"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15</w:t>
            </w:r>
          </w:p>
        </w:tc>
      </w:tr>
      <w:tr w:rsidR="001648FE" w:rsidRPr="002372B7" w14:paraId="556A2E5D" w14:textId="77777777" w:rsidTr="002372B7">
        <w:trPr>
          <w:trHeight w:val="77"/>
        </w:trPr>
        <w:tc>
          <w:tcPr>
            <w:tcW w:w="5098" w:type="dxa"/>
            <w:shd w:val="clear" w:color="auto" w:fill="auto"/>
            <w:noWrap/>
            <w:vAlign w:val="bottom"/>
            <w:hideMark/>
          </w:tcPr>
          <w:p w14:paraId="0736CBC6"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Единовременная денежная выплата при рождении 3-го или последующего ребенка в молодой семье (возраст обоих родителей до 35 лет включительно) в период с 1.01.2025 по 31.12.2027</w:t>
            </w:r>
          </w:p>
        </w:tc>
        <w:tc>
          <w:tcPr>
            <w:tcW w:w="425" w:type="dxa"/>
            <w:shd w:val="clear" w:color="auto" w:fill="auto"/>
            <w:noWrap/>
            <w:vAlign w:val="center"/>
            <w:hideMark/>
          </w:tcPr>
          <w:p w14:paraId="5C341CD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4</w:t>
            </w:r>
          </w:p>
        </w:tc>
        <w:tc>
          <w:tcPr>
            <w:tcW w:w="425" w:type="dxa"/>
            <w:shd w:val="clear" w:color="auto" w:fill="auto"/>
            <w:noWrap/>
            <w:vAlign w:val="center"/>
            <w:hideMark/>
          </w:tcPr>
          <w:p w14:paraId="5642F02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10</w:t>
            </w:r>
          </w:p>
        </w:tc>
        <w:tc>
          <w:tcPr>
            <w:tcW w:w="425" w:type="dxa"/>
            <w:shd w:val="clear" w:color="auto" w:fill="auto"/>
            <w:noWrap/>
            <w:vAlign w:val="center"/>
            <w:hideMark/>
          </w:tcPr>
          <w:p w14:paraId="610484D3"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20</w:t>
            </w:r>
          </w:p>
        </w:tc>
        <w:tc>
          <w:tcPr>
            <w:tcW w:w="426" w:type="dxa"/>
            <w:shd w:val="clear" w:color="auto" w:fill="auto"/>
            <w:noWrap/>
            <w:vAlign w:val="center"/>
            <w:hideMark/>
          </w:tcPr>
          <w:p w14:paraId="05687F61"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16</w:t>
            </w:r>
          </w:p>
        </w:tc>
        <w:tc>
          <w:tcPr>
            <w:tcW w:w="425" w:type="dxa"/>
            <w:shd w:val="clear" w:color="auto" w:fill="auto"/>
            <w:noWrap/>
            <w:vAlign w:val="center"/>
            <w:hideMark/>
          </w:tcPr>
          <w:p w14:paraId="14EB4EDC"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19</w:t>
            </w:r>
          </w:p>
        </w:tc>
        <w:tc>
          <w:tcPr>
            <w:tcW w:w="425" w:type="dxa"/>
            <w:shd w:val="clear" w:color="auto" w:fill="auto"/>
            <w:noWrap/>
            <w:vAlign w:val="center"/>
            <w:hideMark/>
          </w:tcPr>
          <w:p w14:paraId="223CFE41"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5</w:t>
            </w:r>
          </w:p>
        </w:tc>
        <w:tc>
          <w:tcPr>
            <w:tcW w:w="426" w:type="dxa"/>
            <w:shd w:val="clear" w:color="auto" w:fill="auto"/>
            <w:noWrap/>
            <w:vAlign w:val="center"/>
            <w:hideMark/>
          </w:tcPr>
          <w:p w14:paraId="18F2BD29"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5</w:t>
            </w:r>
          </w:p>
        </w:tc>
        <w:tc>
          <w:tcPr>
            <w:tcW w:w="425" w:type="dxa"/>
            <w:shd w:val="clear" w:color="auto" w:fill="auto"/>
            <w:noWrap/>
            <w:vAlign w:val="center"/>
            <w:hideMark/>
          </w:tcPr>
          <w:p w14:paraId="334F948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16</w:t>
            </w:r>
          </w:p>
        </w:tc>
        <w:tc>
          <w:tcPr>
            <w:tcW w:w="425" w:type="dxa"/>
            <w:shd w:val="clear" w:color="auto" w:fill="auto"/>
            <w:noWrap/>
            <w:vAlign w:val="center"/>
            <w:hideMark/>
          </w:tcPr>
          <w:p w14:paraId="0F02CA1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22</w:t>
            </w:r>
          </w:p>
        </w:tc>
        <w:tc>
          <w:tcPr>
            <w:tcW w:w="426" w:type="dxa"/>
            <w:shd w:val="clear" w:color="auto" w:fill="auto"/>
            <w:noWrap/>
            <w:vAlign w:val="center"/>
            <w:hideMark/>
          </w:tcPr>
          <w:p w14:paraId="790F2778"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12</w:t>
            </w:r>
          </w:p>
        </w:tc>
      </w:tr>
      <w:tr w:rsidR="001648FE" w:rsidRPr="002372B7" w14:paraId="57CBBF20" w14:textId="77777777" w:rsidTr="002372B7">
        <w:trPr>
          <w:trHeight w:val="156"/>
        </w:trPr>
        <w:tc>
          <w:tcPr>
            <w:tcW w:w="5098" w:type="dxa"/>
            <w:shd w:val="clear" w:color="auto" w:fill="auto"/>
            <w:noWrap/>
            <w:vAlign w:val="bottom"/>
            <w:hideMark/>
          </w:tcPr>
          <w:p w14:paraId="658184B8"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Ежемесячная денежная выплата на третьего и каждого последующего ребёнка (рожденных с 01.01.2013 по 31.12.2022) в размере прожиточного минимума для детей в регионе (до достижения ребёнком возраста 3-х лет)</w:t>
            </w:r>
          </w:p>
        </w:tc>
        <w:tc>
          <w:tcPr>
            <w:tcW w:w="425" w:type="dxa"/>
            <w:shd w:val="clear" w:color="auto" w:fill="auto"/>
            <w:noWrap/>
            <w:vAlign w:val="center"/>
            <w:hideMark/>
          </w:tcPr>
          <w:p w14:paraId="34CD6601"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6</w:t>
            </w:r>
          </w:p>
        </w:tc>
        <w:tc>
          <w:tcPr>
            <w:tcW w:w="425" w:type="dxa"/>
            <w:shd w:val="clear" w:color="auto" w:fill="auto"/>
            <w:noWrap/>
            <w:vAlign w:val="center"/>
            <w:hideMark/>
          </w:tcPr>
          <w:p w14:paraId="46CF021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23</w:t>
            </w:r>
          </w:p>
        </w:tc>
        <w:tc>
          <w:tcPr>
            <w:tcW w:w="425" w:type="dxa"/>
            <w:shd w:val="clear" w:color="auto" w:fill="auto"/>
            <w:noWrap/>
            <w:vAlign w:val="center"/>
            <w:hideMark/>
          </w:tcPr>
          <w:p w14:paraId="0E8F0784"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18</w:t>
            </w:r>
          </w:p>
        </w:tc>
        <w:tc>
          <w:tcPr>
            <w:tcW w:w="426" w:type="dxa"/>
            <w:shd w:val="clear" w:color="auto" w:fill="auto"/>
            <w:noWrap/>
            <w:vAlign w:val="center"/>
            <w:hideMark/>
          </w:tcPr>
          <w:p w14:paraId="2020156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24</w:t>
            </w:r>
          </w:p>
        </w:tc>
        <w:tc>
          <w:tcPr>
            <w:tcW w:w="425" w:type="dxa"/>
            <w:shd w:val="clear" w:color="auto" w:fill="auto"/>
            <w:noWrap/>
            <w:vAlign w:val="center"/>
            <w:hideMark/>
          </w:tcPr>
          <w:p w14:paraId="09E261C5"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13</w:t>
            </w:r>
          </w:p>
        </w:tc>
        <w:tc>
          <w:tcPr>
            <w:tcW w:w="425" w:type="dxa"/>
            <w:shd w:val="clear" w:color="auto" w:fill="auto"/>
            <w:noWrap/>
            <w:vAlign w:val="center"/>
            <w:hideMark/>
          </w:tcPr>
          <w:p w14:paraId="4CCD896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14</w:t>
            </w:r>
          </w:p>
        </w:tc>
        <w:tc>
          <w:tcPr>
            <w:tcW w:w="426" w:type="dxa"/>
            <w:shd w:val="clear" w:color="auto" w:fill="auto"/>
            <w:noWrap/>
            <w:vAlign w:val="center"/>
            <w:hideMark/>
          </w:tcPr>
          <w:p w14:paraId="041BF44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14</w:t>
            </w:r>
          </w:p>
        </w:tc>
        <w:tc>
          <w:tcPr>
            <w:tcW w:w="425" w:type="dxa"/>
            <w:shd w:val="clear" w:color="auto" w:fill="auto"/>
            <w:noWrap/>
            <w:vAlign w:val="center"/>
            <w:hideMark/>
          </w:tcPr>
          <w:p w14:paraId="3F78124D"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18</w:t>
            </w:r>
          </w:p>
        </w:tc>
        <w:tc>
          <w:tcPr>
            <w:tcW w:w="425" w:type="dxa"/>
            <w:shd w:val="clear" w:color="auto" w:fill="auto"/>
            <w:noWrap/>
            <w:vAlign w:val="center"/>
            <w:hideMark/>
          </w:tcPr>
          <w:p w14:paraId="7C62F62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23</w:t>
            </w:r>
          </w:p>
        </w:tc>
        <w:tc>
          <w:tcPr>
            <w:tcW w:w="426" w:type="dxa"/>
            <w:shd w:val="clear" w:color="auto" w:fill="auto"/>
            <w:noWrap/>
            <w:vAlign w:val="center"/>
            <w:hideMark/>
          </w:tcPr>
          <w:p w14:paraId="7B8927E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10</w:t>
            </w:r>
          </w:p>
        </w:tc>
      </w:tr>
      <w:tr w:rsidR="001648FE" w:rsidRPr="002372B7" w14:paraId="7E5BCC8E" w14:textId="77777777" w:rsidTr="002372B7">
        <w:trPr>
          <w:trHeight w:val="295"/>
        </w:trPr>
        <w:tc>
          <w:tcPr>
            <w:tcW w:w="5098" w:type="dxa"/>
            <w:shd w:val="clear" w:color="auto" w:fill="auto"/>
            <w:noWrap/>
            <w:vAlign w:val="bottom"/>
            <w:hideMark/>
          </w:tcPr>
          <w:p w14:paraId="3E70071E"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Выплата 500 тыс. руб. на улучшение жилищных условий для многодетных семей</w:t>
            </w:r>
          </w:p>
        </w:tc>
        <w:tc>
          <w:tcPr>
            <w:tcW w:w="425" w:type="dxa"/>
            <w:shd w:val="clear" w:color="auto" w:fill="auto"/>
            <w:noWrap/>
            <w:vAlign w:val="center"/>
            <w:hideMark/>
          </w:tcPr>
          <w:p w14:paraId="6ACDD13A"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13</w:t>
            </w:r>
          </w:p>
        </w:tc>
        <w:tc>
          <w:tcPr>
            <w:tcW w:w="425" w:type="dxa"/>
            <w:shd w:val="clear" w:color="auto" w:fill="auto"/>
            <w:noWrap/>
            <w:vAlign w:val="center"/>
            <w:hideMark/>
          </w:tcPr>
          <w:p w14:paraId="74E09B46"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14</w:t>
            </w:r>
          </w:p>
        </w:tc>
        <w:tc>
          <w:tcPr>
            <w:tcW w:w="425" w:type="dxa"/>
            <w:shd w:val="clear" w:color="auto" w:fill="auto"/>
            <w:noWrap/>
            <w:vAlign w:val="center"/>
            <w:hideMark/>
          </w:tcPr>
          <w:p w14:paraId="67B1BA59"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16</w:t>
            </w:r>
          </w:p>
        </w:tc>
        <w:tc>
          <w:tcPr>
            <w:tcW w:w="426" w:type="dxa"/>
            <w:shd w:val="clear" w:color="auto" w:fill="auto"/>
            <w:noWrap/>
            <w:vAlign w:val="center"/>
            <w:hideMark/>
          </w:tcPr>
          <w:p w14:paraId="2846D428"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17</w:t>
            </w:r>
          </w:p>
        </w:tc>
        <w:tc>
          <w:tcPr>
            <w:tcW w:w="425" w:type="dxa"/>
            <w:shd w:val="clear" w:color="auto" w:fill="auto"/>
            <w:noWrap/>
            <w:vAlign w:val="center"/>
            <w:hideMark/>
          </w:tcPr>
          <w:p w14:paraId="4045C49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25</w:t>
            </w:r>
          </w:p>
        </w:tc>
        <w:tc>
          <w:tcPr>
            <w:tcW w:w="425" w:type="dxa"/>
            <w:shd w:val="clear" w:color="auto" w:fill="auto"/>
            <w:noWrap/>
            <w:vAlign w:val="center"/>
            <w:hideMark/>
          </w:tcPr>
          <w:p w14:paraId="4F94C32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19</w:t>
            </w:r>
          </w:p>
        </w:tc>
        <w:tc>
          <w:tcPr>
            <w:tcW w:w="426" w:type="dxa"/>
            <w:shd w:val="clear" w:color="auto" w:fill="auto"/>
            <w:noWrap/>
            <w:vAlign w:val="center"/>
            <w:hideMark/>
          </w:tcPr>
          <w:p w14:paraId="1910972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21</w:t>
            </w:r>
          </w:p>
        </w:tc>
        <w:tc>
          <w:tcPr>
            <w:tcW w:w="425" w:type="dxa"/>
            <w:shd w:val="clear" w:color="auto" w:fill="auto"/>
            <w:noWrap/>
            <w:vAlign w:val="center"/>
            <w:hideMark/>
          </w:tcPr>
          <w:p w14:paraId="2C82712E"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17</w:t>
            </w:r>
          </w:p>
        </w:tc>
        <w:tc>
          <w:tcPr>
            <w:tcW w:w="425" w:type="dxa"/>
            <w:shd w:val="clear" w:color="auto" w:fill="auto"/>
            <w:noWrap/>
            <w:vAlign w:val="center"/>
            <w:hideMark/>
          </w:tcPr>
          <w:p w14:paraId="233CC149"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24</w:t>
            </w:r>
          </w:p>
        </w:tc>
        <w:tc>
          <w:tcPr>
            <w:tcW w:w="426" w:type="dxa"/>
            <w:shd w:val="clear" w:color="auto" w:fill="auto"/>
            <w:noWrap/>
            <w:vAlign w:val="center"/>
            <w:hideMark/>
          </w:tcPr>
          <w:p w14:paraId="6CCFE39C"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24</w:t>
            </w:r>
          </w:p>
        </w:tc>
      </w:tr>
      <w:tr w:rsidR="001648FE" w:rsidRPr="002372B7" w14:paraId="14CB68EF" w14:textId="77777777" w:rsidTr="002372B7">
        <w:trPr>
          <w:trHeight w:val="77"/>
        </w:trPr>
        <w:tc>
          <w:tcPr>
            <w:tcW w:w="5098" w:type="dxa"/>
            <w:shd w:val="clear" w:color="auto" w:fill="auto"/>
            <w:noWrap/>
            <w:vAlign w:val="bottom"/>
            <w:hideMark/>
          </w:tcPr>
          <w:p w14:paraId="22C37194" w14:textId="77777777" w:rsidR="001648FE" w:rsidRPr="002372B7" w:rsidRDefault="001648FE" w:rsidP="002372B7">
            <w:pPr>
              <w:spacing w:after="0" w:line="240" w:lineRule="auto"/>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Ежемесячное пособие на ребёнка военнослужащего, проходящего военную службу по призыву</w:t>
            </w:r>
          </w:p>
        </w:tc>
        <w:tc>
          <w:tcPr>
            <w:tcW w:w="425" w:type="dxa"/>
            <w:shd w:val="clear" w:color="auto" w:fill="auto"/>
            <w:noWrap/>
            <w:vAlign w:val="center"/>
            <w:hideMark/>
          </w:tcPr>
          <w:p w14:paraId="3EE8F656"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16</w:t>
            </w:r>
          </w:p>
        </w:tc>
        <w:tc>
          <w:tcPr>
            <w:tcW w:w="425" w:type="dxa"/>
            <w:shd w:val="clear" w:color="auto" w:fill="auto"/>
            <w:noWrap/>
            <w:vAlign w:val="center"/>
            <w:hideMark/>
          </w:tcPr>
          <w:p w14:paraId="0A3F043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5</w:t>
            </w:r>
          </w:p>
        </w:tc>
        <w:tc>
          <w:tcPr>
            <w:tcW w:w="425" w:type="dxa"/>
            <w:shd w:val="clear" w:color="auto" w:fill="auto"/>
            <w:noWrap/>
            <w:vAlign w:val="center"/>
            <w:hideMark/>
          </w:tcPr>
          <w:p w14:paraId="2E920DBF"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25</w:t>
            </w:r>
          </w:p>
        </w:tc>
        <w:tc>
          <w:tcPr>
            <w:tcW w:w="426" w:type="dxa"/>
            <w:shd w:val="clear" w:color="auto" w:fill="auto"/>
            <w:noWrap/>
            <w:vAlign w:val="center"/>
            <w:hideMark/>
          </w:tcPr>
          <w:p w14:paraId="342628B6"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25</w:t>
            </w:r>
          </w:p>
        </w:tc>
        <w:tc>
          <w:tcPr>
            <w:tcW w:w="425" w:type="dxa"/>
            <w:shd w:val="clear" w:color="auto" w:fill="auto"/>
            <w:noWrap/>
            <w:vAlign w:val="center"/>
            <w:hideMark/>
          </w:tcPr>
          <w:p w14:paraId="36F49D2B"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23</w:t>
            </w:r>
          </w:p>
        </w:tc>
        <w:tc>
          <w:tcPr>
            <w:tcW w:w="425" w:type="dxa"/>
            <w:shd w:val="clear" w:color="auto" w:fill="auto"/>
            <w:noWrap/>
            <w:vAlign w:val="center"/>
            <w:hideMark/>
          </w:tcPr>
          <w:p w14:paraId="613E464C"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15</w:t>
            </w:r>
          </w:p>
        </w:tc>
        <w:tc>
          <w:tcPr>
            <w:tcW w:w="426" w:type="dxa"/>
            <w:shd w:val="clear" w:color="auto" w:fill="auto"/>
            <w:noWrap/>
            <w:vAlign w:val="center"/>
            <w:hideMark/>
          </w:tcPr>
          <w:p w14:paraId="2D1BBCFC"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17</w:t>
            </w:r>
          </w:p>
        </w:tc>
        <w:tc>
          <w:tcPr>
            <w:tcW w:w="425" w:type="dxa"/>
            <w:shd w:val="clear" w:color="auto" w:fill="auto"/>
            <w:noWrap/>
            <w:vAlign w:val="center"/>
            <w:hideMark/>
          </w:tcPr>
          <w:p w14:paraId="1C2DCE30"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25</w:t>
            </w:r>
          </w:p>
        </w:tc>
        <w:tc>
          <w:tcPr>
            <w:tcW w:w="425" w:type="dxa"/>
            <w:shd w:val="clear" w:color="auto" w:fill="auto"/>
            <w:noWrap/>
            <w:vAlign w:val="center"/>
            <w:hideMark/>
          </w:tcPr>
          <w:p w14:paraId="244BDB96"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25</w:t>
            </w:r>
          </w:p>
        </w:tc>
        <w:tc>
          <w:tcPr>
            <w:tcW w:w="426" w:type="dxa"/>
            <w:shd w:val="clear" w:color="auto" w:fill="auto"/>
            <w:noWrap/>
            <w:vAlign w:val="center"/>
            <w:hideMark/>
          </w:tcPr>
          <w:p w14:paraId="0D33BC4C" w14:textId="77777777" w:rsidR="001648FE" w:rsidRPr="002372B7" w:rsidRDefault="001648FE" w:rsidP="002372B7">
            <w:pPr>
              <w:spacing w:after="0" w:line="240" w:lineRule="auto"/>
              <w:jc w:val="center"/>
              <w:rPr>
                <w:rFonts w:ascii="Times New Roman" w:eastAsia="Times New Roman" w:hAnsi="Times New Roman" w:cs="Times New Roman"/>
                <w:color w:val="000000"/>
                <w:sz w:val="18"/>
                <w:szCs w:val="18"/>
                <w:lang w:eastAsia="ru-RU"/>
              </w:rPr>
            </w:pPr>
            <w:r w:rsidRPr="002372B7">
              <w:rPr>
                <w:rFonts w:ascii="Times New Roman" w:hAnsi="Times New Roman" w:cs="Times New Roman"/>
                <w:color w:val="000000"/>
                <w:sz w:val="18"/>
                <w:szCs w:val="18"/>
              </w:rPr>
              <w:t>5</w:t>
            </w:r>
          </w:p>
        </w:tc>
      </w:tr>
      <w:tr w:rsidR="002372B7" w:rsidRPr="002372B7" w14:paraId="0ADDEFEC" w14:textId="77777777" w:rsidTr="002372B7">
        <w:trPr>
          <w:trHeight w:val="70"/>
        </w:trPr>
        <w:tc>
          <w:tcPr>
            <w:tcW w:w="9351" w:type="dxa"/>
            <w:gridSpan w:val="11"/>
            <w:shd w:val="clear" w:color="auto" w:fill="auto"/>
            <w:noWrap/>
            <w:vAlign w:val="bottom"/>
          </w:tcPr>
          <w:p w14:paraId="5845DA8B" w14:textId="53501C25" w:rsidR="002372B7" w:rsidRPr="002372B7" w:rsidRDefault="002372B7" w:rsidP="002372B7">
            <w:pPr>
              <w:spacing w:after="0" w:line="240" w:lineRule="auto"/>
              <w:rPr>
                <w:rFonts w:ascii="Times New Roman" w:hAnsi="Times New Roman" w:cs="Times New Roman"/>
                <w:color w:val="000000"/>
                <w:sz w:val="18"/>
                <w:szCs w:val="18"/>
              </w:rPr>
            </w:pPr>
            <w:r w:rsidRPr="002372B7">
              <w:rPr>
                <w:rFonts w:ascii="Times New Roman" w:hAnsi="Times New Roman" w:cs="Times New Roman"/>
                <w:color w:val="000000"/>
                <w:sz w:val="18"/>
                <w:szCs w:val="18"/>
              </w:rPr>
              <w:t xml:space="preserve">Источник: </w:t>
            </w:r>
            <w:r w:rsidRPr="002372B7">
              <w:rPr>
                <w:rFonts w:ascii="Times New Roman" w:eastAsia="Times New Roman" w:hAnsi="Times New Roman" w:cs="Times New Roman"/>
                <w:spacing w:val="-2"/>
                <w:sz w:val="18"/>
                <w:szCs w:val="18"/>
                <w:lang w:eastAsia="ru-RU"/>
              </w:rPr>
              <w:t xml:space="preserve">данные мониторинга репродуктивного потенциала населения Вологодской области, ФГБУН </w:t>
            </w:r>
            <w:proofErr w:type="spellStart"/>
            <w:r w:rsidRPr="002372B7">
              <w:rPr>
                <w:rFonts w:ascii="Times New Roman" w:eastAsia="Times New Roman" w:hAnsi="Times New Roman" w:cs="Times New Roman"/>
                <w:spacing w:val="-2"/>
                <w:sz w:val="18"/>
                <w:szCs w:val="18"/>
                <w:lang w:eastAsia="ru-RU"/>
              </w:rPr>
              <w:t>ВолНЦ</w:t>
            </w:r>
            <w:proofErr w:type="spellEnd"/>
            <w:r w:rsidRPr="002372B7">
              <w:rPr>
                <w:rFonts w:ascii="Times New Roman" w:eastAsia="Times New Roman" w:hAnsi="Times New Roman" w:cs="Times New Roman"/>
                <w:spacing w:val="-2"/>
                <w:sz w:val="18"/>
                <w:szCs w:val="18"/>
                <w:lang w:eastAsia="ru-RU"/>
              </w:rPr>
              <w:t xml:space="preserve"> РАН (N=1500).</w:t>
            </w:r>
          </w:p>
        </w:tc>
      </w:tr>
    </w:tbl>
    <w:p w14:paraId="4B56C286" w14:textId="77777777" w:rsidR="002372B7" w:rsidRDefault="002372B7" w:rsidP="002B1059">
      <w:pPr>
        <w:pStyle w:val="a3"/>
        <w:spacing w:before="0" w:beforeAutospacing="0" w:after="0" w:afterAutospacing="0"/>
        <w:ind w:firstLine="709"/>
        <w:jc w:val="both"/>
      </w:pPr>
    </w:p>
    <w:p w14:paraId="74A4DA07" w14:textId="707C5A42" w:rsidR="008D4755" w:rsidRPr="002B1059" w:rsidRDefault="008D4755" w:rsidP="002B1059">
      <w:pPr>
        <w:pStyle w:val="a3"/>
        <w:spacing w:before="0" w:beforeAutospacing="0" w:after="0" w:afterAutospacing="0"/>
        <w:ind w:firstLine="709"/>
        <w:jc w:val="both"/>
      </w:pPr>
      <w:r w:rsidRPr="002B1059">
        <w:t xml:space="preserve">Таким образом, структура значимости мер государственной поддержки существенно меняется по мере роста планируемого числа детей в семье. Если на ранних этапах формирования семьи наибольшее значение имеют меры единовременного финансового стимулирования, то для реализации многодетных репродуктивных планов ключевую роль начинают играть меры, направленные на создание устойчивых социально-экономических условий жизнедеятельности семьи, включая доступность инфраструктуры ухода за детьми, развитие системы регулярных денежных выплат. Учет данных различий представляется важным при формировании комплексной демографической политики, ориентированной на поддержку семей с различными репродуктивными установками и стимулирование перехода от </w:t>
      </w:r>
      <w:proofErr w:type="spellStart"/>
      <w:r w:rsidRPr="002B1059">
        <w:t>малодетной</w:t>
      </w:r>
      <w:proofErr w:type="spellEnd"/>
      <w:r w:rsidRPr="002B1059">
        <w:t xml:space="preserve"> к многодетной модели семьи.</w:t>
      </w:r>
      <w:r w:rsidR="00E52934" w:rsidRPr="002B1059">
        <w:t xml:space="preserve"> Полученные результаты свидетельствуют о необходимости дифференцированного подхода к формированию пакета мер демографической политики, учитывающего различия в репродуктивных намерениях и ресурсном обеспечении семей.</w:t>
      </w:r>
    </w:p>
    <w:p w14:paraId="4EB3E0A3" w14:textId="77777777" w:rsidR="001648FE" w:rsidRPr="002B1059" w:rsidRDefault="001648FE" w:rsidP="002B1059">
      <w:pPr>
        <w:spacing w:after="0" w:line="240" w:lineRule="auto"/>
        <w:ind w:right="-1"/>
        <w:jc w:val="both"/>
        <w:rPr>
          <w:rFonts w:ascii="Times New Roman" w:hAnsi="Times New Roman" w:cs="Times New Roman"/>
          <w:sz w:val="24"/>
          <w:szCs w:val="24"/>
        </w:rPr>
      </w:pPr>
    </w:p>
    <w:p w14:paraId="6C3E01AA" w14:textId="78ABB338" w:rsidR="00F94DE8" w:rsidRPr="00DC0D8B" w:rsidRDefault="007A3553" w:rsidP="00DC0D8B">
      <w:pPr>
        <w:pStyle w:val="a3"/>
        <w:spacing w:before="0" w:beforeAutospacing="0" w:after="0" w:afterAutospacing="0"/>
        <w:jc w:val="center"/>
        <w:rPr>
          <w:b/>
          <w:bCs/>
        </w:rPr>
      </w:pPr>
      <w:r>
        <w:rPr>
          <w:b/>
          <w:bCs/>
        </w:rPr>
        <w:t>Библиографический список</w:t>
      </w:r>
    </w:p>
    <w:p w14:paraId="66B6D260" w14:textId="21D21785" w:rsidR="00DC0D8B" w:rsidRDefault="00DC0D8B" w:rsidP="00DC0D8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Pr="00752447">
        <w:rPr>
          <w:rFonts w:ascii="Times New Roman" w:hAnsi="Times New Roman" w:cs="Times New Roman"/>
          <w:sz w:val="24"/>
          <w:szCs w:val="24"/>
        </w:rPr>
        <w:t xml:space="preserve">Архангельский В.Н. </w:t>
      </w:r>
      <w:r w:rsidRPr="00752447">
        <w:rPr>
          <w:rStyle w:val="a4"/>
          <w:rFonts w:ascii="Times New Roman" w:hAnsi="Times New Roman" w:cs="Times New Roman"/>
          <w:b w:val="0"/>
          <w:bCs w:val="0"/>
          <w:sz w:val="24"/>
          <w:szCs w:val="24"/>
        </w:rPr>
        <w:t>Репродуктивные намерения и их реализация в современной России</w:t>
      </w:r>
      <w:r w:rsidRPr="00752447">
        <w:rPr>
          <w:rFonts w:ascii="Times New Roman" w:hAnsi="Times New Roman" w:cs="Times New Roman"/>
          <w:sz w:val="24"/>
          <w:szCs w:val="24"/>
        </w:rPr>
        <w:t xml:space="preserve"> // </w:t>
      </w:r>
      <w:r w:rsidRPr="009F4F81">
        <w:rPr>
          <w:rStyle w:val="a5"/>
          <w:rFonts w:ascii="Times New Roman" w:hAnsi="Times New Roman" w:cs="Times New Roman"/>
          <w:i w:val="0"/>
          <w:iCs w:val="0"/>
          <w:sz w:val="24"/>
          <w:szCs w:val="24"/>
        </w:rPr>
        <w:t>Народонаселение</w:t>
      </w:r>
      <w:r w:rsidRPr="00752447">
        <w:rPr>
          <w:rFonts w:ascii="Times New Roman" w:hAnsi="Times New Roman" w:cs="Times New Roman"/>
          <w:sz w:val="24"/>
          <w:szCs w:val="24"/>
        </w:rPr>
        <w:t>. 2013. № 2. С. 46</w:t>
      </w:r>
      <w:r w:rsidR="009F4F81">
        <w:rPr>
          <w:rFonts w:ascii="Times New Roman" w:hAnsi="Times New Roman" w:cs="Times New Roman"/>
          <w:sz w:val="24"/>
          <w:szCs w:val="24"/>
        </w:rPr>
        <w:t>-</w:t>
      </w:r>
      <w:r w:rsidRPr="00752447">
        <w:rPr>
          <w:rFonts w:ascii="Times New Roman" w:hAnsi="Times New Roman" w:cs="Times New Roman"/>
          <w:sz w:val="24"/>
          <w:szCs w:val="24"/>
        </w:rPr>
        <w:t xml:space="preserve">56. </w:t>
      </w:r>
    </w:p>
    <w:p w14:paraId="56E90C47" w14:textId="061C7E46" w:rsidR="003C2198" w:rsidRPr="00752447" w:rsidRDefault="00DC0D8B" w:rsidP="0075244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00752447" w:rsidRPr="00752447">
        <w:rPr>
          <w:rFonts w:ascii="Times New Roman" w:hAnsi="Times New Roman" w:cs="Times New Roman"/>
          <w:sz w:val="24"/>
          <w:szCs w:val="24"/>
        </w:rPr>
        <w:t>Валентей</w:t>
      </w:r>
      <w:proofErr w:type="spellEnd"/>
      <w:r w:rsidR="00752447" w:rsidRPr="00752447">
        <w:rPr>
          <w:rFonts w:ascii="Times New Roman" w:hAnsi="Times New Roman" w:cs="Times New Roman"/>
          <w:sz w:val="24"/>
          <w:szCs w:val="24"/>
        </w:rPr>
        <w:t xml:space="preserve"> Д.И. </w:t>
      </w:r>
      <w:r w:rsidR="00752447" w:rsidRPr="00752447">
        <w:rPr>
          <w:rStyle w:val="a4"/>
          <w:rFonts w:ascii="Times New Roman" w:hAnsi="Times New Roman" w:cs="Times New Roman"/>
          <w:b w:val="0"/>
          <w:bCs w:val="0"/>
          <w:sz w:val="24"/>
          <w:szCs w:val="24"/>
        </w:rPr>
        <w:t>Теория и политика народонаселения</w:t>
      </w:r>
      <w:r w:rsidR="009D4882">
        <w:rPr>
          <w:rStyle w:val="a4"/>
          <w:rFonts w:ascii="Times New Roman" w:hAnsi="Times New Roman" w:cs="Times New Roman"/>
          <w:b w:val="0"/>
          <w:bCs w:val="0"/>
          <w:sz w:val="24"/>
          <w:szCs w:val="24"/>
        </w:rPr>
        <w:t xml:space="preserve"> </w:t>
      </w:r>
      <w:r w:rsidR="009D4882" w:rsidRPr="00752447">
        <w:rPr>
          <w:rFonts w:ascii="Times New Roman" w:hAnsi="Times New Roman" w:cs="Times New Roman"/>
          <w:sz w:val="24"/>
          <w:szCs w:val="24"/>
        </w:rPr>
        <w:t>//</w:t>
      </w:r>
      <w:r w:rsidR="009D4882">
        <w:rPr>
          <w:rFonts w:ascii="Times New Roman" w:hAnsi="Times New Roman" w:cs="Times New Roman"/>
          <w:sz w:val="24"/>
          <w:szCs w:val="24"/>
        </w:rPr>
        <w:t xml:space="preserve"> </w:t>
      </w:r>
      <w:r w:rsidR="00752447" w:rsidRPr="00752447">
        <w:rPr>
          <w:rFonts w:ascii="Times New Roman" w:hAnsi="Times New Roman" w:cs="Times New Roman"/>
          <w:sz w:val="24"/>
          <w:szCs w:val="24"/>
        </w:rPr>
        <w:t>М.: Мысль</w:t>
      </w:r>
      <w:r w:rsidR="009D4882">
        <w:rPr>
          <w:rFonts w:ascii="Times New Roman" w:hAnsi="Times New Roman" w:cs="Times New Roman"/>
          <w:sz w:val="24"/>
          <w:szCs w:val="24"/>
        </w:rPr>
        <w:t>.</w:t>
      </w:r>
      <w:r w:rsidR="00752447" w:rsidRPr="00752447">
        <w:rPr>
          <w:rFonts w:ascii="Times New Roman" w:hAnsi="Times New Roman" w:cs="Times New Roman"/>
          <w:sz w:val="24"/>
          <w:szCs w:val="24"/>
        </w:rPr>
        <w:t xml:space="preserve"> 1989.</w:t>
      </w:r>
      <w:r w:rsidR="009D4882">
        <w:rPr>
          <w:rFonts w:ascii="Times New Roman" w:hAnsi="Times New Roman" w:cs="Times New Roman"/>
          <w:sz w:val="24"/>
          <w:szCs w:val="24"/>
        </w:rPr>
        <w:t xml:space="preserve"> </w:t>
      </w:r>
      <w:r w:rsidR="00752447" w:rsidRPr="00752447">
        <w:rPr>
          <w:rFonts w:ascii="Times New Roman" w:hAnsi="Times New Roman" w:cs="Times New Roman"/>
          <w:sz w:val="24"/>
          <w:szCs w:val="24"/>
        </w:rPr>
        <w:t>271 с.</w:t>
      </w:r>
    </w:p>
    <w:p w14:paraId="2C81BAFC" w14:textId="08B89694" w:rsidR="00DC0D8B" w:rsidRPr="00752447" w:rsidRDefault="00DC0D8B" w:rsidP="00DC0D8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3. </w:t>
      </w:r>
      <w:r w:rsidRPr="00752447">
        <w:rPr>
          <w:rFonts w:ascii="Times New Roman" w:hAnsi="Times New Roman" w:cs="Times New Roman"/>
          <w:sz w:val="24"/>
          <w:szCs w:val="24"/>
        </w:rPr>
        <w:t>Журавлева Е.К., Копцева О</w:t>
      </w:r>
      <w:r>
        <w:rPr>
          <w:rFonts w:ascii="Times New Roman" w:hAnsi="Times New Roman" w:cs="Times New Roman"/>
          <w:sz w:val="24"/>
          <w:szCs w:val="24"/>
        </w:rPr>
        <w:t>.</w:t>
      </w:r>
      <w:r w:rsidRPr="00752447">
        <w:rPr>
          <w:rFonts w:ascii="Times New Roman" w:hAnsi="Times New Roman" w:cs="Times New Roman"/>
          <w:sz w:val="24"/>
          <w:szCs w:val="24"/>
        </w:rPr>
        <w:t>А.</w:t>
      </w:r>
      <w:r>
        <w:rPr>
          <w:rFonts w:ascii="Times New Roman" w:hAnsi="Times New Roman" w:cs="Times New Roman"/>
          <w:sz w:val="24"/>
          <w:szCs w:val="24"/>
        </w:rPr>
        <w:t xml:space="preserve"> </w:t>
      </w:r>
      <w:r w:rsidRPr="00752447">
        <w:rPr>
          <w:rFonts w:ascii="Times New Roman" w:hAnsi="Times New Roman" w:cs="Times New Roman"/>
          <w:sz w:val="24"/>
          <w:szCs w:val="24"/>
        </w:rPr>
        <w:t xml:space="preserve">Опорные точки многодетности в условиях трансформации современной России // </w:t>
      </w:r>
      <w:r w:rsidRPr="00752447">
        <w:rPr>
          <w:rStyle w:val="a4"/>
          <w:rFonts w:ascii="Times New Roman" w:hAnsi="Times New Roman" w:cs="Times New Roman"/>
          <w:b w:val="0"/>
          <w:bCs w:val="0"/>
          <w:sz w:val="24"/>
          <w:szCs w:val="24"/>
        </w:rPr>
        <w:t>Народонаселение</w:t>
      </w:r>
      <w:r w:rsidRPr="00752447">
        <w:rPr>
          <w:rFonts w:ascii="Times New Roman" w:hAnsi="Times New Roman" w:cs="Times New Roman"/>
          <w:sz w:val="24"/>
          <w:szCs w:val="24"/>
        </w:rPr>
        <w:t>. 2024. Т. 27. № 3. С. 130</w:t>
      </w:r>
      <w:r w:rsidR="009D4882">
        <w:rPr>
          <w:rFonts w:ascii="Times New Roman" w:hAnsi="Times New Roman" w:cs="Times New Roman"/>
          <w:sz w:val="24"/>
          <w:szCs w:val="24"/>
        </w:rPr>
        <w:t>-</w:t>
      </w:r>
      <w:r w:rsidRPr="00752447">
        <w:rPr>
          <w:rFonts w:ascii="Times New Roman" w:hAnsi="Times New Roman" w:cs="Times New Roman"/>
          <w:sz w:val="24"/>
          <w:szCs w:val="24"/>
        </w:rPr>
        <w:t xml:space="preserve">143. </w:t>
      </w:r>
    </w:p>
    <w:p w14:paraId="74B27F00" w14:textId="3082320E" w:rsidR="009D4882" w:rsidRPr="009D4882" w:rsidRDefault="00DC0D8B" w:rsidP="00752447">
      <w:pPr>
        <w:spacing w:after="0" w:line="240" w:lineRule="auto"/>
        <w:ind w:firstLine="709"/>
        <w:jc w:val="both"/>
        <w:rPr>
          <w:color w:val="333333"/>
          <w:sz w:val="21"/>
          <w:szCs w:val="21"/>
          <w:shd w:val="clear" w:color="auto" w:fill="FFFFFF"/>
        </w:rPr>
      </w:pPr>
      <w:r>
        <w:rPr>
          <w:rFonts w:ascii="Times New Roman" w:hAnsi="Times New Roman" w:cs="Times New Roman"/>
          <w:sz w:val="24"/>
          <w:szCs w:val="24"/>
        </w:rPr>
        <w:t xml:space="preserve">4. </w:t>
      </w:r>
      <w:r w:rsidR="00752447" w:rsidRPr="00752447">
        <w:rPr>
          <w:rFonts w:ascii="Times New Roman" w:hAnsi="Times New Roman" w:cs="Times New Roman"/>
          <w:sz w:val="24"/>
          <w:szCs w:val="24"/>
        </w:rPr>
        <w:t xml:space="preserve">Калачикова О.Н., Архангельский В.Н. Оценка влияния регионального материнского (семейного) капитала на рождаемость населения // Социальное пространство. 2025. Т. 11. </w:t>
      </w:r>
      <w:r w:rsidR="00752447" w:rsidRPr="009D4882">
        <w:rPr>
          <w:rFonts w:ascii="Times New Roman" w:hAnsi="Times New Roman" w:cs="Times New Roman"/>
          <w:sz w:val="24"/>
          <w:szCs w:val="24"/>
        </w:rPr>
        <w:t>№</w:t>
      </w:r>
      <w:r w:rsidR="009D4882" w:rsidRPr="009D4882">
        <w:rPr>
          <w:rFonts w:ascii="Times New Roman" w:hAnsi="Times New Roman" w:cs="Times New Roman"/>
          <w:sz w:val="24"/>
          <w:szCs w:val="24"/>
          <w:lang w:val="en-US"/>
        </w:rPr>
        <w:t> </w:t>
      </w:r>
      <w:r w:rsidR="00752447" w:rsidRPr="009D4882">
        <w:rPr>
          <w:rFonts w:ascii="Times New Roman" w:hAnsi="Times New Roman" w:cs="Times New Roman"/>
          <w:sz w:val="24"/>
          <w:szCs w:val="24"/>
        </w:rPr>
        <w:t xml:space="preserve">2. </w:t>
      </w:r>
      <w:r w:rsidR="009D4882" w:rsidRPr="009D4882">
        <w:rPr>
          <w:rFonts w:ascii="Times New Roman" w:hAnsi="Times New Roman" w:cs="Times New Roman"/>
          <w:sz w:val="24"/>
          <w:szCs w:val="24"/>
        </w:rPr>
        <w:t xml:space="preserve">DOI: 10.15838/sa.2025.2.46.6 URL: </w:t>
      </w:r>
      <w:hyperlink r:id="rId5" w:history="1">
        <w:r w:rsidR="009D4882" w:rsidRPr="009D4882">
          <w:rPr>
            <w:rStyle w:val="a7"/>
            <w:rFonts w:ascii="Times New Roman" w:hAnsi="Times New Roman" w:cs="Times New Roman"/>
            <w:sz w:val="24"/>
            <w:szCs w:val="24"/>
          </w:rPr>
          <w:t>http://socialarea-journal.ru/article/30343</w:t>
        </w:r>
      </w:hyperlink>
      <w:r w:rsidR="009D4882" w:rsidRPr="009D4882">
        <w:rPr>
          <w:rFonts w:ascii="Times New Roman" w:hAnsi="Times New Roman" w:cs="Times New Roman"/>
          <w:sz w:val="24"/>
          <w:szCs w:val="24"/>
        </w:rPr>
        <w:t>.</w:t>
      </w:r>
    </w:p>
    <w:p w14:paraId="1A8A8FD6" w14:textId="238156A7" w:rsidR="00752447" w:rsidRDefault="00DC0D8B" w:rsidP="0075244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00752447" w:rsidRPr="00752447">
        <w:rPr>
          <w:rFonts w:ascii="Times New Roman" w:hAnsi="Times New Roman" w:cs="Times New Roman"/>
          <w:sz w:val="24"/>
          <w:szCs w:val="24"/>
        </w:rPr>
        <w:t xml:space="preserve">Ростовская Т.К., </w:t>
      </w:r>
      <w:proofErr w:type="spellStart"/>
      <w:r w:rsidR="00752447" w:rsidRPr="00752447">
        <w:rPr>
          <w:rFonts w:ascii="Times New Roman" w:hAnsi="Times New Roman" w:cs="Times New Roman"/>
          <w:sz w:val="24"/>
          <w:szCs w:val="24"/>
        </w:rPr>
        <w:t>Ситковский</w:t>
      </w:r>
      <w:proofErr w:type="spellEnd"/>
      <w:r w:rsidR="00752447" w:rsidRPr="00752447">
        <w:rPr>
          <w:rFonts w:ascii="Times New Roman" w:hAnsi="Times New Roman" w:cs="Times New Roman"/>
          <w:sz w:val="24"/>
          <w:szCs w:val="24"/>
        </w:rPr>
        <w:t xml:space="preserve"> А.М.</w:t>
      </w:r>
      <w:r w:rsidR="00752447">
        <w:rPr>
          <w:rFonts w:ascii="Times New Roman" w:hAnsi="Times New Roman" w:cs="Times New Roman"/>
          <w:sz w:val="24"/>
          <w:szCs w:val="24"/>
        </w:rPr>
        <w:t xml:space="preserve"> </w:t>
      </w:r>
      <w:r w:rsidR="00752447" w:rsidRPr="00752447">
        <w:rPr>
          <w:rFonts w:ascii="Times New Roman" w:hAnsi="Times New Roman" w:cs="Times New Roman"/>
          <w:sz w:val="24"/>
          <w:szCs w:val="24"/>
        </w:rPr>
        <w:t xml:space="preserve">Многодетная многопоколенная семья как ключевой ресурс новой долгосрочной стратегии демографического развития России // </w:t>
      </w:r>
      <w:r w:rsidR="00752447" w:rsidRPr="00752447">
        <w:rPr>
          <w:rStyle w:val="a4"/>
          <w:rFonts w:ascii="Times New Roman" w:hAnsi="Times New Roman" w:cs="Times New Roman"/>
          <w:b w:val="0"/>
          <w:bCs w:val="0"/>
          <w:sz w:val="24"/>
          <w:szCs w:val="24"/>
        </w:rPr>
        <w:t>Вестник Российской академии наук</w:t>
      </w:r>
      <w:r w:rsidR="00752447" w:rsidRPr="00752447">
        <w:rPr>
          <w:rFonts w:ascii="Times New Roman" w:hAnsi="Times New Roman" w:cs="Times New Roman"/>
          <w:sz w:val="24"/>
          <w:szCs w:val="24"/>
        </w:rPr>
        <w:t>. 2025.</w:t>
      </w:r>
      <w:r w:rsidR="009D4882">
        <w:rPr>
          <w:rFonts w:ascii="Times New Roman" w:hAnsi="Times New Roman" w:cs="Times New Roman"/>
          <w:sz w:val="24"/>
          <w:szCs w:val="24"/>
        </w:rPr>
        <w:t xml:space="preserve"> </w:t>
      </w:r>
      <w:r w:rsidR="00752447" w:rsidRPr="00752447">
        <w:rPr>
          <w:rFonts w:ascii="Times New Roman" w:hAnsi="Times New Roman" w:cs="Times New Roman"/>
          <w:sz w:val="24"/>
          <w:szCs w:val="24"/>
        </w:rPr>
        <w:t>Т. 95. № 4. С. 367</w:t>
      </w:r>
      <w:r w:rsidR="009D4882">
        <w:rPr>
          <w:rFonts w:ascii="Times New Roman" w:hAnsi="Times New Roman" w:cs="Times New Roman"/>
          <w:sz w:val="24"/>
          <w:szCs w:val="24"/>
        </w:rPr>
        <w:t>-</w:t>
      </w:r>
      <w:r w:rsidR="00752447" w:rsidRPr="00752447">
        <w:rPr>
          <w:rFonts w:ascii="Times New Roman" w:hAnsi="Times New Roman" w:cs="Times New Roman"/>
          <w:sz w:val="24"/>
          <w:szCs w:val="24"/>
        </w:rPr>
        <w:t xml:space="preserve">377. </w:t>
      </w:r>
    </w:p>
    <w:p w14:paraId="66FFA22B" w14:textId="22B1EE5D" w:rsidR="00DC0D8B" w:rsidRDefault="00DC0D8B" w:rsidP="00DC0D8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rPr>
        <w:t xml:space="preserve">. </w:t>
      </w:r>
      <w:r w:rsidRPr="00752447">
        <w:rPr>
          <w:rFonts w:ascii="Times New Roman" w:hAnsi="Times New Roman" w:cs="Times New Roman"/>
          <w:sz w:val="24"/>
          <w:szCs w:val="24"/>
        </w:rPr>
        <w:t xml:space="preserve">Рыбаковский Л.Л. </w:t>
      </w:r>
      <w:r w:rsidRPr="00752447">
        <w:rPr>
          <w:rStyle w:val="a4"/>
          <w:rFonts w:ascii="Times New Roman" w:hAnsi="Times New Roman" w:cs="Times New Roman"/>
          <w:b w:val="0"/>
          <w:bCs w:val="0"/>
          <w:sz w:val="24"/>
          <w:szCs w:val="24"/>
        </w:rPr>
        <w:t>Демографическая политика: сущность, структура, опыт разработки</w:t>
      </w:r>
      <w:r w:rsidR="009D4882">
        <w:rPr>
          <w:rFonts w:ascii="Times New Roman" w:hAnsi="Times New Roman" w:cs="Times New Roman"/>
          <w:sz w:val="24"/>
          <w:szCs w:val="24"/>
        </w:rPr>
        <w:t xml:space="preserve"> </w:t>
      </w:r>
      <w:r w:rsidR="009D4882" w:rsidRPr="00752447">
        <w:rPr>
          <w:rFonts w:ascii="Times New Roman" w:hAnsi="Times New Roman" w:cs="Times New Roman"/>
          <w:sz w:val="24"/>
          <w:szCs w:val="24"/>
        </w:rPr>
        <w:t>//</w:t>
      </w:r>
      <w:r w:rsidRPr="00752447">
        <w:rPr>
          <w:rFonts w:ascii="Times New Roman" w:hAnsi="Times New Roman" w:cs="Times New Roman"/>
          <w:sz w:val="24"/>
          <w:szCs w:val="24"/>
        </w:rPr>
        <w:t xml:space="preserve"> М.: ИСПИ РАН</w:t>
      </w:r>
      <w:r w:rsidR="009D4882">
        <w:rPr>
          <w:rFonts w:ascii="Times New Roman" w:hAnsi="Times New Roman" w:cs="Times New Roman"/>
          <w:sz w:val="24"/>
          <w:szCs w:val="24"/>
        </w:rPr>
        <w:t>.</w:t>
      </w:r>
      <w:r w:rsidRPr="00752447">
        <w:rPr>
          <w:rFonts w:ascii="Times New Roman" w:hAnsi="Times New Roman" w:cs="Times New Roman"/>
          <w:sz w:val="24"/>
          <w:szCs w:val="24"/>
        </w:rPr>
        <w:t xml:space="preserve"> 2005. 256 с.</w:t>
      </w:r>
    </w:p>
    <w:p w14:paraId="1F121A50" w14:textId="14882F34" w:rsidR="00D160BE" w:rsidRDefault="00D160BE" w:rsidP="00DC0D8B">
      <w:pPr>
        <w:spacing w:after="0" w:line="240" w:lineRule="auto"/>
        <w:ind w:firstLine="709"/>
        <w:jc w:val="both"/>
        <w:rPr>
          <w:rFonts w:ascii="Times New Roman" w:hAnsi="Times New Roman" w:cs="Times New Roman"/>
          <w:sz w:val="24"/>
          <w:szCs w:val="24"/>
        </w:rPr>
      </w:pPr>
    </w:p>
    <w:p w14:paraId="4787A3F3" w14:textId="725EF8C0" w:rsidR="00D160BE" w:rsidRDefault="00D160BE" w:rsidP="00D160BE">
      <w:pPr>
        <w:spacing w:after="0" w:line="240" w:lineRule="auto"/>
        <w:jc w:val="center"/>
        <w:rPr>
          <w:rFonts w:ascii="Times New Roman" w:hAnsi="Times New Roman" w:cs="Times New Roman"/>
          <w:b/>
          <w:bCs/>
          <w:sz w:val="24"/>
          <w:szCs w:val="24"/>
        </w:rPr>
      </w:pPr>
      <w:r w:rsidRPr="00D160BE">
        <w:rPr>
          <w:rFonts w:ascii="Times New Roman" w:hAnsi="Times New Roman" w:cs="Times New Roman"/>
          <w:b/>
          <w:bCs/>
          <w:sz w:val="24"/>
          <w:szCs w:val="24"/>
        </w:rPr>
        <w:t>Информация об авторе</w:t>
      </w:r>
    </w:p>
    <w:p w14:paraId="332CB820" w14:textId="3628C8AC" w:rsidR="00C35304" w:rsidRDefault="00D160BE" w:rsidP="00C35304">
      <w:pPr>
        <w:spacing w:after="0" w:line="240" w:lineRule="auto"/>
        <w:ind w:firstLine="709"/>
        <w:jc w:val="both"/>
        <w:rPr>
          <w:rFonts w:ascii="Times New Roman" w:hAnsi="Times New Roman" w:cs="Times New Roman"/>
          <w:sz w:val="24"/>
          <w:szCs w:val="24"/>
        </w:rPr>
      </w:pPr>
      <w:r w:rsidRPr="00D160BE">
        <w:rPr>
          <w:rFonts w:ascii="Times New Roman" w:hAnsi="Times New Roman" w:cs="Times New Roman"/>
          <w:b/>
          <w:bCs/>
          <w:sz w:val="24"/>
          <w:szCs w:val="24"/>
        </w:rPr>
        <w:t>Ларина Алина Алексеевна (Россия, Вологда)</w:t>
      </w:r>
      <w:r>
        <w:rPr>
          <w:rFonts w:ascii="Times New Roman" w:hAnsi="Times New Roman" w:cs="Times New Roman"/>
          <w:sz w:val="24"/>
          <w:szCs w:val="24"/>
        </w:rPr>
        <w:t xml:space="preserve"> – лаборант </w:t>
      </w:r>
      <w:r w:rsidR="00C35304">
        <w:rPr>
          <w:rFonts w:ascii="Times New Roman" w:hAnsi="Times New Roman" w:cs="Times New Roman"/>
          <w:sz w:val="24"/>
          <w:szCs w:val="24"/>
        </w:rPr>
        <w:t>–</w:t>
      </w:r>
      <w:r>
        <w:rPr>
          <w:rFonts w:ascii="Times New Roman" w:hAnsi="Times New Roman" w:cs="Times New Roman"/>
          <w:sz w:val="24"/>
          <w:szCs w:val="24"/>
        </w:rPr>
        <w:t xml:space="preserve"> исследователь</w:t>
      </w:r>
      <w:r w:rsidR="00C35304">
        <w:rPr>
          <w:rFonts w:ascii="Times New Roman" w:hAnsi="Times New Roman" w:cs="Times New Roman"/>
          <w:sz w:val="24"/>
          <w:szCs w:val="24"/>
        </w:rPr>
        <w:t xml:space="preserve">, магистрант 1 курса, ФГБУН Вологодский научный центр Российской академии наук (160014, Россия, г. Вологда, ул. Горького, д. 56а, </w:t>
      </w:r>
      <w:r w:rsidR="00C35304">
        <w:rPr>
          <w:rFonts w:ascii="Times New Roman" w:hAnsi="Times New Roman" w:cs="Times New Roman"/>
          <w:sz w:val="24"/>
          <w:szCs w:val="24"/>
          <w:lang w:val="en-US"/>
        </w:rPr>
        <w:t>e</w:t>
      </w:r>
      <w:r w:rsidR="00C35304" w:rsidRPr="00C35304">
        <w:rPr>
          <w:rFonts w:ascii="Times New Roman" w:hAnsi="Times New Roman" w:cs="Times New Roman"/>
          <w:sz w:val="24"/>
          <w:szCs w:val="24"/>
        </w:rPr>
        <w:t>-</w:t>
      </w:r>
      <w:r w:rsidR="00C35304">
        <w:rPr>
          <w:rFonts w:ascii="Times New Roman" w:hAnsi="Times New Roman" w:cs="Times New Roman"/>
          <w:sz w:val="24"/>
          <w:szCs w:val="24"/>
          <w:lang w:val="en-US"/>
        </w:rPr>
        <w:t>mail</w:t>
      </w:r>
      <w:r w:rsidR="00C35304">
        <w:rPr>
          <w:rFonts w:ascii="Times New Roman" w:hAnsi="Times New Roman" w:cs="Times New Roman"/>
          <w:sz w:val="24"/>
          <w:szCs w:val="24"/>
        </w:rPr>
        <w:t xml:space="preserve">: </w:t>
      </w:r>
      <w:hyperlink r:id="rId6" w:history="1">
        <w:r w:rsidR="00C35304" w:rsidRPr="00176249">
          <w:rPr>
            <w:rStyle w:val="a7"/>
            <w:rFonts w:ascii="Times New Roman" w:hAnsi="Times New Roman" w:cs="Times New Roman"/>
            <w:sz w:val="24"/>
            <w:szCs w:val="24"/>
            <w:lang w:val="en-US"/>
          </w:rPr>
          <w:t>alallarina</w:t>
        </w:r>
        <w:r w:rsidR="00C35304" w:rsidRPr="00176249">
          <w:rPr>
            <w:rStyle w:val="a7"/>
            <w:rFonts w:ascii="Times New Roman" w:hAnsi="Times New Roman" w:cs="Times New Roman"/>
            <w:sz w:val="24"/>
            <w:szCs w:val="24"/>
          </w:rPr>
          <w:t>@</w:t>
        </w:r>
        <w:r w:rsidR="00C35304" w:rsidRPr="00176249">
          <w:rPr>
            <w:rStyle w:val="a7"/>
            <w:rFonts w:ascii="Times New Roman" w:hAnsi="Times New Roman" w:cs="Times New Roman"/>
            <w:sz w:val="24"/>
            <w:szCs w:val="24"/>
            <w:lang w:val="en-US"/>
          </w:rPr>
          <w:t>mail</w:t>
        </w:r>
        <w:r w:rsidR="00C35304" w:rsidRPr="00176249">
          <w:rPr>
            <w:rStyle w:val="a7"/>
            <w:rFonts w:ascii="Times New Roman" w:hAnsi="Times New Roman" w:cs="Times New Roman"/>
            <w:sz w:val="24"/>
            <w:szCs w:val="24"/>
          </w:rPr>
          <w:t>.</w:t>
        </w:r>
        <w:r w:rsidR="00C35304" w:rsidRPr="00176249">
          <w:rPr>
            <w:rStyle w:val="a7"/>
            <w:rFonts w:ascii="Times New Roman" w:hAnsi="Times New Roman" w:cs="Times New Roman"/>
            <w:sz w:val="24"/>
            <w:szCs w:val="24"/>
            <w:lang w:val="en-US"/>
          </w:rPr>
          <w:t>ru</w:t>
        </w:r>
      </w:hyperlink>
      <w:r w:rsidR="00C35304">
        <w:rPr>
          <w:rFonts w:ascii="Times New Roman" w:hAnsi="Times New Roman" w:cs="Times New Roman"/>
          <w:sz w:val="24"/>
          <w:szCs w:val="24"/>
        </w:rPr>
        <w:t>)</w:t>
      </w:r>
    </w:p>
    <w:p w14:paraId="73985346" w14:textId="55A74D45" w:rsidR="00C35304" w:rsidRDefault="00C35304" w:rsidP="00C35304">
      <w:pPr>
        <w:spacing w:after="0" w:line="240" w:lineRule="auto"/>
        <w:ind w:firstLine="709"/>
        <w:jc w:val="both"/>
        <w:rPr>
          <w:rFonts w:ascii="Times New Roman" w:hAnsi="Times New Roman" w:cs="Times New Roman"/>
          <w:sz w:val="24"/>
          <w:szCs w:val="24"/>
        </w:rPr>
      </w:pPr>
    </w:p>
    <w:p w14:paraId="0E4C214B" w14:textId="49DFD597" w:rsidR="00C35304" w:rsidRDefault="00C35304" w:rsidP="00C35304">
      <w:pPr>
        <w:spacing w:after="0" w:line="240" w:lineRule="auto"/>
        <w:ind w:firstLine="709"/>
        <w:jc w:val="right"/>
        <w:rPr>
          <w:rFonts w:ascii="Times New Roman" w:hAnsi="Times New Roman" w:cs="Times New Roman"/>
          <w:b/>
          <w:bCs/>
          <w:sz w:val="24"/>
          <w:szCs w:val="24"/>
        </w:rPr>
      </w:pPr>
      <w:r w:rsidRPr="00C35304">
        <w:rPr>
          <w:rFonts w:ascii="Times New Roman" w:hAnsi="Times New Roman" w:cs="Times New Roman"/>
          <w:b/>
          <w:bCs/>
          <w:sz w:val="24"/>
          <w:szCs w:val="24"/>
          <w:lang w:val="en-US"/>
        </w:rPr>
        <w:t>Larina A</w:t>
      </w:r>
      <w:r w:rsidRPr="00C35304">
        <w:rPr>
          <w:rFonts w:ascii="Times New Roman" w:hAnsi="Times New Roman" w:cs="Times New Roman"/>
          <w:b/>
          <w:bCs/>
          <w:sz w:val="24"/>
          <w:szCs w:val="24"/>
        </w:rPr>
        <w:t>.</w:t>
      </w:r>
      <w:r w:rsidRPr="00C35304">
        <w:rPr>
          <w:rFonts w:ascii="Times New Roman" w:hAnsi="Times New Roman" w:cs="Times New Roman"/>
          <w:b/>
          <w:bCs/>
          <w:sz w:val="24"/>
          <w:szCs w:val="24"/>
          <w:lang w:val="en-US"/>
        </w:rPr>
        <w:t>A</w:t>
      </w:r>
      <w:r w:rsidRPr="00C35304">
        <w:rPr>
          <w:rFonts w:ascii="Times New Roman" w:hAnsi="Times New Roman" w:cs="Times New Roman"/>
          <w:b/>
          <w:bCs/>
          <w:sz w:val="24"/>
          <w:szCs w:val="24"/>
        </w:rPr>
        <w:t>.</w:t>
      </w:r>
    </w:p>
    <w:p w14:paraId="2B11E716" w14:textId="680D291A" w:rsidR="00C35304" w:rsidRPr="00C35304" w:rsidRDefault="00C35304" w:rsidP="00C35304">
      <w:pPr>
        <w:spacing w:after="0" w:line="240" w:lineRule="auto"/>
        <w:jc w:val="center"/>
        <w:rPr>
          <w:rFonts w:ascii="Times New Roman" w:hAnsi="Times New Roman" w:cs="Times New Roman"/>
          <w:b/>
          <w:bCs/>
          <w:sz w:val="24"/>
          <w:szCs w:val="24"/>
        </w:rPr>
      </w:pPr>
      <w:r w:rsidRPr="00C35304">
        <w:rPr>
          <w:rFonts w:ascii="Times New Roman" w:hAnsi="Times New Roman" w:cs="Times New Roman"/>
          <w:b/>
          <w:bCs/>
          <w:sz w:val="24"/>
          <w:szCs w:val="24"/>
        </w:rPr>
        <w:t>FORMATION OF A PACKAGE OF SOCIAL AND DEMOGRAPHIC POLICY MEASURES TAKING INTO ACCOUNT THE RESOURCE PROVISION OF THE FAMILY AND INTENTIONS</w:t>
      </w:r>
    </w:p>
    <w:p w14:paraId="4079E333" w14:textId="55A06ACE" w:rsidR="00D160BE" w:rsidRPr="00C35304" w:rsidRDefault="00D160BE" w:rsidP="00D160BE">
      <w:pPr>
        <w:spacing w:after="0" w:line="240" w:lineRule="auto"/>
        <w:jc w:val="center"/>
        <w:rPr>
          <w:rFonts w:ascii="Times New Roman" w:hAnsi="Times New Roman" w:cs="Times New Roman"/>
          <w:sz w:val="24"/>
          <w:szCs w:val="24"/>
          <w:lang w:val="en-US"/>
        </w:rPr>
      </w:pPr>
    </w:p>
    <w:p w14:paraId="2D232AA6" w14:textId="71104AF9" w:rsidR="00EF43C6" w:rsidRPr="00EF43C6" w:rsidRDefault="00EF43C6" w:rsidP="00EF43C6">
      <w:pPr>
        <w:spacing w:after="0" w:line="240" w:lineRule="auto"/>
        <w:ind w:firstLine="709"/>
        <w:jc w:val="both"/>
        <w:rPr>
          <w:rFonts w:ascii="Times New Roman" w:eastAsia="Times New Roman" w:hAnsi="Times New Roman" w:cs="Times New Roman"/>
          <w:lang w:val="en-US" w:eastAsia="ru-RU"/>
        </w:rPr>
      </w:pPr>
      <w:r w:rsidRPr="00EF43C6">
        <w:rPr>
          <w:rFonts w:ascii="Times New Roman" w:hAnsi="Times New Roman" w:cs="Times New Roman"/>
          <w:b/>
          <w:bCs/>
          <w:sz w:val="24"/>
          <w:szCs w:val="24"/>
          <w:lang w:val="en-US"/>
        </w:rPr>
        <w:t>Abstract:</w:t>
      </w:r>
      <w:r w:rsidRPr="00EF43C6">
        <w:rPr>
          <w:rFonts w:ascii="Times New Roman" w:hAnsi="Times New Roman" w:cs="Times New Roman"/>
          <w:sz w:val="24"/>
          <w:szCs w:val="24"/>
          <w:lang w:val="en-US"/>
        </w:rPr>
        <w:t xml:space="preserve"> This article analyzes the significance of socio-demographic policy measures for the population. The empirical basis of the study is the results of a monitoring study of the reproductive potential of residents of the Vologda Oblast conducted by the Vol</w:t>
      </w:r>
      <w:r w:rsidRPr="00EF43C6">
        <w:rPr>
          <w:rFonts w:ascii="Times New Roman" w:eastAsia="Times New Roman" w:hAnsi="Times New Roman" w:cs="Times New Roman"/>
          <w:sz w:val="24"/>
          <w:szCs w:val="24"/>
          <w:lang w:val="en-US" w:eastAsia="ru-RU"/>
        </w:rPr>
        <w:t>S</w:t>
      </w:r>
      <w:r w:rsidRPr="00EF43C6">
        <w:rPr>
          <w:rFonts w:ascii="Times New Roman" w:hAnsi="Times New Roman" w:cs="Times New Roman"/>
          <w:sz w:val="24"/>
          <w:szCs w:val="24"/>
          <w:lang w:val="en-US"/>
        </w:rPr>
        <w:t>C RAS ​​(N=1,500). The article analyzes how the population assesses various government support measures for families with children, based on their desired and planned number of children. It concludes that a differentiated approach to the development of demographic policy measures is necessary.</w:t>
      </w:r>
    </w:p>
    <w:p w14:paraId="5D10C26C" w14:textId="43DA5D65" w:rsidR="00DC0D8B" w:rsidRDefault="00EF43C6" w:rsidP="00EF43C6">
      <w:pPr>
        <w:spacing w:after="0" w:line="240" w:lineRule="auto"/>
        <w:ind w:firstLine="709"/>
        <w:jc w:val="both"/>
        <w:rPr>
          <w:rFonts w:ascii="Times New Roman" w:hAnsi="Times New Roman" w:cs="Times New Roman"/>
          <w:sz w:val="24"/>
          <w:szCs w:val="24"/>
          <w:lang w:val="en-US"/>
        </w:rPr>
      </w:pPr>
      <w:r w:rsidRPr="00EF43C6">
        <w:rPr>
          <w:rFonts w:ascii="Times New Roman" w:hAnsi="Times New Roman" w:cs="Times New Roman"/>
          <w:b/>
          <w:bCs/>
          <w:sz w:val="24"/>
          <w:szCs w:val="24"/>
          <w:lang w:val="en-US"/>
        </w:rPr>
        <w:t>Keywords:</w:t>
      </w:r>
      <w:r w:rsidRPr="00EF43C6">
        <w:rPr>
          <w:rFonts w:ascii="Times New Roman" w:hAnsi="Times New Roman" w:cs="Times New Roman"/>
          <w:sz w:val="24"/>
          <w:szCs w:val="24"/>
          <w:lang w:val="en-US"/>
        </w:rPr>
        <w:t xml:space="preserve"> demographic policy, reproductive intentions, family resource provision.</w:t>
      </w:r>
    </w:p>
    <w:p w14:paraId="2B3DC8C2" w14:textId="7C4B7584" w:rsidR="00EF43C6" w:rsidRDefault="00EF43C6" w:rsidP="00EF43C6">
      <w:pPr>
        <w:spacing w:after="0" w:line="240" w:lineRule="auto"/>
        <w:ind w:firstLine="709"/>
        <w:jc w:val="both"/>
        <w:rPr>
          <w:rFonts w:ascii="Times New Roman" w:hAnsi="Times New Roman" w:cs="Times New Roman"/>
          <w:sz w:val="24"/>
          <w:szCs w:val="24"/>
          <w:lang w:val="en-US"/>
        </w:rPr>
      </w:pPr>
    </w:p>
    <w:p w14:paraId="50912222" w14:textId="77777777" w:rsidR="00EF43C6" w:rsidRPr="00EF43C6" w:rsidRDefault="00EF43C6" w:rsidP="00EF43C6">
      <w:pPr>
        <w:spacing w:after="0" w:line="240" w:lineRule="auto"/>
        <w:jc w:val="center"/>
        <w:rPr>
          <w:rFonts w:ascii="Times New Roman" w:hAnsi="Times New Roman" w:cs="Times New Roman"/>
          <w:b/>
          <w:bCs/>
          <w:sz w:val="24"/>
          <w:szCs w:val="24"/>
          <w:lang w:val="en-US"/>
        </w:rPr>
      </w:pPr>
      <w:r w:rsidRPr="00EF43C6">
        <w:rPr>
          <w:rFonts w:ascii="Times New Roman" w:hAnsi="Times New Roman" w:cs="Times New Roman"/>
          <w:b/>
          <w:bCs/>
          <w:sz w:val="24"/>
          <w:szCs w:val="24"/>
          <w:lang w:val="en-US"/>
        </w:rPr>
        <w:t>About the Author</w:t>
      </w:r>
    </w:p>
    <w:p w14:paraId="75E84E3F" w14:textId="7EB85393" w:rsidR="00EF43C6" w:rsidRDefault="00EF43C6" w:rsidP="00EF43C6">
      <w:pPr>
        <w:spacing w:after="0" w:line="240" w:lineRule="auto"/>
        <w:ind w:firstLine="709"/>
        <w:jc w:val="both"/>
        <w:rPr>
          <w:rFonts w:ascii="Times New Roman" w:hAnsi="Times New Roman" w:cs="Times New Roman"/>
          <w:sz w:val="24"/>
          <w:szCs w:val="24"/>
          <w:lang w:val="en-US"/>
        </w:rPr>
      </w:pPr>
      <w:r w:rsidRPr="00EF43C6">
        <w:rPr>
          <w:rFonts w:ascii="Times New Roman" w:hAnsi="Times New Roman" w:cs="Times New Roman"/>
          <w:b/>
          <w:bCs/>
          <w:sz w:val="24"/>
          <w:szCs w:val="24"/>
          <w:lang w:val="en-US"/>
        </w:rPr>
        <w:t>Larina</w:t>
      </w:r>
      <w:r w:rsidRPr="00EF43C6">
        <w:rPr>
          <w:rFonts w:ascii="Times New Roman" w:hAnsi="Times New Roman" w:cs="Times New Roman"/>
          <w:b/>
          <w:bCs/>
          <w:sz w:val="24"/>
          <w:szCs w:val="24"/>
          <w:lang w:val="en-US"/>
        </w:rPr>
        <w:t xml:space="preserve"> </w:t>
      </w:r>
      <w:r w:rsidRPr="00EF43C6">
        <w:rPr>
          <w:rFonts w:ascii="Times New Roman" w:hAnsi="Times New Roman" w:cs="Times New Roman"/>
          <w:b/>
          <w:bCs/>
          <w:sz w:val="24"/>
          <w:szCs w:val="24"/>
          <w:lang w:val="en-US"/>
        </w:rPr>
        <w:t>Alina Alekseevna (Russia, Vologda)</w:t>
      </w:r>
      <w:r w:rsidRPr="00EF43C6">
        <w:rPr>
          <w:rFonts w:ascii="Times New Roman" w:hAnsi="Times New Roman" w:cs="Times New Roman"/>
          <w:sz w:val="24"/>
          <w:szCs w:val="24"/>
          <w:lang w:val="en-US"/>
        </w:rPr>
        <w:t xml:space="preserve"> – laboratory assistant and researcher, first-year master's student, Vologda Scientific Center of the Russian Academy of Sciences (56a Gorky Street, Vologda, 160014, Russia, e-mail: </w:t>
      </w:r>
      <w:hyperlink r:id="rId7" w:history="1">
        <w:r w:rsidR="00081FEF" w:rsidRPr="00176249">
          <w:rPr>
            <w:rStyle w:val="a7"/>
            <w:rFonts w:ascii="Times New Roman" w:hAnsi="Times New Roman" w:cs="Times New Roman"/>
            <w:sz w:val="24"/>
            <w:szCs w:val="24"/>
            <w:lang w:val="en-US"/>
          </w:rPr>
          <w:t>alallarina@mail.ru</w:t>
        </w:r>
      </w:hyperlink>
      <w:r w:rsidRPr="00EF43C6">
        <w:rPr>
          <w:rFonts w:ascii="Times New Roman" w:hAnsi="Times New Roman" w:cs="Times New Roman"/>
          <w:sz w:val="24"/>
          <w:szCs w:val="24"/>
          <w:lang w:val="en-US"/>
        </w:rPr>
        <w:t>)</w:t>
      </w:r>
    </w:p>
    <w:p w14:paraId="3528140E" w14:textId="18BC3B49" w:rsidR="00081FEF" w:rsidRDefault="00081FEF" w:rsidP="00EF43C6">
      <w:pPr>
        <w:spacing w:after="0" w:line="240" w:lineRule="auto"/>
        <w:ind w:firstLine="709"/>
        <w:jc w:val="both"/>
        <w:rPr>
          <w:rFonts w:ascii="Times New Roman" w:hAnsi="Times New Roman" w:cs="Times New Roman"/>
          <w:sz w:val="24"/>
          <w:szCs w:val="24"/>
          <w:lang w:val="en-US"/>
        </w:rPr>
      </w:pPr>
    </w:p>
    <w:p w14:paraId="77D48C9B" w14:textId="7BB2F491" w:rsidR="00081FEF" w:rsidRDefault="00081FEF" w:rsidP="00081FEF">
      <w:pPr>
        <w:spacing w:after="0" w:line="240" w:lineRule="auto"/>
        <w:jc w:val="center"/>
        <w:rPr>
          <w:rFonts w:ascii="Times New Roman" w:hAnsi="Times New Roman" w:cs="Times New Roman"/>
          <w:b/>
          <w:bCs/>
          <w:sz w:val="24"/>
          <w:szCs w:val="24"/>
        </w:rPr>
      </w:pPr>
      <w:r w:rsidRPr="00081FEF">
        <w:rPr>
          <w:rFonts w:ascii="Times New Roman" w:hAnsi="Times New Roman" w:cs="Times New Roman"/>
          <w:b/>
          <w:bCs/>
          <w:sz w:val="24"/>
          <w:szCs w:val="24"/>
        </w:rPr>
        <w:t>References</w:t>
      </w:r>
    </w:p>
    <w:p w14:paraId="0F74FA26" w14:textId="77777777" w:rsidR="00081FEF" w:rsidRPr="00081FEF" w:rsidRDefault="00081FEF" w:rsidP="00081FEF">
      <w:pPr>
        <w:spacing w:after="0" w:line="240" w:lineRule="auto"/>
        <w:ind w:firstLine="709"/>
        <w:jc w:val="both"/>
        <w:rPr>
          <w:rFonts w:ascii="Times New Roman" w:hAnsi="Times New Roman" w:cs="Times New Roman"/>
          <w:sz w:val="24"/>
          <w:szCs w:val="24"/>
        </w:rPr>
      </w:pPr>
      <w:r w:rsidRPr="00081FEF">
        <w:rPr>
          <w:rFonts w:ascii="Times New Roman" w:hAnsi="Times New Roman" w:cs="Times New Roman"/>
          <w:sz w:val="24"/>
          <w:szCs w:val="24"/>
        </w:rPr>
        <w:t xml:space="preserve">1. Arkhangelsky V.N. Reproductive intentions and their implementation in modern Russia // Population. 2013. No. 2. pp. 46-56. </w:t>
      </w:r>
    </w:p>
    <w:p w14:paraId="15AD4F43" w14:textId="77777777" w:rsidR="00081FEF" w:rsidRPr="00081FEF" w:rsidRDefault="00081FEF" w:rsidP="00081FEF">
      <w:pPr>
        <w:spacing w:after="0" w:line="240" w:lineRule="auto"/>
        <w:ind w:firstLine="709"/>
        <w:jc w:val="both"/>
        <w:rPr>
          <w:rFonts w:ascii="Times New Roman" w:hAnsi="Times New Roman" w:cs="Times New Roman"/>
          <w:sz w:val="24"/>
          <w:szCs w:val="24"/>
        </w:rPr>
      </w:pPr>
      <w:r w:rsidRPr="00081FEF">
        <w:rPr>
          <w:rFonts w:ascii="Times New Roman" w:hAnsi="Times New Roman" w:cs="Times New Roman"/>
          <w:sz w:val="24"/>
          <w:szCs w:val="24"/>
        </w:rPr>
        <w:t>2. Valentey D.I. Theory and policy of population // Moscow: Mysl. 1989. 271 p.</w:t>
      </w:r>
    </w:p>
    <w:p w14:paraId="34C66D72" w14:textId="7E14A4B8" w:rsidR="00081FEF" w:rsidRPr="00081FEF" w:rsidRDefault="00081FEF" w:rsidP="00081FEF">
      <w:pPr>
        <w:spacing w:after="0" w:line="240" w:lineRule="auto"/>
        <w:ind w:firstLine="709"/>
        <w:jc w:val="both"/>
        <w:rPr>
          <w:rFonts w:ascii="Times New Roman" w:hAnsi="Times New Roman" w:cs="Times New Roman"/>
          <w:sz w:val="24"/>
          <w:szCs w:val="24"/>
        </w:rPr>
      </w:pPr>
      <w:r w:rsidRPr="00081FEF">
        <w:rPr>
          <w:rFonts w:ascii="Times New Roman" w:hAnsi="Times New Roman" w:cs="Times New Roman"/>
          <w:sz w:val="24"/>
          <w:szCs w:val="24"/>
        </w:rPr>
        <w:t>3. Zhuravleva E.K., Koptseva O.A. Reference points of large families in the context of the transformation of modern Russia // Population. 2024. Vol. 27. No. 3. pp. 130-143.</w:t>
      </w:r>
    </w:p>
    <w:p w14:paraId="21D5E7DD" w14:textId="77777777" w:rsidR="00081FEF" w:rsidRPr="00081FEF" w:rsidRDefault="00081FEF" w:rsidP="00081FEF">
      <w:pPr>
        <w:spacing w:after="0" w:line="240" w:lineRule="auto"/>
        <w:ind w:firstLine="709"/>
        <w:jc w:val="both"/>
        <w:rPr>
          <w:rFonts w:ascii="Times New Roman" w:hAnsi="Times New Roman" w:cs="Times New Roman"/>
          <w:sz w:val="24"/>
          <w:szCs w:val="24"/>
        </w:rPr>
      </w:pPr>
      <w:r w:rsidRPr="00081FEF">
        <w:rPr>
          <w:rFonts w:ascii="Times New Roman" w:hAnsi="Times New Roman" w:cs="Times New Roman"/>
          <w:sz w:val="24"/>
          <w:szCs w:val="24"/>
        </w:rPr>
        <w:t>4. Kalachikova O.N., Arkhangelsky V.N. Assessing the Impact of Regional Maternal (Family) Capital on the Birth Rate // Social Space. 2025. Vol. 11. No. 2. DOI: 10.15838/sa.2025.2.46.6 URL: http://socialarea-journal.ru/article/30343.</w:t>
      </w:r>
    </w:p>
    <w:p w14:paraId="262CD1AB" w14:textId="77777777" w:rsidR="00081FEF" w:rsidRPr="00081FEF" w:rsidRDefault="00081FEF" w:rsidP="00081FEF">
      <w:pPr>
        <w:spacing w:after="0" w:line="240" w:lineRule="auto"/>
        <w:ind w:firstLine="709"/>
        <w:jc w:val="both"/>
        <w:rPr>
          <w:rFonts w:ascii="Times New Roman" w:hAnsi="Times New Roman" w:cs="Times New Roman"/>
          <w:sz w:val="24"/>
          <w:szCs w:val="24"/>
        </w:rPr>
      </w:pPr>
      <w:r w:rsidRPr="00081FEF">
        <w:rPr>
          <w:rFonts w:ascii="Times New Roman" w:hAnsi="Times New Roman" w:cs="Times New Roman"/>
          <w:sz w:val="24"/>
          <w:szCs w:val="24"/>
        </w:rPr>
        <w:t xml:space="preserve">5. Rostovskaya T.K., Sitkovsky A.M. Large Multi-Generational Family as a Key Resource of the New Long-Term Strategy of Demographic Development of Russia // Bulletin of the Russian Academy of Sciences. 2025. Vol. 95. No. 4. Pp. 367-377. </w:t>
      </w:r>
    </w:p>
    <w:p w14:paraId="79001FB3" w14:textId="298B207A" w:rsidR="00081FEF" w:rsidRPr="00081FEF" w:rsidRDefault="00081FEF" w:rsidP="00081FEF">
      <w:pPr>
        <w:spacing w:after="0" w:line="240" w:lineRule="auto"/>
        <w:ind w:firstLine="709"/>
        <w:jc w:val="both"/>
        <w:rPr>
          <w:rFonts w:ascii="Times New Roman" w:hAnsi="Times New Roman" w:cs="Times New Roman"/>
          <w:sz w:val="24"/>
          <w:szCs w:val="24"/>
        </w:rPr>
      </w:pPr>
      <w:r w:rsidRPr="00081FEF">
        <w:rPr>
          <w:rFonts w:ascii="Times New Roman" w:hAnsi="Times New Roman" w:cs="Times New Roman"/>
          <w:sz w:val="24"/>
          <w:szCs w:val="24"/>
        </w:rPr>
        <w:t>6. Rybakovsky L.L. Demographic Policy: Essence, Structure, Development Experience // Moscow: ISPI RAS. 2005. 256 p.</w:t>
      </w:r>
    </w:p>
    <w:p w14:paraId="1B5D51EB" w14:textId="77777777" w:rsidR="00081FEF" w:rsidRPr="00081FEF" w:rsidRDefault="00081FEF" w:rsidP="00081FEF">
      <w:pPr>
        <w:spacing w:after="0" w:line="240" w:lineRule="auto"/>
        <w:ind w:firstLine="709"/>
        <w:jc w:val="both"/>
        <w:rPr>
          <w:rFonts w:ascii="Times New Roman" w:hAnsi="Times New Roman" w:cs="Times New Roman"/>
          <w:sz w:val="24"/>
          <w:szCs w:val="24"/>
        </w:rPr>
      </w:pPr>
    </w:p>
    <w:p w14:paraId="083B2069" w14:textId="77777777" w:rsidR="00081FEF" w:rsidRDefault="00081FEF" w:rsidP="00EF43C6">
      <w:pPr>
        <w:spacing w:after="0" w:line="240" w:lineRule="auto"/>
        <w:ind w:firstLine="709"/>
        <w:jc w:val="both"/>
        <w:rPr>
          <w:rFonts w:ascii="Times New Roman" w:hAnsi="Times New Roman" w:cs="Times New Roman"/>
          <w:sz w:val="24"/>
          <w:szCs w:val="24"/>
          <w:lang w:val="en-US"/>
        </w:rPr>
      </w:pPr>
    </w:p>
    <w:p w14:paraId="2B8E7A8E" w14:textId="77777777" w:rsidR="00081FEF" w:rsidRPr="00C35304" w:rsidRDefault="00081FEF" w:rsidP="00EF43C6">
      <w:pPr>
        <w:spacing w:after="0" w:line="240" w:lineRule="auto"/>
        <w:ind w:firstLine="709"/>
        <w:jc w:val="both"/>
        <w:rPr>
          <w:rFonts w:ascii="Times New Roman" w:hAnsi="Times New Roman" w:cs="Times New Roman"/>
          <w:sz w:val="24"/>
          <w:szCs w:val="24"/>
          <w:lang w:val="en-US"/>
        </w:rPr>
      </w:pPr>
    </w:p>
    <w:sectPr w:rsidR="00081FEF" w:rsidRPr="00C35304" w:rsidSect="002B105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6BB0"/>
    <w:rsid w:val="00030050"/>
    <w:rsid w:val="0003719D"/>
    <w:rsid w:val="00050A01"/>
    <w:rsid w:val="00081FEF"/>
    <w:rsid w:val="000B2C0B"/>
    <w:rsid w:val="000B6E09"/>
    <w:rsid w:val="000F1515"/>
    <w:rsid w:val="00102054"/>
    <w:rsid w:val="00105399"/>
    <w:rsid w:val="0011740A"/>
    <w:rsid w:val="00144DE6"/>
    <w:rsid w:val="001648FE"/>
    <w:rsid w:val="001F2CC6"/>
    <w:rsid w:val="00210875"/>
    <w:rsid w:val="002372B7"/>
    <w:rsid w:val="0027112E"/>
    <w:rsid w:val="00283257"/>
    <w:rsid w:val="002A36A2"/>
    <w:rsid w:val="002B1059"/>
    <w:rsid w:val="002B2832"/>
    <w:rsid w:val="002D1127"/>
    <w:rsid w:val="00312C97"/>
    <w:rsid w:val="00343FCC"/>
    <w:rsid w:val="00365670"/>
    <w:rsid w:val="0039002E"/>
    <w:rsid w:val="00397934"/>
    <w:rsid w:val="003C2198"/>
    <w:rsid w:val="003C53D6"/>
    <w:rsid w:val="003C56DE"/>
    <w:rsid w:val="0045033E"/>
    <w:rsid w:val="004507B3"/>
    <w:rsid w:val="00453F2A"/>
    <w:rsid w:val="00461375"/>
    <w:rsid w:val="00481AD0"/>
    <w:rsid w:val="005111EF"/>
    <w:rsid w:val="00521314"/>
    <w:rsid w:val="00547723"/>
    <w:rsid w:val="005A6BB0"/>
    <w:rsid w:val="005A6F54"/>
    <w:rsid w:val="005D6A8F"/>
    <w:rsid w:val="005E0B53"/>
    <w:rsid w:val="005F0851"/>
    <w:rsid w:val="005F08B1"/>
    <w:rsid w:val="006106A9"/>
    <w:rsid w:val="006247A4"/>
    <w:rsid w:val="00655692"/>
    <w:rsid w:val="006662D1"/>
    <w:rsid w:val="006B443A"/>
    <w:rsid w:val="006C36E3"/>
    <w:rsid w:val="006C582F"/>
    <w:rsid w:val="00721987"/>
    <w:rsid w:val="00750F64"/>
    <w:rsid w:val="00752447"/>
    <w:rsid w:val="007825FF"/>
    <w:rsid w:val="00783677"/>
    <w:rsid w:val="007A3553"/>
    <w:rsid w:val="00831000"/>
    <w:rsid w:val="00836E03"/>
    <w:rsid w:val="0086402B"/>
    <w:rsid w:val="00881DC6"/>
    <w:rsid w:val="00890344"/>
    <w:rsid w:val="008D4755"/>
    <w:rsid w:val="00937247"/>
    <w:rsid w:val="00994428"/>
    <w:rsid w:val="009A5234"/>
    <w:rsid w:val="009D4882"/>
    <w:rsid w:val="009F4F81"/>
    <w:rsid w:val="00A17904"/>
    <w:rsid w:val="00A264A3"/>
    <w:rsid w:val="00A71C58"/>
    <w:rsid w:val="00AB5A12"/>
    <w:rsid w:val="00AC2F30"/>
    <w:rsid w:val="00AF2B62"/>
    <w:rsid w:val="00B57855"/>
    <w:rsid w:val="00B63158"/>
    <w:rsid w:val="00B7017A"/>
    <w:rsid w:val="00B76D2D"/>
    <w:rsid w:val="00B96FD6"/>
    <w:rsid w:val="00C35304"/>
    <w:rsid w:val="00C40BBD"/>
    <w:rsid w:val="00CA290A"/>
    <w:rsid w:val="00CD7F22"/>
    <w:rsid w:val="00CF765E"/>
    <w:rsid w:val="00D12179"/>
    <w:rsid w:val="00D14111"/>
    <w:rsid w:val="00D160BE"/>
    <w:rsid w:val="00D2531D"/>
    <w:rsid w:val="00DB411A"/>
    <w:rsid w:val="00DB6A1C"/>
    <w:rsid w:val="00DC0D8B"/>
    <w:rsid w:val="00DC3845"/>
    <w:rsid w:val="00DF423D"/>
    <w:rsid w:val="00E0724E"/>
    <w:rsid w:val="00E27524"/>
    <w:rsid w:val="00E52934"/>
    <w:rsid w:val="00ED3975"/>
    <w:rsid w:val="00EF43C6"/>
    <w:rsid w:val="00F179B8"/>
    <w:rsid w:val="00F808FE"/>
    <w:rsid w:val="00F835D9"/>
    <w:rsid w:val="00F94DE8"/>
    <w:rsid w:val="00FB1766"/>
    <w:rsid w:val="00FC0E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AEA42D"/>
  <w15:chartTrackingRefBased/>
  <w15:docId w15:val="{B3ED3F1F-E40C-46A0-BC81-580432B0E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messagetext">
    <w:name w:val="messagetext"/>
    <w:basedOn w:val="a0"/>
    <w:rsid w:val="00461375"/>
  </w:style>
  <w:style w:type="paragraph" w:styleId="a3">
    <w:name w:val="Normal (Web)"/>
    <w:basedOn w:val="a"/>
    <w:uiPriority w:val="99"/>
    <w:unhideWhenUsed/>
    <w:rsid w:val="0027112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E27524"/>
    <w:rPr>
      <w:b/>
      <w:bCs/>
    </w:rPr>
  </w:style>
  <w:style w:type="character" w:styleId="a5">
    <w:name w:val="Emphasis"/>
    <w:basedOn w:val="a0"/>
    <w:uiPriority w:val="20"/>
    <w:qFormat/>
    <w:rsid w:val="005A6F54"/>
    <w:rPr>
      <w:i/>
      <w:iCs/>
    </w:rPr>
  </w:style>
  <w:style w:type="paragraph" w:styleId="a6">
    <w:name w:val="List Paragraph"/>
    <w:basedOn w:val="a"/>
    <w:uiPriority w:val="34"/>
    <w:qFormat/>
    <w:rsid w:val="00DC0D8B"/>
    <w:pPr>
      <w:ind w:left="720"/>
      <w:contextualSpacing/>
    </w:pPr>
  </w:style>
  <w:style w:type="character" w:styleId="a7">
    <w:name w:val="Hyperlink"/>
    <w:basedOn w:val="a0"/>
    <w:uiPriority w:val="99"/>
    <w:unhideWhenUsed/>
    <w:rsid w:val="009D4882"/>
    <w:rPr>
      <w:color w:val="0563C1" w:themeColor="hyperlink"/>
      <w:u w:val="single"/>
    </w:rPr>
  </w:style>
  <w:style w:type="character" w:styleId="a8">
    <w:name w:val="Unresolved Mention"/>
    <w:basedOn w:val="a0"/>
    <w:uiPriority w:val="99"/>
    <w:semiHidden/>
    <w:unhideWhenUsed/>
    <w:rsid w:val="009D4882"/>
    <w:rPr>
      <w:color w:val="605E5C"/>
      <w:shd w:val="clear" w:color="auto" w:fill="E1DFDD"/>
    </w:rPr>
  </w:style>
  <w:style w:type="paragraph" w:styleId="HTML">
    <w:name w:val="HTML Preformatted"/>
    <w:basedOn w:val="a"/>
    <w:link w:val="HTML0"/>
    <w:uiPriority w:val="99"/>
    <w:unhideWhenUsed/>
    <w:rsid w:val="00081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081FEF"/>
    <w:rPr>
      <w:rFonts w:ascii="Courier New" w:eastAsia="Times New Roman" w:hAnsi="Courier New" w:cs="Courier New"/>
      <w:sz w:val="20"/>
      <w:szCs w:val="20"/>
      <w:lang w:eastAsia="ru-RU"/>
    </w:rPr>
  </w:style>
  <w:style w:type="character" w:customStyle="1" w:styleId="y2iqfc">
    <w:name w:val="y2iqfc"/>
    <w:basedOn w:val="a0"/>
    <w:rsid w:val="00081F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512354">
      <w:bodyDiv w:val="1"/>
      <w:marLeft w:val="0"/>
      <w:marRight w:val="0"/>
      <w:marTop w:val="0"/>
      <w:marBottom w:val="0"/>
      <w:divBdr>
        <w:top w:val="none" w:sz="0" w:space="0" w:color="auto"/>
        <w:left w:val="none" w:sz="0" w:space="0" w:color="auto"/>
        <w:bottom w:val="none" w:sz="0" w:space="0" w:color="auto"/>
        <w:right w:val="none" w:sz="0" w:space="0" w:color="auto"/>
      </w:divBdr>
    </w:div>
    <w:div w:id="68384828">
      <w:bodyDiv w:val="1"/>
      <w:marLeft w:val="0"/>
      <w:marRight w:val="0"/>
      <w:marTop w:val="0"/>
      <w:marBottom w:val="0"/>
      <w:divBdr>
        <w:top w:val="none" w:sz="0" w:space="0" w:color="auto"/>
        <w:left w:val="none" w:sz="0" w:space="0" w:color="auto"/>
        <w:bottom w:val="none" w:sz="0" w:space="0" w:color="auto"/>
        <w:right w:val="none" w:sz="0" w:space="0" w:color="auto"/>
      </w:divBdr>
    </w:div>
    <w:div w:id="118040019">
      <w:bodyDiv w:val="1"/>
      <w:marLeft w:val="0"/>
      <w:marRight w:val="0"/>
      <w:marTop w:val="0"/>
      <w:marBottom w:val="0"/>
      <w:divBdr>
        <w:top w:val="none" w:sz="0" w:space="0" w:color="auto"/>
        <w:left w:val="none" w:sz="0" w:space="0" w:color="auto"/>
        <w:bottom w:val="none" w:sz="0" w:space="0" w:color="auto"/>
        <w:right w:val="none" w:sz="0" w:space="0" w:color="auto"/>
      </w:divBdr>
    </w:div>
    <w:div w:id="139998928">
      <w:bodyDiv w:val="1"/>
      <w:marLeft w:val="0"/>
      <w:marRight w:val="0"/>
      <w:marTop w:val="0"/>
      <w:marBottom w:val="0"/>
      <w:divBdr>
        <w:top w:val="none" w:sz="0" w:space="0" w:color="auto"/>
        <w:left w:val="none" w:sz="0" w:space="0" w:color="auto"/>
        <w:bottom w:val="none" w:sz="0" w:space="0" w:color="auto"/>
        <w:right w:val="none" w:sz="0" w:space="0" w:color="auto"/>
      </w:divBdr>
    </w:div>
    <w:div w:id="552473471">
      <w:bodyDiv w:val="1"/>
      <w:marLeft w:val="0"/>
      <w:marRight w:val="0"/>
      <w:marTop w:val="0"/>
      <w:marBottom w:val="0"/>
      <w:divBdr>
        <w:top w:val="none" w:sz="0" w:space="0" w:color="auto"/>
        <w:left w:val="none" w:sz="0" w:space="0" w:color="auto"/>
        <w:bottom w:val="none" w:sz="0" w:space="0" w:color="auto"/>
        <w:right w:val="none" w:sz="0" w:space="0" w:color="auto"/>
      </w:divBdr>
    </w:div>
    <w:div w:id="642321127">
      <w:bodyDiv w:val="1"/>
      <w:marLeft w:val="0"/>
      <w:marRight w:val="0"/>
      <w:marTop w:val="0"/>
      <w:marBottom w:val="0"/>
      <w:divBdr>
        <w:top w:val="none" w:sz="0" w:space="0" w:color="auto"/>
        <w:left w:val="none" w:sz="0" w:space="0" w:color="auto"/>
        <w:bottom w:val="none" w:sz="0" w:space="0" w:color="auto"/>
        <w:right w:val="none" w:sz="0" w:space="0" w:color="auto"/>
      </w:divBdr>
      <w:divsChild>
        <w:div w:id="1998336422">
          <w:marLeft w:val="0"/>
          <w:marRight w:val="0"/>
          <w:marTop w:val="0"/>
          <w:marBottom w:val="0"/>
          <w:divBdr>
            <w:top w:val="none" w:sz="0" w:space="0" w:color="auto"/>
            <w:left w:val="none" w:sz="0" w:space="0" w:color="auto"/>
            <w:bottom w:val="none" w:sz="0" w:space="0" w:color="auto"/>
            <w:right w:val="none" w:sz="0" w:space="0" w:color="auto"/>
          </w:divBdr>
          <w:divsChild>
            <w:div w:id="719284514">
              <w:marLeft w:val="0"/>
              <w:marRight w:val="0"/>
              <w:marTop w:val="0"/>
              <w:marBottom w:val="0"/>
              <w:divBdr>
                <w:top w:val="none" w:sz="0" w:space="0" w:color="auto"/>
                <w:left w:val="none" w:sz="0" w:space="0" w:color="auto"/>
                <w:bottom w:val="none" w:sz="0" w:space="0" w:color="auto"/>
                <w:right w:val="none" w:sz="0" w:space="0" w:color="auto"/>
              </w:divBdr>
              <w:divsChild>
                <w:div w:id="988288383">
                  <w:marLeft w:val="0"/>
                  <w:marRight w:val="0"/>
                  <w:marTop w:val="0"/>
                  <w:marBottom w:val="0"/>
                  <w:divBdr>
                    <w:top w:val="none" w:sz="0" w:space="0" w:color="auto"/>
                    <w:left w:val="none" w:sz="0" w:space="0" w:color="auto"/>
                    <w:bottom w:val="none" w:sz="0" w:space="0" w:color="auto"/>
                    <w:right w:val="none" w:sz="0" w:space="0" w:color="auto"/>
                  </w:divBdr>
                  <w:divsChild>
                    <w:div w:id="1348556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807531">
          <w:marLeft w:val="0"/>
          <w:marRight w:val="0"/>
          <w:marTop w:val="0"/>
          <w:marBottom w:val="0"/>
          <w:divBdr>
            <w:top w:val="none" w:sz="0" w:space="0" w:color="auto"/>
            <w:left w:val="none" w:sz="0" w:space="0" w:color="auto"/>
            <w:bottom w:val="none" w:sz="0" w:space="0" w:color="auto"/>
            <w:right w:val="none" w:sz="0" w:space="0" w:color="auto"/>
          </w:divBdr>
          <w:divsChild>
            <w:div w:id="1803577642">
              <w:marLeft w:val="0"/>
              <w:marRight w:val="0"/>
              <w:marTop w:val="0"/>
              <w:marBottom w:val="0"/>
              <w:divBdr>
                <w:top w:val="none" w:sz="0" w:space="0" w:color="auto"/>
                <w:left w:val="none" w:sz="0" w:space="0" w:color="auto"/>
                <w:bottom w:val="none" w:sz="0" w:space="0" w:color="auto"/>
                <w:right w:val="none" w:sz="0" w:space="0" w:color="auto"/>
              </w:divBdr>
              <w:divsChild>
                <w:div w:id="1831404820">
                  <w:marLeft w:val="0"/>
                  <w:marRight w:val="0"/>
                  <w:marTop w:val="0"/>
                  <w:marBottom w:val="0"/>
                  <w:divBdr>
                    <w:top w:val="none" w:sz="0" w:space="0" w:color="auto"/>
                    <w:left w:val="none" w:sz="0" w:space="0" w:color="auto"/>
                    <w:bottom w:val="none" w:sz="0" w:space="0" w:color="auto"/>
                    <w:right w:val="none" w:sz="0" w:space="0" w:color="auto"/>
                  </w:divBdr>
                  <w:divsChild>
                    <w:div w:id="1181629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350465">
          <w:marLeft w:val="0"/>
          <w:marRight w:val="0"/>
          <w:marTop w:val="0"/>
          <w:marBottom w:val="0"/>
          <w:divBdr>
            <w:top w:val="none" w:sz="0" w:space="0" w:color="auto"/>
            <w:left w:val="none" w:sz="0" w:space="0" w:color="auto"/>
            <w:bottom w:val="none" w:sz="0" w:space="0" w:color="auto"/>
            <w:right w:val="none" w:sz="0" w:space="0" w:color="auto"/>
          </w:divBdr>
          <w:divsChild>
            <w:div w:id="2134015286">
              <w:marLeft w:val="0"/>
              <w:marRight w:val="0"/>
              <w:marTop w:val="0"/>
              <w:marBottom w:val="0"/>
              <w:divBdr>
                <w:top w:val="none" w:sz="0" w:space="0" w:color="auto"/>
                <w:left w:val="none" w:sz="0" w:space="0" w:color="auto"/>
                <w:bottom w:val="none" w:sz="0" w:space="0" w:color="auto"/>
                <w:right w:val="none" w:sz="0" w:space="0" w:color="auto"/>
              </w:divBdr>
              <w:divsChild>
                <w:div w:id="227344984">
                  <w:marLeft w:val="0"/>
                  <w:marRight w:val="0"/>
                  <w:marTop w:val="0"/>
                  <w:marBottom w:val="0"/>
                  <w:divBdr>
                    <w:top w:val="none" w:sz="0" w:space="0" w:color="auto"/>
                    <w:left w:val="none" w:sz="0" w:space="0" w:color="auto"/>
                    <w:bottom w:val="none" w:sz="0" w:space="0" w:color="auto"/>
                    <w:right w:val="none" w:sz="0" w:space="0" w:color="auto"/>
                  </w:divBdr>
                  <w:divsChild>
                    <w:div w:id="1370717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248691">
          <w:marLeft w:val="0"/>
          <w:marRight w:val="0"/>
          <w:marTop w:val="0"/>
          <w:marBottom w:val="0"/>
          <w:divBdr>
            <w:top w:val="none" w:sz="0" w:space="0" w:color="auto"/>
            <w:left w:val="none" w:sz="0" w:space="0" w:color="auto"/>
            <w:bottom w:val="none" w:sz="0" w:space="0" w:color="auto"/>
            <w:right w:val="none" w:sz="0" w:space="0" w:color="auto"/>
          </w:divBdr>
          <w:divsChild>
            <w:div w:id="226771356">
              <w:marLeft w:val="0"/>
              <w:marRight w:val="0"/>
              <w:marTop w:val="0"/>
              <w:marBottom w:val="0"/>
              <w:divBdr>
                <w:top w:val="none" w:sz="0" w:space="0" w:color="auto"/>
                <w:left w:val="none" w:sz="0" w:space="0" w:color="auto"/>
                <w:bottom w:val="none" w:sz="0" w:space="0" w:color="auto"/>
                <w:right w:val="none" w:sz="0" w:space="0" w:color="auto"/>
              </w:divBdr>
              <w:divsChild>
                <w:div w:id="1004016164">
                  <w:marLeft w:val="0"/>
                  <w:marRight w:val="0"/>
                  <w:marTop w:val="0"/>
                  <w:marBottom w:val="0"/>
                  <w:divBdr>
                    <w:top w:val="none" w:sz="0" w:space="0" w:color="auto"/>
                    <w:left w:val="none" w:sz="0" w:space="0" w:color="auto"/>
                    <w:bottom w:val="none" w:sz="0" w:space="0" w:color="auto"/>
                    <w:right w:val="none" w:sz="0" w:space="0" w:color="auto"/>
                  </w:divBdr>
                  <w:divsChild>
                    <w:div w:id="146928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7654647">
      <w:bodyDiv w:val="1"/>
      <w:marLeft w:val="0"/>
      <w:marRight w:val="0"/>
      <w:marTop w:val="0"/>
      <w:marBottom w:val="0"/>
      <w:divBdr>
        <w:top w:val="none" w:sz="0" w:space="0" w:color="auto"/>
        <w:left w:val="none" w:sz="0" w:space="0" w:color="auto"/>
        <w:bottom w:val="none" w:sz="0" w:space="0" w:color="auto"/>
        <w:right w:val="none" w:sz="0" w:space="0" w:color="auto"/>
      </w:divBdr>
    </w:div>
    <w:div w:id="679115947">
      <w:bodyDiv w:val="1"/>
      <w:marLeft w:val="0"/>
      <w:marRight w:val="0"/>
      <w:marTop w:val="0"/>
      <w:marBottom w:val="0"/>
      <w:divBdr>
        <w:top w:val="none" w:sz="0" w:space="0" w:color="auto"/>
        <w:left w:val="none" w:sz="0" w:space="0" w:color="auto"/>
        <w:bottom w:val="none" w:sz="0" w:space="0" w:color="auto"/>
        <w:right w:val="none" w:sz="0" w:space="0" w:color="auto"/>
      </w:divBdr>
    </w:div>
    <w:div w:id="1000695978">
      <w:bodyDiv w:val="1"/>
      <w:marLeft w:val="0"/>
      <w:marRight w:val="0"/>
      <w:marTop w:val="0"/>
      <w:marBottom w:val="0"/>
      <w:divBdr>
        <w:top w:val="none" w:sz="0" w:space="0" w:color="auto"/>
        <w:left w:val="none" w:sz="0" w:space="0" w:color="auto"/>
        <w:bottom w:val="none" w:sz="0" w:space="0" w:color="auto"/>
        <w:right w:val="none" w:sz="0" w:space="0" w:color="auto"/>
      </w:divBdr>
    </w:div>
    <w:div w:id="1479808638">
      <w:bodyDiv w:val="1"/>
      <w:marLeft w:val="0"/>
      <w:marRight w:val="0"/>
      <w:marTop w:val="0"/>
      <w:marBottom w:val="0"/>
      <w:divBdr>
        <w:top w:val="none" w:sz="0" w:space="0" w:color="auto"/>
        <w:left w:val="none" w:sz="0" w:space="0" w:color="auto"/>
        <w:bottom w:val="none" w:sz="0" w:space="0" w:color="auto"/>
        <w:right w:val="none" w:sz="0" w:space="0" w:color="auto"/>
      </w:divBdr>
    </w:div>
    <w:div w:id="1921016225">
      <w:bodyDiv w:val="1"/>
      <w:marLeft w:val="0"/>
      <w:marRight w:val="0"/>
      <w:marTop w:val="0"/>
      <w:marBottom w:val="0"/>
      <w:divBdr>
        <w:top w:val="none" w:sz="0" w:space="0" w:color="auto"/>
        <w:left w:val="none" w:sz="0" w:space="0" w:color="auto"/>
        <w:bottom w:val="none" w:sz="0" w:space="0" w:color="auto"/>
        <w:right w:val="none" w:sz="0" w:space="0" w:color="auto"/>
      </w:divBdr>
    </w:div>
    <w:div w:id="2087217060">
      <w:bodyDiv w:val="1"/>
      <w:marLeft w:val="0"/>
      <w:marRight w:val="0"/>
      <w:marTop w:val="0"/>
      <w:marBottom w:val="0"/>
      <w:divBdr>
        <w:top w:val="none" w:sz="0" w:space="0" w:color="auto"/>
        <w:left w:val="none" w:sz="0" w:space="0" w:color="auto"/>
        <w:bottom w:val="none" w:sz="0" w:space="0" w:color="auto"/>
        <w:right w:val="none" w:sz="0" w:space="0" w:color="auto"/>
      </w:divBdr>
    </w:div>
    <w:div w:id="2135824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alallarina@mail.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alallarina@mail.ru" TargetMode="External"/><Relationship Id="rId5" Type="http://schemas.openxmlformats.org/officeDocument/2006/relationships/hyperlink" Target="http://socialarea-journal.ru/article/30343" TargetMode="External"/><Relationship Id="rId4" Type="http://schemas.openxmlformats.org/officeDocument/2006/relationships/chart" Target="charts/chart1.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1281843941522715E-2"/>
          <c:y val="9.8849045611556344E-2"/>
          <c:w val="0.92518371018770273"/>
          <c:h val="0.45211029128351971"/>
        </c:manualLayout>
      </c:layout>
      <c:barChart>
        <c:barDir val="col"/>
        <c:grouping val="clustered"/>
        <c:varyColors val="0"/>
        <c:ser>
          <c:idx val="0"/>
          <c:order val="0"/>
          <c:tx>
            <c:strRef>
              <c:f>Лист1!$B$1</c:f>
              <c:strCache>
                <c:ptCount val="1"/>
                <c:pt idx="0">
                  <c:v>2011 г.</c:v>
                </c:pt>
              </c:strCache>
            </c:strRef>
          </c:tx>
          <c:spPr>
            <a:pattFill prst="pct10">
              <a:fgClr>
                <a:schemeClr val="tx1"/>
              </a:fgClr>
              <a:bgClr>
                <a:schemeClr val="bg1"/>
              </a:bgClr>
            </a:pattFill>
            <a:ln w="3175">
              <a:solidFill>
                <a:schemeClr val="tx1"/>
              </a:solidFill>
            </a:ln>
            <a:effectLst/>
          </c:spPr>
          <c:invertIfNegative val="0"/>
          <c:dLbls>
            <c:spPr>
              <a:noFill/>
              <a:ln>
                <a:noFill/>
              </a:ln>
              <a:effectLst/>
            </c:spPr>
            <c:txPr>
              <a:bodyPr rot="0" vert="horz"/>
              <a:lstStyle/>
              <a:p>
                <a:pPr>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Государство должно попытаться заинтересовать семьи иметь большее число детей (политика стимулирования)</c:v>
                </c:pt>
                <c:pt idx="1">
                  <c:v>Государство должно только помочь семье иметь столько детей, сколько она сама хочет (политика поддержки)</c:v>
                </c:pt>
                <c:pt idx="2">
                  <c:v>Государство ни в коей степени не должно влиять на рождение в семьях того или иного числа детей (политика невмешательства)</c:v>
                </c:pt>
              </c:strCache>
            </c:strRef>
          </c:cat>
          <c:val>
            <c:numRef>
              <c:f>Лист1!$B$2:$B$4</c:f>
              <c:numCache>
                <c:formatCode>General</c:formatCode>
                <c:ptCount val="3"/>
                <c:pt idx="0">
                  <c:v>39.9</c:v>
                </c:pt>
                <c:pt idx="1">
                  <c:v>47.5</c:v>
                </c:pt>
                <c:pt idx="2">
                  <c:v>11.2</c:v>
                </c:pt>
              </c:numCache>
            </c:numRef>
          </c:val>
          <c:extLst>
            <c:ext xmlns:c16="http://schemas.microsoft.com/office/drawing/2014/chart" uri="{C3380CC4-5D6E-409C-BE32-E72D297353CC}">
              <c16:uniqueId val="{00000000-191C-544E-890A-BAA8638D7296}"/>
            </c:ext>
          </c:extLst>
        </c:ser>
        <c:ser>
          <c:idx val="1"/>
          <c:order val="1"/>
          <c:tx>
            <c:strRef>
              <c:f>Лист1!$C$1</c:f>
              <c:strCache>
                <c:ptCount val="1"/>
                <c:pt idx="0">
                  <c:v>2014 г.</c:v>
                </c:pt>
              </c:strCache>
            </c:strRef>
          </c:tx>
          <c:spPr>
            <a:pattFill prst="ltUpDiag">
              <a:fgClr>
                <a:schemeClr val="tx1"/>
              </a:fgClr>
              <a:bgClr>
                <a:schemeClr val="bg1"/>
              </a:bgClr>
            </a:pattFill>
            <a:ln w="3175">
              <a:solidFill>
                <a:schemeClr val="tx1"/>
              </a:solidFill>
            </a:ln>
            <a:effectLst/>
          </c:spPr>
          <c:invertIfNegative val="0"/>
          <c:dLbls>
            <c:spPr>
              <a:noFill/>
              <a:ln>
                <a:noFill/>
              </a:ln>
              <a:effectLst/>
            </c:spPr>
            <c:txPr>
              <a:bodyPr rot="0" vert="horz"/>
              <a:lstStyle/>
              <a:p>
                <a:pPr>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Государство должно попытаться заинтересовать семьи иметь большее число детей (политика стимулирования)</c:v>
                </c:pt>
                <c:pt idx="1">
                  <c:v>Государство должно только помочь семье иметь столько детей, сколько она сама хочет (политика поддержки)</c:v>
                </c:pt>
                <c:pt idx="2">
                  <c:v>Государство ни в коей степени не должно влиять на рождение в семьях того или иного числа детей (политика невмешательства)</c:v>
                </c:pt>
              </c:strCache>
            </c:strRef>
          </c:cat>
          <c:val>
            <c:numRef>
              <c:f>Лист1!$C$2:$C$4</c:f>
              <c:numCache>
                <c:formatCode>General</c:formatCode>
                <c:ptCount val="3"/>
                <c:pt idx="0">
                  <c:v>37.700000000000003</c:v>
                </c:pt>
                <c:pt idx="1">
                  <c:v>50.6</c:v>
                </c:pt>
                <c:pt idx="2">
                  <c:v>10.5</c:v>
                </c:pt>
              </c:numCache>
            </c:numRef>
          </c:val>
          <c:extLst>
            <c:ext xmlns:c16="http://schemas.microsoft.com/office/drawing/2014/chart" uri="{C3380CC4-5D6E-409C-BE32-E72D297353CC}">
              <c16:uniqueId val="{00000001-191C-544E-890A-BAA8638D7296}"/>
            </c:ext>
          </c:extLst>
        </c:ser>
        <c:ser>
          <c:idx val="2"/>
          <c:order val="2"/>
          <c:tx>
            <c:strRef>
              <c:f>Лист1!$D$1</c:f>
              <c:strCache>
                <c:ptCount val="1"/>
                <c:pt idx="0">
                  <c:v>2017 г.</c:v>
                </c:pt>
              </c:strCache>
            </c:strRef>
          </c:tx>
          <c:spPr>
            <a:pattFill prst="diagBrick">
              <a:fgClr>
                <a:schemeClr val="tx1"/>
              </a:fgClr>
              <a:bgClr>
                <a:schemeClr val="bg1"/>
              </a:bgClr>
            </a:pattFill>
            <a:ln w="3175">
              <a:solidFill>
                <a:schemeClr val="tx1"/>
              </a:solidFill>
            </a:ln>
            <a:effectLst/>
          </c:spPr>
          <c:invertIfNegative val="0"/>
          <c:dLbls>
            <c:spPr>
              <a:noFill/>
              <a:ln>
                <a:noFill/>
              </a:ln>
              <a:effectLst/>
            </c:spPr>
            <c:txPr>
              <a:bodyPr rot="0" vert="horz"/>
              <a:lstStyle/>
              <a:p>
                <a:pPr>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Государство должно попытаться заинтересовать семьи иметь большее число детей (политика стимулирования)</c:v>
                </c:pt>
                <c:pt idx="1">
                  <c:v>Государство должно только помочь семье иметь столько детей, сколько она сама хочет (политика поддержки)</c:v>
                </c:pt>
                <c:pt idx="2">
                  <c:v>Государство ни в коей степени не должно влиять на рождение в семьях того или иного числа детей (политика невмешательства)</c:v>
                </c:pt>
              </c:strCache>
            </c:strRef>
          </c:cat>
          <c:val>
            <c:numRef>
              <c:f>Лист1!$D$2:$D$4</c:f>
              <c:numCache>
                <c:formatCode>General</c:formatCode>
                <c:ptCount val="3"/>
                <c:pt idx="0">
                  <c:v>38.9</c:v>
                </c:pt>
                <c:pt idx="1">
                  <c:v>53.4</c:v>
                </c:pt>
                <c:pt idx="2">
                  <c:v>7.8</c:v>
                </c:pt>
              </c:numCache>
            </c:numRef>
          </c:val>
          <c:extLst>
            <c:ext xmlns:c16="http://schemas.microsoft.com/office/drawing/2014/chart" uri="{C3380CC4-5D6E-409C-BE32-E72D297353CC}">
              <c16:uniqueId val="{00000002-191C-544E-890A-BAA8638D7296}"/>
            </c:ext>
          </c:extLst>
        </c:ser>
        <c:ser>
          <c:idx val="3"/>
          <c:order val="3"/>
          <c:tx>
            <c:strRef>
              <c:f>Лист1!$E$1</c:f>
              <c:strCache>
                <c:ptCount val="1"/>
                <c:pt idx="0">
                  <c:v>2019 г.</c:v>
                </c:pt>
              </c:strCache>
            </c:strRef>
          </c:tx>
          <c:spPr>
            <a:solidFill>
              <a:sysClr val="window" lastClr="FFFFFF">
                <a:lumMod val="95000"/>
              </a:sysClr>
            </a:solidFill>
            <a:ln w="3175">
              <a:solidFill>
                <a:sysClr val="windowText" lastClr="000000"/>
              </a:solidFill>
            </a:ln>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Государство должно попытаться заинтересовать семьи иметь большее число детей (политика стимулирования)</c:v>
                </c:pt>
                <c:pt idx="1">
                  <c:v>Государство должно только помочь семье иметь столько детей, сколько она сама хочет (политика поддержки)</c:v>
                </c:pt>
                <c:pt idx="2">
                  <c:v>Государство ни в коей степени не должно влиять на рождение в семьях того или иного числа детей (политика невмешательства)</c:v>
                </c:pt>
              </c:strCache>
            </c:strRef>
          </c:cat>
          <c:val>
            <c:numRef>
              <c:f>Лист1!$E$2:$E$4</c:f>
              <c:numCache>
                <c:formatCode>General</c:formatCode>
                <c:ptCount val="3"/>
                <c:pt idx="0">
                  <c:v>44.1</c:v>
                </c:pt>
                <c:pt idx="1">
                  <c:v>44.2</c:v>
                </c:pt>
                <c:pt idx="2">
                  <c:v>11.7</c:v>
                </c:pt>
              </c:numCache>
            </c:numRef>
          </c:val>
          <c:extLst>
            <c:ext xmlns:c16="http://schemas.microsoft.com/office/drawing/2014/chart" uri="{C3380CC4-5D6E-409C-BE32-E72D297353CC}">
              <c16:uniqueId val="{00000003-191C-544E-890A-BAA8638D7296}"/>
            </c:ext>
          </c:extLst>
        </c:ser>
        <c:ser>
          <c:idx val="4"/>
          <c:order val="4"/>
          <c:tx>
            <c:strRef>
              <c:f>Лист1!$F$1</c:f>
              <c:strCache>
                <c:ptCount val="1"/>
                <c:pt idx="0">
                  <c:v>2021 г.</c:v>
                </c:pt>
              </c:strCache>
            </c:strRef>
          </c:tx>
          <c:spPr>
            <a:pattFill prst="pct50">
              <a:fgClr>
                <a:sysClr val="windowText" lastClr="000000"/>
              </a:fgClr>
              <a:bgClr>
                <a:sysClr val="window" lastClr="FFFFFF"/>
              </a:bgClr>
            </a:pattFill>
            <a:ln w="3175">
              <a:solidFill>
                <a:sysClr val="windowText" lastClr="000000"/>
              </a:solidFill>
            </a:ln>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Лист1!$A$2:$A$4</c:f>
              <c:strCache>
                <c:ptCount val="3"/>
                <c:pt idx="0">
                  <c:v>Государство должно попытаться заинтересовать семьи иметь большее число детей (политика стимулирования)</c:v>
                </c:pt>
                <c:pt idx="1">
                  <c:v>Государство должно только помочь семье иметь столько детей, сколько она сама хочет (политика поддержки)</c:v>
                </c:pt>
                <c:pt idx="2">
                  <c:v>Государство ни в коей степени не должно влиять на рождение в семьях того или иного числа детей (политика невмешательства)</c:v>
                </c:pt>
              </c:strCache>
            </c:strRef>
          </c:cat>
          <c:val>
            <c:numRef>
              <c:f>Лист1!$F$2:$F$4</c:f>
              <c:numCache>
                <c:formatCode>0.0</c:formatCode>
                <c:ptCount val="3"/>
                <c:pt idx="0">
                  <c:v>41</c:v>
                </c:pt>
                <c:pt idx="1">
                  <c:v>45.2</c:v>
                </c:pt>
                <c:pt idx="2">
                  <c:v>13.9</c:v>
                </c:pt>
              </c:numCache>
            </c:numRef>
          </c:val>
          <c:extLst>
            <c:ext xmlns:c16="http://schemas.microsoft.com/office/drawing/2014/chart" uri="{C3380CC4-5D6E-409C-BE32-E72D297353CC}">
              <c16:uniqueId val="{00000004-191C-544E-890A-BAA8638D7296}"/>
            </c:ext>
          </c:extLst>
        </c:ser>
        <c:ser>
          <c:idx val="5"/>
          <c:order val="5"/>
          <c:tx>
            <c:strRef>
              <c:f>Лист1!$G$1</c:f>
              <c:strCache>
                <c:ptCount val="1"/>
                <c:pt idx="0">
                  <c:v>2023 г.</c:v>
                </c:pt>
              </c:strCache>
            </c:strRef>
          </c:tx>
          <c:spPr>
            <a:solidFill>
              <a:sysClr val="window" lastClr="FFFFFF">
                <a:lumMod val="65000"/>
              </a:sysClr>
            </a:solidFill>
            <a:ln w="3175">
              <a:solidFill>
                <a:sysClr val="windowText" lastClr="000000"/>
              </a:solidFill>
            </a:ln>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Лист1!$A$2:$A$4</c:f>
              <c:strCache>
                <c:ptCount val="3"/>
                <c:pt idx="0">
                  <c:v>Государство должно попытаться заинтересовать семьи иметь большее число детей (политика стимулирования)</c:v>
                </c:pt>
                <c:pt idx="1">
                  <c:v>Государство должно только помочь семье иметь столько детей, сколько она сама хочет (политика поддержки)</c:v>
                </c:pt>
                <c:pt idx="2">
                  <c:v>Государство ни в коей степени не должно влиять на рождение в семьях того или иного числа детей (политика невмешательства)</c:v>
                </c:pt>
              </c:strCache>
            </c:strRef>
          </c:cat>
          <c:val>
            <c:numRef>
              <c:f>Лист1!$G$2:$G$4</c:f>
              <c:numCache>
                <c:formatCode>0.0</c:formatCode>
                <c:ptCount val="3"/>
                <c:pt idx="0">
                  <c:v>47.8</c:v>
                </c:pt>
                <c:pt idx="1">
                  <c:v>40.9</c:v>
                </c:pt>
                <c:pt idx="2">
                  <c:v>11.3</c:v>
                </c:pt>
              </c:numCache>
            </c:numRef>
          </c:val>
          <c:extLst>
            <c:ext xmlns:c16="http://schemas.microsoft.com/office/drawing/2014/chart" uri="{C3380CC4-5D6E-409C-BE32-E72D297353CC}">
              <c16:uniqueId val="{00000005-191C-544E-890A-BAA8638D7296}"/>
            </c:ext>
          </c:extLst>
        </c:ser>
        <c:ser>
          <c:idx val="6"/>
          <c:order val="6"/>
          <c:tx>
            <c:strRef>
              <c:f>Лист1!$H$1</c:f>
              <c:strCache>
                <c:ptCount val="1"/>
                <c:pt idx="0">
                  <c:v>2025 г.</c:v>
                </c:pt>
              </c:strCache>
            </c:strRef>
          </c:tx>
          <c:spPr>
            <a:solidFill>
              <a:srgbClr val="E7E6E6">
                <a:lumMod val="25000"/>
              </a:srgbClr>
            </a:solidFill>
          </c:spPr>
          <c:invertIfNegative val="0"/>
          <c:dLbls>
            <c:dLbl>
              <c:idx val="0"/>
              <c:tx>
                <c:rich>
                  <a:bodyPr/>
                  <a:lstStyle/>
                  <a:p>
                    <a:r>
                      <a:rPr lang="en-US" baseline="0" dirty="0"/>
                      <a:t> </a:t>
                    </a:r>
                    <a:fld id="{C304BDB0-8857-4484-A8CF-810B01C06B5F}" type="VALUE">
                      <a:rPr lang="en-US" baseline="0"/>
                      <a:pPr/>
                      <a:t>[ЗНАЧЕНИЕ]</a:t>
                    </a:fld>
                    <a:endParaRPr lang="en-US" baseline="0" dirty="0"/>
                  </a:p>
                </c:rich>
              </c:tx>
              <c:showLegendKey val="0"/>
              <c:showVal val="1"/>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6-191C-544E-890A-BAA8638D7296}"/>
                </c:ext>
              </c:extLst>
            </c:dLbl>
            <c:dLbl>
              <c:idx val="1"/>
              <c:tx>
                <c:rich>
                  <a:bodyPr/>
                  <a:lstStyle/>
                  <a:p>
                    <a:fld id="{B43D85CA-A7C3-4856-9497-EC88E1AA2802}"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7-191C-544E-890A-BAA8638D7296}"/>
                </c:ext>
              </c:extLst>
            </c:dLbl>
            <c:dLbl>
              <c:idx val="2"/>
              <c:tx>
                <c:rich>
                  <a:bodyPr/>
                  <a:lstStyle/>
                  <a:p>
                    <a:fld id="{271EBA3C-ACF2-4DFA-A9B4-F1F033616FA8}" type="CELLRANGE">
                      <a:rPr lang="ru-RU"/>
                      <a:pPr/>
                      <a:t>[ДИАПАЗОН ЯЧЕЕК]</a:t>
                    </a:fld>
                    <a:endParaRPr lang="ru-RU"/>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191C-544E-890A-BAA8638D7296}"/>
                </c:ext>
              </c:extLst>
            </c:dLbl>
            <c:spPr>
              <a:noFill/>
              <a:ln>
                <a:noFill/>
              </a:ln>
              <a:effectLst/>
            </c:sp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ext>
            </c:extLst>
          </c:dLbls>
          <c:cat>
            <c:strRef>
              <c:f>Лист1!$A$2:$A$4</c:f>
              <c:strCache>
                <c:ptCount val="3"/>
                <c:pt idx="0">
                  <c:v>Государство должно попытаться заинтересовать семьи иметь большее число детей (политика стимулирования)</c:v>
                </c:pt>
                <c:pt idx="1">
                  <c:v>Государство должно только помочь семье иметь столько детей, сколько она сама хочет (политика поддержки)</c:v>
                </c:pt>
                <c:pt idx="2">
                  <c:v>Государство ни в коей степени не должно влиять на рождение в семьях того или иного числа детей (политика невмешательства)</c:v>
                </c:pt>
              </c:strCache>
            </c:strRef>
          </c:cat>
          <c:val>
            <c:numRef>
              <c:f>Лист1!$H$2:$H$4</c:f>
              <c:numCache>
                <c:formatCode>0.0</c:formatCode>
                <c:ptCount val="3"/>
                <c:pt idx="0">
                  <c:v>38.200000000000003</c:v>
                </c:pt>
                <c:pt idx="1">
                  <c:v>46.7</c:v>
                </c:pt>
                <c:pt idx="2">
                  <c:v>15.1</c:v>
                </c:pt>
              </c:numCache>
            </c:numRef>
          </c:val>
          <c:extLst>
            <c:ext xmlns:c15="http://schemas.microsoft.com/office/drawing/2012/chart" uri="{02D57815-91ED-43cb-92C2-25804820EDAC}">
              <c15:datalabelsRange>
                <c15:f>Лист1!$H$2:$H$4</c15:f>
                <c15:dlblRangeCache>
                  <c:ptCount val="3"/>
                  <c:pt idx="0">
                    <c:v>38,2</c:v>
                  </c:pt>
                  <c:pt idx="1">
                    <c:v>46,7</c:v>
                  </c:pt>
                  <c:pt idx="2">
                    <c:v>15,1</c:v>
                  </c:pt>
                </c15:dlblRangeCache>
              </c15:datalabelsRange>
            </c:ext>
            <c:ext xmlns:c16="http://schemas.microsoft.com/office/drawing/2014/chart" uri="{C3380CC4-5D6E-409C-BE32-E72D297353CC}">
              <c16:uniqueId val="{00000009-191C-544E-890A-BAA8638D7296}"/>
            </c:ext>
          </c:extLst>
        </c:ser>
        <c:dLbls>
          <c:showLegendKey val="0"/>
          <c:showVal val="0"/>
          <c:showCatName val="0"/>
          <c:showSerName val="0"/>
          <c:showPercent val="0"/>
          <c:showBubbleSize val="0"/>
        </c:dLbls>
        <c:gapWidth val="219"/>
        <c:overlap val="-29"/>
        <c:axId val="179847552"/>
        <c:axId val="179849088"/>
      </c:barChart>
      <c:catAx>
        <c:axId val="179847552"/>
        <c:scaling>
          <c:orientation val="minMax"/>
        </c:scaling>
        <c:delete val="0"/>
        <c:axPos val="b"/>
        <c:numFmt formatCode="General" sourceLinked="1"/>
        <c:majorTickMark val="none"/>
        <c:minorTickMark val="none"/>
        <c:tickLblPos val="nextTo"/>
        <c:spPr>
          <a:noFill/>
          <a:ln w="3175" cap="flat" cmpd="sng" algn="ctr">
            <a:solidFill>
              <a:schemeClr val="tx1"/>
            </a:solidFill>
            <a:round/>
          </a:ln>
          <a:effectLst/>
        </c:spPr>
        <c:txPr>
          <a:bodyPr rot="-60000000" vert="horz"/>
          <a:lstStyle/>
          <a:p>
            <a:pPr>
              <a:defRPr/>
            </a:pPr>
            <a:endParaRPr lang="ru-RU"/>
          </a:p>
        </c:txPr>
        <c:crossAx val="179849088"/>
        <c:crosses val="autoZero"/>
        <c:auto val="1"/>
        <c:lblAlgn val="ctr"/>
        <c:lblOffset val="100"/>
        <c:noMultiLvlLbl val="0"/>
      </c:catAx>
      <c:valAx>
        <c:axId val="179849088"/>
        <c:scaling>
          <c:orientation val="minMax"/>
        </c:scaling>
        <c:delete val="0"/>
        <c:axPos val="l"/>
        <c:majorGridlines>
          <c:spPr>
            <a:ln w="9525" cap="flat" cmpd="sng" algn="ctr">
              <a:noFill/>
              <a:round/>
            </a:ln>
            <a:effectLst/>
          </c:spPr>
        </c:majorGridlines>
        <c:title>
          <c:tx>
            <c:rich>
              <a:bodyPr rot="0"/>
              <a:lstStyle/>
              <a:p>
                <a:pPr>
                  <a:defRPr/>
                </a:pPr>
                <a:r>
                  <a:rPr lang="ru-RU"/>
                  <a:t>%</a:t>
                </a:r>
              </a:p>
            </c:rich>
          </c:tx>
          <c:layout>
            <c:manualLayout>
              <c:xMode val="edge"/>
              <c:yMode val="edge"/>
              <c:x val="3.6371416345742404E-2"/>
              <c:y val="1.9557197497430119E-3"/>
            </c:manualLayout>
          </c:layout>
          <c:overlay val="0"/>
          <c:spPr>
            <a:noFill/>
            <a:ln>
              <a:noFill/>
            </a:ln>
            <a:effectLst/>
          </c:spPr>
        </c:title>
        <c:numFmt formatCode="General" sourceLinked="1"/>
        <c:majorTickMark val="out"/>
        <c:minorTickMark val="none"/>
        <c:tickLblPos val="nextTo"/>
        <c:spPr>
          <a:noFill/>
          <a:ln w="3175">
            <a:solidFill>
              <a:schemeClr val="tx1"/>
            </a:solidFill>
          </a:ln>
          <a:effectLst/>
        </c:spPr>
        <c:txPr>
          <a:bodyPr rot="-60000000" vert="horz"/>
          <a:lstStyle/>
          <a:p>
            <a:pPr>
              <a:defRPr/>
            </a:pPr>
            <a:endParaRPr lang="ru-RU"/>
          </a:p>
        </c:txPr>
        <c:crossAx val="179847552"/>
        <c:crosses val="autoZero"/>
        <c:crossBetween val="between"/>
      </c:valAx>
      <c:spPr>
        <a:noFill/>
        <a:ln>
          <a:noFill/>
        </a:ln>
        <a:effectLst/>
      </c:spPr>
    </c:plotArea>
    <c:legend>
      <c:legendPos val="b"/>
      <c:layout>
        <c:manualLayout>
          <c:xMode val="edge"/>
          <c:yMode val="edge"/>
          <c:x val="0.12260747906347289"/>
          <c:y val="0.90912112626080799"/>
          <c:w val="0.63833485695622239"/>
          <c:h val="9.0879104659594812E-2"/>
        </c:manualLayout>
      </c:layout>
      <c:overlay val="0"/>
      <c:spPr>
        <a:noFill/>
        <a:ln>
          <a:noFill/>
        </a:ln>
        <a:effectLst/>
      </c:spPr>
      <c:txPr>
        <a:bodyPr rot="0" vert="horz"/>
        <a:lstStyle/>
        <a:p>
          <a:pPr>
            <a:defRPr/>
          </a:pPr>
          <a:endParaRPr lang="ru-RU"/>
        </a:p>
      </c:txPr>
    </c:legend>
    <c:plotVisOnly val="1"/>
    <c:dispBlanksAs val="gap"/>
    <c:showDLblsOverMax val="0"/>
  </c:chart>
  <c:spPr>
    <a:solidFill>
      <a:sysClr val="window" lastClr="FFFFFF">
        <a:alpha val="0"/>
      </a:sysClr>
    </a:solidFill>
    <a:ln w="9525" cap="flat" cmpd="sng" algn="ctr">
      <a:noFill/>
      <a:round/>
    </a:ln>
    <a:effectLst/>
  </c:spPr>
  <c:txPr>
    <a:bodyPr/>
    <a:lstStyle/>
    <a:p>
      <a:pPr>
        <a:defRPr sz="9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TotalTime>
  <Pages>5</Pages>
  <Words>2474</Words>
  <Characters>14107</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Ларина Алина Алексеевна</dc:creator>
  <cp:keywords/>
  <dc:description/>
  <cp:lastModifiedBy>Ларина Алина Алексеевна</cp:lastModifiedBy>
  <cp:revision>4</cp:revision>
  <dcterms:created xsi:type="dcterms:W3CDTF">2026-03-10T09:27:00Z</dcterms:created>
  <dcterms:modified xsi:type="dcterms:W3CDTF">2026-03-10T09:28:00Z</dcterms:modified>
</cp:coreProperties>
</file>