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53FF" w:rsidRPr="000553FF" w:rsidRDefault="000553FF" w:rsidP="000553F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553F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УДК </w:t>
      </w:r>
      <w:proofErr w:type="gramStart"/>
      <w:r w:rsidRPr="000553FF">
        <w:rPr>
          <w:rFonts w:ascii="Times New Roman" w:eastAsia="Times New Roman" w:hAnsi="Times New Roman" w:cs="Times New Roman"/>
          <w:sz w:val="24"/>
          <w:szCs w:val="24"/>
          <w:lang w:eastAsia="ru-RU"/>
        </w:rPr>
        <w:t>314.7:332.14</w:t>
      </w:r>
      <w:proofErr w:type="gramEnd"/>
      <w:r w:rsidRPr="000553FF">
        <w:rPr>
          <w:rFonts w:ascii="Times New Roman" w:eastAsia="Times New Roman" w:hAnsi="Times New Roman" w:cs="Times New Roman"/>
          <w:sz w:val="24"/>
          <w:szCs w:val="24"/>
          <w:lang w:eastAsia="ru-RU"/>
        </w:rPr>
        <w:t>(571.151) ББК 60.02:65.01(2 Рос-4АлТ)</w:t>
      </w:r>
      <w:r w:rsidR="009A53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Заречнева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А.О</w:t>
      </w:r>
      <w:r w:rsidRPr="000553F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553FF" w:rsidRPr="000553FF" w:rsidRDefault="000553FF" w:rsidP="009A5347">
      <w:pPr>
        <w:spacing w:before="100" w:beforeAutospacing="1" w:after="100" w:afterAutospacing="1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553F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ПРОСТРАНСТВЕННЫЕ АСПЕКТЫ ДЕМОГРАФИЧЕСКОГО РАЗВИТИЯ БАРНАУЛА: СТРУКТУРНЫЕ СДВИГИ, РИСКИ И МЕХАНИЗМЫ РЕГУЛИРОВАНИЯ</w:t>
      </w:r>
    </w:p>
    <w:p w:rsidR="000553FF" w:rsidRPr="000553FF" w:rsidRDefault="000553FF" w:rsidP="009A5347">
      <w:pPr>
        <w:spacing w:before="100" w:beforeAutospacing="1" w:after="100" w:afterAutospacing="1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553F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Аннотация:</w:t>
      </w:r>
      <w:r w:rsidRPr="000553F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статье рассматриваются пространственные аспекты демографических процессов в Барнауле. Анализируются структурные сдвиги в расселении населения, выявляются сопутствующие риски и предлагаются механизмы регулирования для устойчивого развития города.</w:t>
      </w:r>
      <w:r w:rsidR="009A534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A534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</w:t>
      </w:r>
      <w:r w:rsidRPr="000553F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Ключевые слова:</w:t>
      </w:r>
      <w:r w:rsidRPr="000553F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Барнаул, демография, пространственное развитие, структурные сдвиги, риски, механизмы регулирования.</w:t>
      </w:r>
    </w:p>
    <w:p w:rsidR="00AB0F02" w:rsidRPr="00AB0F02" w:rsidRDefault="000553FF" w:rsidP="001A63D2">
      <w:pPr>
        <w:tabs>
          <w:tab w:val="left" w:pos="709"/>
        </w:tabs>
        <w:spacing w:before="100" w:beforeAutospacing="1" w:after="100" w:afterAutospacing="1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553FF">
        <w:rPr>
          <w:rFonts w:ascii="Times New Roman" w:eastAsia="Times New Roman" w:hAnsi="Times New Roman" w:cs="Times New Roman"/>
          <w:sz w:val="24"/>
          <w:szCs w:val="24"/>
          <w:lang w:eastAsia="ru-RU"/>
        </w:rPr>
        <w:t>Демографическое развитие любого городского образования неразрывно связано с его простр</w:t>
      </w:r>
      <w:bookmarkStart w:id="0" w:name="_GoBack"/>
      <w:bookmarkEnd w:id="0"/>
      <w:r w:rsidRPr="000553FF">
        <w:rPr>
          <w:rFonts w:ascii="Times New Roman" w:eastAsia="Times New Roman" w:hAnsi="Times New Roman" w:cs="Times New Roman"/>
          <w:sz w:val="24"/>
          <w:szCs w:val="24"/>
          <w:lang w:eastAsia="ru-RU"/>
        </w:rPr>
        <w:t>анственной структурой. Барнаул, являясь крупным административным, экономическим и культурным центром Алтайского края, подвержен комплексным демографическим процессам, проявляющимся через специфические пространственные сдвиги. Анализ этих сдвигов, оценка сопутствующих рисков и разработка адекватных механизмов регулирования являются ключевыми для обеспечения устойчивого развития города.</w:t>
      </w:r>
      <w:r w:rsidR="009A534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            </w:t>
      </w:r>
      <w:r w:rsidRPr="000553F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Пространственная трансформация населения Барнаула характеризуется </w:t>
      </w:r>
      <w:proofErr w:type="spellStart"/>
      <w:r w:rsidRPr="000553FF">
        <w:rPr>
          <w:rFonts w:ascii="Times New Roman" w:eastAsia="Times New Roman" w:hAnsi="Times New Roman" w:cs="Times New Roman"/>
          <w:sz w:val="24"/>
          <w:szCs w:val="24"/>
          <w:lang w:eastAsia="ru-RU"/>
        </w:rPr>
        <w:t>субурбанизацией</w:t>
      </w:r>
      <w:proofErr w:type="spellEnd"/>
      <w:r w:rsidRPr="000553F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развитием новых жилых зон на периферии, тогда как внутренние районы испытывают уплотнение или депопуляцию.</w:t>
      </w:r>
      <w:r w:rsidR="009A534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            </w:t>
      </w:r>
      <w:r w:rsidR="00AB0F02" w:rsidRPr="00AB0F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Статистические данные, предоставленные </w:t>
      </w:r>
      <w:proofErr w:type="spellStart"/>
      <w:r w:rsidR="00AB0F02" w:rsidRPr="00AB0F02">
        <w:rPr>
          <w:rFonts w:ascii="Times New Roman" w:eastAsia="Times New Roman" w:hAnsi="Times New Roman" w:cs="Times New Roman"/>
          <w:sz w:val="24"/>
          <w:szCs w:val="24"/>
          <w:lang w:eastAsia="ru-RU"/>
        </w:rPr>
        <w:t>Алтайкрайстатом</w:t>
      </w:r>
      <w:proofErr w:type="spellEnd"/>
      <w:r w:rsidR="00AB0F02" w:rsidRPr="00AB0F02">
        <w:rPr>
          <w:rFonts w:ascii="Times New Roman" w:eastAsia="Times New Roman" w:hAnsi="Times New Roman" w:cs="Times New Roman"/>
          <w:sz w:val="24"/>
          <w:szCs w:val="24"/>
          <w:lang w:eastAsia="ru-RU"/>
        </w:rPr>
        <w:t>, позволяют проследить динамику ключевых показателей городского развития за двухлетний период. Сравнение цифр 2023 и 2025 годов выявляет устойчивые тенденции, характеризующие пространственное и демографическое развитие крупнейшего города Алтайского края.</w:t>
      </w:r>
      <w:r w:rsidR="009A534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            </w:t>
      </w:r>
      <w:r w:rsidR="00AB0F02" w:rsidRPr="00AB0F02">
        <w:rPr>
          <w:rFonts w:ascii="Times New Roman" w:eastAsia="Times New Roman" w:hAnsi="Times New Roman" w:cs="Times New Roman"/>
          <w:sz w:val="24"/>
          <w:szCs w:val="24"/>
          <w:lang w:eastAsia="ru-RU"/>
        </w:rPr>
        <w:t>Анализ структуры жилищного фонда показывает последовательный рост доли многоквартирной застройки во всех административных районах Барнаула. Это свидетельствует о продолжении процессов активной урбанизации и концентрации жилого фонда в формате многоэтажных домов. Наиболее значительный абсолютный рост данного показателя наблюдается в Октябрьском районе: с 55,8% в 2023 году до 58,3% в 2025 году, что соответствует увеличению на 2,5 процентных пункта. Это связано с реализацией новых проектов комплексной жилой застройки в этом районе. В Центральном районе, традиционно обладающем максимальной долей многоквартирного фонда, показатель также увеличился с 75,2% до 76,8%. В Железнодорожном районе рост составил 0,6 процентных пункта (с 68,5% до 69,1%), а в Индустриальном – 2,4 процентных пункта (с 48,1% до 50,5%). Данная динамика подтверждает, что даже районы с относительно низкой исходной долей многоэтажного жилья, такие как Индустриальный, постепенно двигаются в сторону более плотной и компактной застройки.</w:t>
      </w:r>
      <w:r w:rsidR="009A534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           </w:t>
      </w:r>
      <w:r w:rsidR="00AB0F02" w:rsidRPr="00AB0F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Параллельно с изменением структуры фонда отмечается рост средней плотности населения. Этот показатель увеличился в каждом из четырёх районов, отражая общий тренд на повышение концентрации жителей в городской среде. Максимальный рост плотности зафиксирован в Железнодорожном районе: с 7 200 чел./кв. км до 7 350 чел./кв. км. Центральный район, несмотря на уже высокую плотность, также показал увеличение с 6 500 до 6 550 чел./кв. км. В Октябрьском районе плотность возросла с 5 800 до 5 950 чел./кв. км, а в Индустриальном – с 4 500 до 4 700 чел./кв. км. Умеренный, но последовательный рост плотности в последнем указывает на постепенное освоение его обширных территорий и привлечение новых </w:t>
      </w:r>
      <w:r w:rsidR="009A5347">
        <w:rPr>
          <w:rFonts w:ascii="Times New Roman" w:eastAsia="Times New Roman" w:hAnsi="Times New Roman" w:cs="Times New Roman"/>
          <w:sz w:val="24"/>
          <w:szCs w:val="24"/>
          <w:lang w:eastAsia="ru-RU"/>
        </w:rPr>
        <w:t>жителей</w:t>
      </w:r>
      <w:r w:rsidR="00AB0F02" w:rsidRPr="00AB0F0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9A534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        </w:t>
      </w:r>
      <w:r w:rsidR="009A5347" w:rsidRPr="00AB0F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A53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B0F02" w:rsidRPr="00AB0F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Сравнение данных позволяет сделать несколько выводов о развитии городской ткани. Во-первых, подтверждается устойчивая корреляция между двумя анализируемыми показателями: районы с более высокой долей многоквартирной застройки демонстрируют и </w:t>
      </w:r>
      <w:r w:rsidR="00AB0F02" w:rsidRPr="00AB0F02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более высокую плотность населения. Во-вторых, динамика изменений не является равномерной. Районы, уже достигшие высоких уровней урбанизации (Центральный, Железнодорожный), показывают более медленный рост, что может свидетельствовать о приближении к определённому насыщению. Районы с большим потенциалом развития (Октябрьский, Индустриальный) демонстрируют более заметную положительную динамику по обоим параметрам. Это отражает стратегию пространственного развития города, направленную на освоение и увеличение плотности з</w:t>
      </w:r>
      <w:r w:rsidR="00CA0663">
        <w:rPr>
          <w:rFonts w:ascii="Times New Roman" w:eastAsia="Times New Roman" w:hAnsi="Times New Roman" w:cs="Times New Roman"/>
          <w:sz w:val="24"/>
          <w:szCs w:val="24"/>
          <w:lang w:eastAsia="ru-RU"/>
        </w:rPr>
        <w:t>астройки в периферийных районах (табл.1).</w:t>
      </w:r>
      <w:r w:rsidR="009A534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          </w:t>
      </w:r>
      <w:r w:rsidR="00AB0F02" w:rsidRPr="00AB0F02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Таким образом, статистика за 2023-2025 годы иллюстрирует поступательное развитие Барнаула в сторону увеличения плотности жилой среды и концентрации населения. Эти процессы являются характерными для современных российских городов и отвечают задачам эффективного использования городс</w:t>
      </w:r>
      <w:r w:rsidR="00CA0663">
        <w:rPr>
          <w:rFonts w:ascii="Times New Roman" w:eastAsia="Times New Roman" w:hAnsi="Times New Roman" w:cs="Times New Roman"/>
          <w:sz w:val="24"/>
          <w:szCs w:val="24"/>
          <w:lang w:eastAsia="ru-RU"/>
        </w:rPr>
        <w:t>ких территорий и инфраструктуры (табл.1).</w:t>
      </w:r>
      <w:r w:rsidR="00CA066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                                                                                                                                        Таблица 1.</w:t>
      </w:r>
    </w:p>
    <w:p w:rsidR="00AB0F02" w:rsidRPr="00CA0663" w:rsidRDefault="00AB0F02" w:rsidP="00CA0663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066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Сравнительная таблица данных </w:t>
      </w:r>
      <w:proofErr w:type="spellStart"/>
      <w:r w:rsidRPr="00CA066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Алтайкрайстата</w:t>
      </w:r>
      <w:proofErr w:type="spellEnd"/>
      <w:r w:rsidRPr="00CA066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за 2023 и 2025 годы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3"/>
        <w:gridCol w:w="2180"/>
        <w:gridCol w:w="2180"/>
        <w:gridCol w:w="1615"/>
        <w:gridCol w:w="1630"/>
      </w:tblGrid>
      <w:tr w:rsidR="00AB0F02" w:rsidRPr="00AB0F02" w:rsidTr="00CA0663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AB0F02" w:rsidRPr="00CA0663" w:rsidRDefault="00AB0F02" w:rsidP="00AB0F0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CA066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Район Барнаула</w:t>
            </w:r>
          </w:p>
        </w:tc>
        <w:tc>
          <w:tcPr>
            <w:tcW w:w="0" w:type="auto"/>
            <w:vAlign w:val="center"/>
            <w:hideMark/>
          </w:tcPr>
          <w:p w:rsidR="00AB0F02" w:rsidRPr="00CA0663" w:rsidRDefault="00AB0F02" w:rsidP="00AB0F0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CA066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Доля многоквартирной застройки, % (2023)</w:t>
            </w:r>
          </w:p>
        </w:tc>
        <w:tc>
          <w:tcPr>
            <w:tcW w:w="0" w:type="auto"/>
            <w:vAlign w:val="center"/>
            <w:hideMark/>
          </w:tcPr>
          <w:p w:rsidR="00AB0F02" w:rsidRPr="00CA0663" w:rsidRDefault="00AB0F02" w:rsidP="00AB0F0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CA066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Доля многоквартирной застройки, % (2025)</w:t>
            </w:r>
          </w:p>
        </w:tc>
        <w:tc>
          <w:tcPr>
            <w:tcW w:w="0" w:type="auto"/>
            <w:vAlign w:val="center"/>
            <w:hideMark/>
          </w:tcPr>
          <w:p w:rsidR="00AB0F02" w:rsidRPr="00CA0663" w:rsidRDefault="00AB0F02" w:rsidP="00AB0F0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CA066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Средняя плотность населения, чел./кв. км (2023)</w:t>
            </w:r>
          </w:p>
        </w:tc>
        <w:tc>
          <w:tcPr>
            <w:tcW w:w="0" w:type="auto"/>
            <w:vAlign w:val="center"/>
            <w:hideMark/>
          </w:tcPr>
          <w:p w:rsidR="00AB0F02" w:rsidRPr="00CA0663" w:rsidRDefault="00AB0F02" w:rsidP="00AB0F0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CA066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Средняя плотность населения, чел./кв. км (2025)</w:t>
            </w:r>
          </w:p>
        </w:tc>
      </w:tr>
      <w:tr w:rsidR="00AB0F02" w:rsidRPr="00AB0F02" w:rsidTr="00CA0663">
        <w:trPr>
          <w:tblCellSpacing w:w="15" w:type="dxa"/>
        </w:trPr>
        <w:tc>
          <w:tcPr>
            <w:tcW w:w="0" w:type="auto"/>
            <w:vAlign w:val="center"/>
            <w:hideMark/>
          </w:tcPr>
          <w:p w:rsidR="00AB0F02" w:rsidRPr="00AB0F02" w:rsidRDefault="00AB0F02" w:rsidP="00AB0F0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F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Центральный</w:t>
            </w:r>
          </w:p>
        </w:tc>
        <w:tc>
          <w:tcPr>
            <w:tcW w:w="0" w:type="auto"/>
            <w:vAlign w:val="center"/>
            <w:hideMark/>
          </w:tcPr>
          <w:p w:rsidR="00AB0F02" w:rsidRPr="00AB0F02" w:rsidRDefault="00AB0F02" w:rsidP="00AB0F0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F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75,2</w:t>
            </w:r>
          </w:p>
        </w:tc>
        <w:tc>
          <w:tcPr>
            <w:tcW w:w="0" w:type="auto"/>
            <w:vAlign w:val="center"/>
            <w:hideMark/>
          </w:tcPr>
          <w:p w:rsidR="00AB0F02" w:rsidRPr="00AB0F02" w:rsidRDefault="00AB0F02" w:rsidP="00AB0F0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F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76,8</w:t>
            </w:r>
          </w:p>
        </w:tc>
        <w:tc>
          <w:tcPr>
            <w:tcW w:w="0" w:type="auto"/>
            <w:vAlign w:val="center"/>
            <w:hideMark/>
          </w:tcPr>
          <w:p w:rsidR="00AB0F02" w:rsidRPr="00AB0F02" w:rsidRDefault="00AB0F02" w:rsidP="00AB0F0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F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6 500</w:t>
            </w:r>
          </w:p>
        </w:tc>
        <w:tc>
          <w:tcPr>
            <w:tcW w:w="0" w:type="auto"/>
            <w:vAlign w:val="center"/>
            <w:hideMark/>
          </w:tcPr>
          <w:p w:rsidR="00AB0F02" w:rsidRPr="00AB0F02" w:rsidRDefault="00AB0F02" w:rsidP="00AB0F0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F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6 550</w:t>
            </w:r>
          </w:p>
        </w:tc>
      </w:tr>
      <w:tr w:rsidR="00AB0F02" w:rsidRPr="00AB0F02" w:rsidTr="00CA0663">
        <w:trPr>
          <w:tblCellSpacing w:w="15" w:type="dxa"/>
        </w:trPr>
        <w:tc>
          <w:tcPr>
            <w:tcW w:w="0" w:type="auto"/>
            <w:vAlign w:val="center"/>
            <w:hideMark/>
          </w:tcPr>
          <w:p w:rsidR="00AB0F02" w:rsidRPr="00AB0F02" w:rsidRDefault="00AB0F02" w:rsidP="00AB0F0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F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Железнодорожный</w:t>
            </w:r>
          </w:p>
        </w:tc>
        <w:tc>
          <w:tcPr>
            <w:tcW w:w="0" w:type="auto"/>
            <w:vAlign w:val="center"/>
            <w:hideMark/>
          </w:tcPr>
          <w:p w:rsidR="00AB0F02" w:rsidRPr="00AB0F02" w:rsidRDefault="00AB0F02" w:rsidP="00AB0F0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F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68,5</w:t>
            </w:r>
          </w:p>
        </w:tc>
        <w:tc>
          <w:tcPr>
            <w:tcW w:w="0" w:type="auto"/>
            <w:vAlign w:val="center"/>
            <w:hideMark/>
          </w:tcPr>
          <w:p w:rsidR="00AB0F02" w:rsidRPr="00AB0F02" w:rsidRDefault="00AB0F02" w:rsidP="00AB0F0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F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69,1</w:t>
            </w:r>
          </w:p>
        </w:tc>
        <w:tc>
          <w:tcPr>
            <w:tcW w:w="0" w:type="auto"/>
            <w:vAlign w:val="center"/>
            <w:hideMark/>
          </w:tcPr>
          <w:p w:rsidR="00AB0F02" w:rsidRPr="00AB0F02" w:rsidRDefault="00AB0F02" w:rsidP="00AB0F0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F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7 200</w:t>
            </w:r>
          </w:p>
        </w:tc>
        <w:tc>
          <w:tcPr>
            <w:tcW w:w="0" w:type="auto"/>
            <w:vAlign w:val="center"/>
            <w:hideMark/>
          </w:tcPr>
          <w:p w:rsidR="00AB0F02" w:rsidRPr="00AB0F02" w:rsidRDefault="00AB0F02" w:rsidP="00AB0F0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F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7 350</w:t>
            </w:r>
          </w:p>
        </w:tc>
      </w:tr>
      <w:tr w:rsidR="00AB0F02" w:rsidRPr="00AB0F02" w:rsidTr="00CA0663">
        <w:trPr>
          <w:tblCellSpacing w:w="15" w:type="dxa"/>
        </w:trPr>
        <w:tc>
          <w:tcPr>
            <w:tcW w:w="0" w:type="auto"/>
            <w:vAlign w:val="center"/>
            <w:hideMark/>
          </w:tcPr>
          <w:p w:rsidR="00AB0F02" w:rsidRPr="00AB0F02" w:rsidRDefault="00AB0F02" w:rsidP="00AB0F0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F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Октябрьский</w:t>
            </w:r>
          </w:p>
        </w:tc>
        <w:tc>
          <w:tcPr>
            <w:tcW w:w="0" w:type="auto"/>
            <w:vAlign w:val="center"/>
            <w:hideMark/>
          </w:tcPr>
          <w:p w:rsidR="00AB0F02" w:rsidRPr="00AB0F02" w:rsidRDefault="00AB0F02" w:rsidP="00AB0F0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F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55,8</w:t>
            </w:r>
          </w:p>
        </w:tc>
        <w:tc>
          <w:tcPr>
            <w:tcW w:w="0" w:type="auto"/>
            <w:vAlign w:val="center"/>
            <w:hideMark/>
          </w:tcPr>
          <w:p w:rsidR="00AB0F02" w:rsidRPr="00AB0F02" w:rsidRDefault="00AB0F02" w:rsidP="00AB0F0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F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58,3</w:t>
            </w:r>
          </w:p>
        </w:tc>
        <w:tc>
          <w:tcPr>
            <w:tcW w:w="0" w:type="auto"/>
            <w:vAlign w:val="center"/>
            <w:hideMark/>
          </w:tcPr>
          <w:p w:rsidR="00AB0F02" w:rsidRPr="00AB0F02" w:rsidRDefault="00AB0F02" w:rsidP="00AB0F0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F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5 800</w:t>
            </w:r>
          </w:p>
        </w:tc>
        <w:tc>
          <w:tcPr>
            <w:tcW w:w="0" w:type="auto"/>
            <w:vAlign w:val="center"/>
            <w:hideMark/>
          </w:tcPr>
          <w:p w:rsidR="00AB0F02" w:rsidRPr="00AB0F02" w:rsidRDefault="00AB0F02" w:rsidP="00AB0F0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F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5 950</w:t>
            </w:r>
          </w:p>
        </w:tc>
      </w:tr>
      <w:tr w:rsidR="00AB0F02" w:rsidRPr="00AB0F02" w:rsidTr="00CA0663">
        <w:trPr>
          <w:tblCellSpacing w:w="15" w:type="dxa"/>
        </w:trPr>
        <w:tc>
          <w:tcPr>
            <w:tcW w:w="0" w:type="auto"/>
            <w:vAlign w:val="center"/>
            <w:hideMark/>
          </w:tcPr>
          <w:p w:rsidR="00AB0F02" w:rsidRPr="00AB0F02" w:rsidRDefault="00AB0F02" w:rsidP="00AB0F0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F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Индустриальный</w:t>
            </w:r>
          </w:p>
        </w:tc>
        <w:tc>
          <w:tcPr>
            <w:tcW w:w="0" w:type="auto"/>
            <w:vAlign w:val="center"/>
            <w:hideMark/>
          </w:tcPr>
          <w:p w:rsidR="00AB0F02" w:rsidRPr="00AB0F02" w:rsidRDefault="00AB0F02" w:rsidP="00AB0F0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F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48,1</w:t>
            </w:r>
          </w:p>
        </w:tc>
        <w:tc>
          <w:tcPr>
            <w:tcW w:w="0" w:type="auto"/>
            <w:vAlign w:val="center"/>
            <w:hideMark/>
          </w:tcPr>
          <w:p w:rsidR="00AB0F02" w:rsidRPr="00AB0F02" w:rsidRDefault="00AB0F02" w:rsidP="00AB0F0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F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50,5</w:t>
            </w:r>
          </w:p>
        </w:tc>
        <w:tc>
          <w:tcPr>
            <w:tcW w:w="0" w:type="auto"/>
            <w:vAlign w:val="center"/>
            <w:hideMark/>
          </w:tcPr>
          <w:p w:rsidR="00AB0F02" w:rsidRPr="00AB0F02" w:rsidRDefault="00AB0F02" w:rsidP="00AB0F0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F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4 500</w:t>
            </w:r>
          </w:p>
        </w:tc>
        <w:tc>
          <w:tcPr>
            <w:tcW w:w="0" w:type="auto"/>
            <w:vAlign w:val="center"/>
            <w:hideMark/>
          </w:tcPr>
          <w:p w:rsidR="00AB0F02" w:rsidRPr="00AB0F02" w:rsidRDefault="00AB0F02" w:rsidP="00AB0F0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F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4 700</w:t>
            </w:r>
          </w:p>
        </w:tc>
      </w:tr>
    </w:tbl>
    <w:p w:rsidR="00AB0F02" w:rsidRPr="00AB0F02" w:rsidRDefault="00AB0F02" w:rsidP="00AB0F0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F02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Источники: Данные </w:t>
      </w:r>
      <w:proofErr w:type="spellStart"/>
      <w:r w:rsidRPr="00AB0F02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Алтайкрайстата</w:t>
      </w:r>
      <w:proofErr w:type="spellEnd"/>
      <w:r w:rsidRPr="00AB0F02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за 2023 и 2025 гг.</w:t>
      </w:r>
    </w:p>
    <w:p w:rsidR="000553FF" w:rsidRPr="000553FF" w:rsidRDefault="000553FF" w:rsidP="000553F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553F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Пространственные демографические сдвиги сопряжены с рисками усиления нагрузки на инфраструктуру в растущих районах [1, c. 125], роста маятниковой миграции [3, c. 78] и усиления социального расслоения.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0553FF">
        <w:rPr>
          <w:rFonts w:ascii="Times New Roman" w:eastAsia="Times New Roman" w:hAnsi="Times New Roman" w:cs="Times New Roman"/>
          <w:sz w:val="24"/>
          <w:szCs w:val="24"/>
          <w:lang w:eastAsia="ru-RU"/>
        </w:rPr>
        <w:t>Эффективное управление требует комплексного подхода: сбалансированное территориальное планирование [2, c. 45], развитие транспортной системы, стимулирование комплексного развития территорий и применение градостроительных инструментов.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0553F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Пространственные аспекты демографического развития Барнаула представляют собой сложную систему. Целенаправленное применение предложенных механизмов позволит обеспечить более сбалансированное и устойчивое демографическое будущее города.</w:t>
      </w:r>
    </w:p>
    <w:p w:rsidR="000553FF" w:rsidRPr="000553FF" w:rsidRDefault="000553FF" w:rsidP="00406177">
      <w:pPr>
        <w:tabs>
          <w:tab w:val="left" w:pos="709"/>
        </w:tabs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553F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Библиографический список</w:t>
      </w:r>
      <w:r w:rsidR="005E136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4061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1. </w:t>
      </w:r>
      <w:r w:rsidRPr="000553FF">
        <w:rPr>
          <w:rFonts w:ascii="Times New Roman" w:eastAsia="Times New Roman" w:hAnsi="Times New Roman" w:cs="Times New Roman"/>
          <w:sz w:val="24"/>
          <w:szCs w:val="24"/>
          <w:lang w:eastAsia="ru-RU"/>
        </w:rPr>
        <w:t>Глушкова, В. Г. Территориальная организация населения / В. Г. Глушкова. – М.: Университетская книга, 2016. – 272 с.</w:t>
      </w:r>
      <w:r w:rsidR="004061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          2. </w:t>
      </w:r>
      <w:r w:rsidRPr="000553F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Кузьминых, А. В. Пространственная структура городов: методология изучения и развития / А. В. Кузьминых. – Барнаул: Изд-во </w:t>
      </w:r>
      <w:proofErr w:type="spellStart"/>
      <w:r w:rsidRPr="000553FF">
        <w:rPr>
          <w:rFonts w:ascii="Times New Roman" w:eastAsia="Times New Roman" w:hAnsi="Times New Roman" w:cs="Times New Roman"/>
          <w:sz w:val="24"/>
          <w:szCs w:val="24"/>
          <w:lang w:eastAsia="ru-RU"/>
        </w:rPr>
        <w:t>Алт</w:t>
      </w:r>
      <w:proofErr w:type="spellEnd"/>
      <w:r w:rsidRPr="000553FF">
        <w:rPr>
          <w:rFonts w:ascii="Times New Roman" w:eastAsia="Times New Roman" w:hAnsi="Times New Roman" w:cs="Times New Roman"/>
          <w:sz w:val="24"/>
          <w:szCs w:val="24"/>
          <w:lang w:eastAsia="ru-RU"/>
        </w:rPr>
        <w:t>. гос. ун-та, 2019. – 180 с.</w:t>
      </w:r>
      <w:r w:rsidR="004061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         </w:t>
      </w:r>
      <w:r w:rsidR="00406177" w:rsidRPr="004061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3. </w:t>
      </w:r>
      <w:r w:rsidRPr="000553F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Musterd, S. Urban Development and Social Segregation / S. </w:t>
      </w:r>
      <w:proofErr w:type="spellStart"/>
      <w:r w:rsidRPr="000553F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Musterd</w:t>
      </w:r>
      <w:proofErr w:type="spellEnd"/>
      <w:r w:rsidRPr="000553F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W. </w:t>
      </w:r>
      <w:proofErr w:type="spellStart"/>
      <w:r w:rsidRPr="000553F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Ostendorf</w:t>
      </w:r>
      <w:proofErr w:type="spellEnd"/>
      <w:r w:rsidRPr="000553F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– Dordrecht: Springer, 2013. – 220 p.</w:t>
      </w:r>
    </w:p>
    <w:p w:rsidR="000553FF" w:rsidRPr="001A63D2" w:rsidRDefault="005E136D" w:rsidP="005E136D">
      <w:pPr>
        <w:tabs>
          <w:tab w:val="left" w:pos="709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0617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                                                   </w:t>
      </w:r>
      <w:r w:rsidR="000553FF" w:rsidRPr="000553F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Информация об авторе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4061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</w:t>
      </w:r>
      <w:proofErr w:type="spellStart"/>
      <w:r w:rsidR="000553FF" w:rsidRPr="004061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Заречнева</w:t>
      </w:r>
      <w:proofErr w:type="spellEnd"/>
      <w:r w:rsidR="000553FF" w:rsidRPr="004061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Анастасия Олеговна</w:t>
      </w:r>
      <w:r w:rsidR="000553FF" w:rsidRPr="000553F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(Россия, Барнаул)</w:t>
      </w:r>
      <w:r w:rsidR="000553FF" w:rsidRPr="000553F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</w:t>
      </w:r>
      <w:r w:rsidR="00DE61FD">
        <w:rPr>
          <w:rFonts w:ascii="Times New Roman" w:eastAsia="Times New Roman" w:hAnsi="Times New Roman" w:cs="Times New Roman"/>
          <w:sz w:val="24"/>
          <w:szCs w:val="24"/>
          <w:lang w:eastAsia="ru-RU"/>
        </w:rPr>
        <w:t>студент, 2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E61FD">
        <w:rPr>
          <w:rFonts w:ascii="Times New Roman" w:eastAsia="Times New Roman" w:hAnsi="Times New Roman" w:cs="Times New Roman"/>
          <w:sz w:val="24"/>
          <w:szCs w:val="24"/>
          <w:lang w:eastAsia="ru-RU"/>
        </w:rPr>
        <w:t>курс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DE61FD">
        <w:rPr>
          <w:rFonts w:ascii="Times New Roman" w:eastAsia="Times New Roman" w:hAnsi="Times New Roman" w:cs="Times New Roman"/>
          <w:sz w:val="24"/>
          <w:szCs w:val="24"/>
          <w:lang w:eastAsia="ru-RU"/>
        </w:rPr>
        <w:t>магистратура,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E61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институт гуманитарных наук, социология, </w:t>
      </w:r>
      <w:r w:rsidR="000553FF" w:rsidRPr="000553FF">
        <w:rPr>
          <w:rFonts w:ascii="Times New Roman" w:eastAsia="Times New Roman" w:hAnsi="Times New Roman" w:cs="Times New Roman"/>
          <w:sz w:val="24"/>
          <w:szCs w:val="24"/>
          <w:lang w:eastAsia="ru-RU"/>
        </w:rPr>
        <w:t>Алтайский государственный университет (656049, г. Барнаул, пр. Ленина</w:t>
      </w:r>
      <w:r w:rsidR="000553FF" w:rsidRPr="001A63D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</w:t>
      </w:r>
      <w:r w:rsidR="00DE61FD" w:rsidRPr="001A63D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66</w:t>
      </w:r>
      <w:r w:rsidR="000553FF" w:rsidRPr="001A63D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</w:t>
      </w:r>
      <w:r w:rsidR="000553F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anikina</w:t>
      </w:r>
      <w:r w:rsidR="000553FF" w:rsidRPr="001A63D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r w:rsidR="000553F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vbrbrbrb</w:t>
      </w:r>
      <w:r w:rsidR="000553FF" w:rsidRPr="001A63D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@</w:t>
      </w:r>
      <w:r w:rsidR="000553F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mail</w:t>
      </w:r>
      <w:r w:rsidR="000553FF" w:rsidRPr="001A63D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r w:rsidR="000553F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ru</w:t>
      </w:r>
      <w:r w:rsidR="000553FF" w:rsidRPr="001A63D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).</w:t>
      </w:r>
    </w:p>
    <w:p w:rsidR="000553FF" w:rsidRPr="001A63D2" w:rsidRDefault="00CA0663" w:rsidP="000553F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A63D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lastRenderedPageBreak/>
        <w:t xml:space="preserve">                                                                                                                     </w:t>
      </w:r>
      <w:r w:rsidR="00DE61F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Zarechneva</w:t>
      </w:r>
      <w:r w:rsidR="000553FF" w:rsidRPr="001A63D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DE61F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</w:t>
      </w:r>
      <w:r w:rsidR="000553FF" w:rsidRPr="001A63D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r w:rsidR="00DE61F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</w:t>
      </w:r>
      <w:r w:rsidR="00DE61FD" w:rsidRPr="001A63D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</w:p>
    <w:p w:rsidR="000553FF" w:rsidRPr="000553FF" w:rsidRDefault="000553FF" w:rsidP="005E136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553FF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SPATIAL ASPECTS OF THE DEMOGRAPHIC DEVELOPMENT OF BARNAUL: STRUCTURAL SHIFTS, RISKS AND REGULATORY MECHANISMS</w:t>
      </w:r>
    </w:p>
    <w:p w:rsidR="000553FF" w:rsidRPr="000553FF" w:rsidRDefault="005E136D" w:rsidP="005E136D">
      <w:pPr>
        <w:tabs>
          <w:tab w:val="left" w:pos="709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5E136D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          </w:t>
      </w:r>
      <w:r w:rsidR="000553FF" w:rsidRPr="000553FF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Annotation:</w:t>
      </w:r>
      <w:r w:rsidR="000553FF" w:rsidRPr="000553F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The article examines the spatial aspects of demographic processes in Barnaul. Structural shifts in population settlement </w:t>
      </w:r>
      <w:proofErr w:type="gramStart"/>
      <w:r w:rsidR="000553FF" w:rsidRPr="000553F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are analyzed</w:t>
      </w:r>
      <w:proofErr w:type="gramEnd"/>
      <w:r w:rsidR="000553FF" w:rsidRPr="000553F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associated risks are identified, and regulatory mechanisms for sustainable urban development are proposed.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5E136D">
        <w:rPr>
          <w:rFonts w:ascii="Times New Roman" w:eastAsia="Times New Roman" w:hAnsi="Times New Roman" w:cs="Times New Roman"/>
          <w:b/>
          <w:iCs/>
          <w:sz w:val="24"/>
          <w:szCs w:val="24"/>
          <w:lang w:val="en-US" w:eastAsia="ru-RU"/>
        </w:rPr>
        <w:t xml:space="preserve">           </w:t>
      </w:r>
      <w:r w:rsidR="000553FF" w:rsidRPr="005E136D">
        <w:rPr>
          <w:rFonts w:ascii="Times New Roman" w:eastAsia="Times New Roman" w:hAnsi="Times New Roman" w:cs="Times New Roman"/>
          <w:b/>
          <w:iCs/>
          <w:sz w:val="24"/>
          <w:szCs w:val="24"/>
          <w:lang w:val="en-US" w:eastAsia="ru-RU"/>
        </w:rPr>
        <w:t>Keywords:</w:t>
      </w:r>
      <w:r w:rsidR="000553FF" w:rsidRPr="000553F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r w:rsidR="000553FF" w:rsidRPr="005E136D">
        <w:rPr>
          <w:rFonts w:ascii="Times New Roman" w:eastAsia="Times New Roman" w:hAnsi="Times New Roman" w:cs="Times New Roman"/>
          <w:iCs/>
          <w:sz w:val="24"/>
          <w:szCs w:val="24"/>
          <w:lang w:val="en-US" w:eastAsia="ru-RU"/>
        </w:rPr>
        <w:t>Barnaul, demography, spatial development, structural shifts, risks, regulatory mechanisms.</w:t>
      </w:r>
    </w:p>
    <w:p w:rsidR="000553FF" w:rsidRPr="000553FF" w:rsidRDefault="005E136D" w:rsidP="005E136D">
      <w:pPr>
        <w:tabs>
          <w:tab w:val="left" w:pos="709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5E136D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                                                </w:t>
      </w:r>
      <w:r w:rsidR="000553FF" w:rsidRPr="000553FF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Information about the author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br/>
      </w:r>
      <w:r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           </w:t>
      </w:r>
      <w:proofErr w:type="spellStart"/>
      <w:r w:rsidRPr="005E136D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Zarechneva</w:t>
      </w:r>
      <w:proofErr w:type="spellEnd"/>
      <w:r w:rsidRPr="005E136D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Anastasia </w:t>
      </w:r>
      <w:proofErr w:type="spellStart"/>
      <w:r w:rsidRPr="005E136D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Olegovna</w:t>
      </w:r>
      <w:proofErr w:type="spellEnd"/>
      <w:r w:rsidRPr="005E136D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(Barnaul, Russia)</w:t>
      </w:r>
      <w:r w:rsidRPr="005E136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– 2nd year student, Master's degree, Institute of Humanities, Sociology, Altai State University (66 Lenin Ave., Barnaul, 656049, anikina.vbrbrbrb@mail.ru ).</w:t>
      </w:r>
    </w:p>
    <w:p w:rsidR="005E136D" w:rsidRPr="005E136D" w:rsidRDefault="005E136D" w:rsidP="005E136D">
      <w:pPr>
        <w:tabs>
          <w:tab w:val="left" w:pos="709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5E136D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                                                      </w:t>
      </w:r>
      <w:r w:rsidR="000553FF" w:rsidRPr="005E136D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Bibliographic list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1A63D2">
        <w:rPr>
          <w:rFonts w:ascii="Times New Roman" w:hAnsi="Times New Roman" w:cs="Times New Roman"/>
          <w:sz w:val="24"/>
          <w:szCs w:val="28"/>
          <w:lang w:val="en-US"/>
        </w:rPr>
        <w:t xml:space="preserve">           </w:t>
      </w:r>
      <w:proofErr w:type="gramStart"/>
      <w:r w:rsidRPr="005E136D">
        <w:rPr>
          <w:rFonts w:ascii="Times New Roman" w:hAnsi="Times New Roman" w:cs="Times New Roman"/>
          <w:sz w:val="24"/>
          <w:szCs w:val="28"/>
          <w:lang w:val="en-US"/>
        </w:rPr>
        <w:t>1</w:t>
      </w:r>
      <w:proofErr w:type="gramEnd"/>
      <w:r w:rsidRPr="005E136D">
        <w:rPr>
          <w:rFonts w:ascii="Times New Roman" w:hAnsi="Times New Roman" w:cs="Times New Roman"/>
          <w:sz w:val="24"/>
          <w:szCs w:val="28"/>
          <w:lang w:val="en-US"/>
        </w:rPr>
        <w:t xml:space="preserve">. </w:t>
      </w:r>
      <w:proofErr w:type="spellStart"/>
      <w:r w:rsidRPr="005E136D">
        <w:rPr>
          <w:rFonts w:ascii="Times New Roman" w:hAnsi="Times New Roman" w:cs="Times New Roman"/>
          <w:sz w:val="24"/>
          <w:szCs w:val="28"/>
          <w:lang w:val="en-US"/>
        </w:rPr>
        <w:t>Glushkova</w:t>
      </w:r>
      <w:proofErr w:type="spellEnd"/>
      <w:r w:rsidRPr="005E136D">
        <w:rPr>
          <w:rFonts w:ascii="Times New Roman" w:hAnsi="Times New Roman" w:cs="Times New Roman"/>
          <w:sz w:val="24"/>
          <w:szCs w:val="28"/>
          <w:lang w:val="en-US"/>
        </w:rPr>
        <w:t xml:space="preserve">, V. G. Territorial organization of the population / V. G. </w:t>
      </w:r>
      <w:proofErr w:type="spellStart"/>
      <w:r w:rsidRPr="005E136D">
        <w:rPr>
          <w:rFonts w:ascii="Times New Roman" w:hAnsi="Times New Roman" w:cs="Times New Roman"/>
          <w:sz w:val="24"/>
          <w:szCs w:val="28"/>
          <w:lang w:val="en-US"/>
        </w:rPr>
        <w:t>Glushkova</w:t>
      </w:r>
      <w:proofErr w:type="spellEnd"/>
      <w:r w:rsidRPr="005E136D">
        <w:rPr>
          <w:rFonts w:ascii="Times New Roman" w:hAnsi="Times New Roman" w:cs="Times New Roman"/>
          <w:sz w:val="24"/>
          <w:szCs w:val="28"/>
          <w:lang w:val="en-US"/>
        </w:rPr>
        <w:t>. – M.: University book, 2016. – 272 p.</w:t>
      </w:r>
    </w:p>
    <w:p w:rsidR="005E136D" w:rsidRPr="005E136D" w:rsidRDefault="005E136D" w:rsidP="005E136D">
      <w:pPr>
        <w:rPr>
          <w:rFonts w:ascii="Times New Roman" w:hAnsi="Times New Roman" w:cs="Times New Roman"/>
          <w:sz w:val="24"/>
          <w:szCs w:val="28"/>
          <w:lang w:val="en-US"/>
        </w:rPr>
      </w:pPr>
      <w:r w:rsidRPr="005E136D">
        <w:rPr>
          <w:rFonts w:ascii="Times New Roman" w:hAnsi="Times New Roman" w:cs="Times New Roman"/>
          <w:sz w:val="24"/>
          <w:szCs w:val="28"/>
          <w:lang w:val="en-US"/>
        </w:rPr>
        <w:t xml:space="preserve">           2. </w:t>
      </w:r>
      <w:proofErr w:type="spellStart"/>
      <w:r w:rsidRPr="005E136D">
        <w:rPr>
          <w:rFonts w:ascii="Times New Roman" w:hAnsi="Times New Roman" w:cs="Times New Roman"/>
          <w:sz w:val="24"/>
          <w:szCs w:val="28"/>
          <w:lang w:val="en-US"/>
        </w:rPr>
        <w:t>Kuzminykh</w:t>
      </w:r>
      <w:proofErr w:type="spellEnd"/>
      <w:r w:rsidRPr="005E136D">
        <w:rPr>
          <w:rFonts w:ascii="Times New Roman" w:hAnsi="Times New Roman" w:cs="Times New Roman"/>
          <w:sz w:val="24"/>
          <w:szCs w:val="28"/>
          <w:lang w:val="en-US"/>
        </w:rPr>
        <w:t xml:space="preserve">, A.V. Spatial structure of cities: methodology of study and development / A.V. </w:t>
      </w:r>
      <w:proofErr w:type="spellStart"/>
      <w:r w:rsidRPr="005E136D">
        <w:rPr>
          <w:rFonts w:ascii="Times New Roman" w:hAnsi="Times New Roman" w:cs="Times New Roman"/>
          <w:sz w:val="24"/>
          <w:szCs w:val="28"/>
          <w:lang w:val="en-US"/>
        </w:rPr>
        <w:t>Kuzminykh</w:t>
      </w:r>
      <w:proofErr w:type="spellEnd"/>
      <w:r w:rsidRPr="005E136D">
        <w:rPr>
          <w:rFonts w:ascii="Times New Roman" w:hAnsi="Times New Roman" w:cs="Times New Roman"/>
          <w:sz w:val="24"/>
          <w:szCs w:val="28"/>
          <w:lang w:val="en-US"/>
        </w:rPr>
        <w:t xml:space="preserve">.  Barnaul: Publishing house of the Alt. state University, 2019. </w:t>
      </w:r>
      <w:proofErr w:type="gramStart"/>
      <w:r w:rsidRPr="005E136D">
        <w:rPr>
          <w:rFonts w:ascii="Times New Roman" w:hAnsi="Times New Roman" w:cs="Times New Roman"/>
          <w:sz w:val="24"/>
          <w:szCs w:val="28"/>
          <w:lang w:val="en-US"/>
        </w:rPr>
        <w:t>180</w:t>
      </w:r>
      <w:proofErr w:type="gramEnd"/>
      <w:r w:rsidRPr="005E136D">
        <w:rPr>
          <w:rFonts w:ascii="Times New Roman" w:hAnsi="Times New Roman" w:cs="Times New Roman"/>
          <w:sz w:val="24"/>
          <w:szCs w:val="28"/>
          <w:lang w:val="en-US"/>
        </w:rPr>
        <w:t xml:space="preserve"> p.</w:t>
      </w:r>
    </w:p>
    <w:p w:rsidR="00863EAE" w:rsidRPr="00891B90" w:rsidRDefault="005E136D" w:rsidP="005E136D">
      <w:pPr>
        <w:tabs>
          <w:tab w:val="left" w:pos="709"/>
        </w:tabs>
        <w:rPr>
          <w:rFonts w:ascii="Times New Roman" w:hAnsi="Times New Roman" w:cs="Times New Roman"/>
          <w:sz w:val="24"/>
          <w:szCs w:val="28"/>
          <w:lang w:val="en-US"/>
        </w:rPr>
      </w:pPr>
      <w:r w:rsidRPr="005E136D">
        <w:rPr>
          <w:rFonts w:ascii="Times New Roman" w:hAnsi="Times New Roman" w:cs="Times New Roman"/>
          <w:sz w:val="24"/>
          <w:szCs w:val="28"/>
          <w:lang w:val="en-US"/>
        </w:rPr>
        <w:t xml:space="preserve">           3.</w:t>
      </w:r>
      <w:r w:rsidRPr="005E136D">
        <w:rPr>
          <w:rFonts w:ascii="Times New Roman" w:hAnsi="Times New Roman" w:cs="Times New Roman"/>
          <w:sz w:val="24"/>
          <w:szCs w:val="28"/>
          <w:lang w:val="en-US"/>
        </w:rPr>
        <w:tab/>
      </w:r>
      <w:proofErr w:type="spellStart"/>
      <w:r w:rsidRPr="005E136D">
        <w:rPr>
          <w:rFonts w:ascii="Times New Roman" w:hAnsi="Times New Roman" w:cs="Times New Roman"/>
          <w:sz w:val="24"/>
          <w:szCs w:val="28"/>
          <w:lang w:val="en-US"/>
        </w:rPr>
        <w:t>Musterd</w:t>
      </w:r>
      <w:proofErr w:type="spellEnd"/>
      <w:r w:rsidRPr="005E136D">
        <w:rPr>
          <w:rFonts w:ascii="Times New Roman" w:hAnsi="Times New Roman" w:cs="Times New Roman"/>
          <w:sz w:val="24"/>
          <w:szCs w:val="28"/>
          <w:lang w:val="en-US"/>
        </w:rPr>
        <w:t xml:space="preserve">, S. Urban Development and Social Segregation / S. </w:t>
      </w:r>
      <w:proofErr w:type="spellStart"/>
      <w:r w:rsidRPr="005E136D">
        <w:rPr>
          <w:rFonts w:ascii="Times New Roman" w:hAnsi="Times New Roman" w:cs="Times New Roman"/>
          <w:sz w:val="24"/>
          <w:szCs w:val="28"/>
          <w:lang w:val="en-US"/>
        </w:rPr>
        <w:t>Musterd</w:t>
      </w:r>
      <w:proofErr w:type="spellEnd"/>
      <w:r w:rsidRPr="005E136D">
        <w:rPr>
          <w:rFonts w:ascii="Times New Roman" w:hAnsi="Times New Roman" w:cs="Times New Roman"/>
          <w:sz w:val="24"/>
          <w:szCs w:val="28"/>
          <w:lang w:val="en-US"/>
        </w:rPr>
        <w:t xml:space="preserve">, W. </w:t>
      </w:r>
      <w:proofErr w:type="spellStart"/>
      <w:r w:rsidRPr="005E136D">
        <w:rPr>
          <w:rFonts w:ascii="Times New Roman" w:hAnsi="Times New Roman" w:cs="Times New Roman"/>
          <w:sz w:val="24"/>
          <w:szCs w:val="28"/>
          <w:lang w:val="en-US"/>
        </w:rPr>
        <w:t>Ostendorf</w:t>
      </w:r>
      <w:proofErr w:type="spellEnd"/>
      <w:r w:rsidRPr="005E136D">
        <w:rPr>
          <w:rFonts w:ascii="Times New Roman" w:hAnsi="Times New Roman" w:cs="Times New Roman"/>
          <w:sz w:val="24"/>
          <w:szCs w:val="28"/>
          <w:lang w:val="en-US"/>
        </w:rPr>
        <w:t>. – Dordrecht: Springer, 2013. – 220 p.</w:t>
      </w:r>
    </w:p>
    <w:sectPr w:rsidR="00863EAE" w:rsidRPr="00891B90" w:rsidSect="001A63D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CEF0394"/>
    <w:multiLevelType w:val="multilevel"/>
    <w:tmpl w:val="FF32D7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66C0131"/>
    <w:multiLevelType w:val="multilevel"/>
    <w:tmpl w:val="AD5E7A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19C2B92"/>
    <w:multiLevelType w:val="multilevel"/>
    <w:tmpl w:val="96A0EE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1B90"/>
    <w:rsid w:val="000553FF"/>
    <w:rsid w:val="001A63D2"/>
    <w:rsid w:val="00406177"/>
    <w:rsid w:val="005E136D"/>
    <w:rsid w:val="00863EAE"/>
    <w:rsid w:val="00891B90"/>
    <w:rsid w:val="00894FB1"/>
    <w:rsid w:val="009A5347"/>
    <w:rsid w:val="00AB0F02"/>
    <w:rsid w:val="00CA0663"/>
    <w:rsid w:val="00DE61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F2C32CC-2DC6-41C4-BB34-A5A8C1C696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553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0553FF"/>
    <w:rPr>
      <w:b/>
      <w:bCs/>
    </w:rPr>
  </w:style>
  <w:style w:type="character" w:styleId="a5">
    <w:name w:val="Emphasis"/>
    <w:basedOn w:val="a0"/>
    <w:uiPriority w:val="20"/>
    <w:qFormat/>
    <w:rsid w:val="000553F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824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1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81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84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3</Pages>
  <Words>1185</Words>
  <Characters>6758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Учетная запись Майкрософт</dc:creator>
  <cp:keywords/>
  <dc:description/>
  <cp:lastModifiedBy>Учетная запись Майкрософт</cp:lastModifiedBy>
  <cp:revision>2</cp:revision>
  <dcterms:created xsi:type="dcterms:W3CDTF">2026-03-10T03:53:00Z</dcterms:created>
  <dcterms:modified xsi:type="dcterms:W3CDTF">2026-03-10T06:39:00Z</dcterms:modified>
</cp:coreProperties>
</file>