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E754FC" w14:textId="3736F33D" w:rsidR="008053B3" w:rsidRPr="00640134" w:rsidRDefault="008053B3" w:rsidP="00220E24">
      <w:pPr>
        <w:spacing w:after="0" w:line="240" w:lineRule="auto"/>
        <w:ind w:firstLine="709"/>
        <w:rPr>
          <w:rFonts w:ascii="Times New Roman" w:hAnsi="Times New Roman" w:cs="Times New Roman"/>
          <w:b/>
          <w:bCs/>
          <w:sz w:val="24"/>
          <w:szCs w:val="24"/>
        </w:rPr>
      </w:pPr>
      <w:r w:rsidRPr="00640134">
        <w:rPr>
          <w:rFonts w:ascii="Times New Roman" w:hAnsi="Times New Roman" w:cs="Times New Roman"/>
          <w:b/>
          <w:bCs/>
          <w:sz w:val="24"/>
          <w:szCs w:val="24"/>
        </w:rPr>
        <w:t>УДК 332.02</w:t>
      </w:r>
      <w:r w:rsidR="00F3674E">
        <w:rPr>
          <w:rFonts w:ascii="Times New Roman" w:hAnsi="Times New Roman" w:cs="Times New Roman"/>
          <w:b/>
          <w:bCs/>
          <w:sz w:val="24"/>
          <w:szCs w:val="24"/>
        </w:rPr>
        <w:t xml:space="preserve"> </w:t>
      </w:r>
      <w:r w:rsidR="00220E24">
        <w:rPr>
          <w:rFonts w:ascii="Times New Roman" w:hAnsi="Times New Roman" w:cs="Times New Roman"/>
          <w:b/>
          <w:bCs/>
          <w:sz w:val="24"/>
          <w:szCs w:val="24"/>
        </w:rPr>
        <w:t>/</w:t>
      </w:r>
      <w:r w:rsidR="00F3674E">
        <w:rPr>
          <w:rFonts w:ascii="Times New Roman" w:hAnsi="Times New Roman" w:cs="Times New Roman"/>
          <w:b/>
          <w:bCs/>
          <w:sz w:val="24"/>
          <w:szCs w:val="24"/>
        </w:rPr>
        <w:t xml:space="preserve"> </w:t>
      </w:r>
      <w:r w:rsidRPr="00640134">
        <w:rPr>
          <w:rFonts w:ascii="Times New Roman" w:hAnsi="Times New Roman" w:cs="Times New Roman"/>
          <w:b/>
          <w:bCs/>
          <w:sz w:val="24"/>
          <w:szCs w:val="24"/>
        </w:rPr>
        <w:t>ББК 65.050</w:t>
      </w:r>
    </w:p>
    <w:p w14:paraId="08447C56" w14:textId="3F0B6652" w:rsidR="008053B3" w:rsidRPr="00640134" w:rsidRDefault="008053B3" w:rsidP="00C00DAA">
      <w:pPr>
        <w:spacing w:after="0" w:line="240" w:lineRule="auto"/>
        <w:ind w:firstLine="709"/>
        <w:jc w:val="right"/>
        <w:rPr>
          <w:rFonts w:ascii="Times New Roman" w:hAnsi="Times New Roman" w:cs="Times New Roman"/>
          <w:b/>
          <w:bCs/>
          <w:sz w:val="24"/>
          <w:szCs w:val="24"/>
        </w:rPr>
      </w:pPr>
      <w:r w:rsidRPr="00640134">
        <w:rPr>
          <w:rFonts w:ascii="Times New Roman" w:hAnsi="Times New Roman" w:cs="Times New Roman"/>
          <w:b/>
          <w:bCs/>
          <w:sz w:val="24"/>
          <w:szCs w:val="24"/>
        </w:rPr>
        <w:t>Михалко Н.Н.</w:t>
      </w:r>
    </w:p>
    <w:p w14:paraId="4662B53A" w14:textId="0913CBD6" w:rsidR="008053B3" w:rsidRPr="00640134" w:rsidRDefault="008053B3" w:rsidP="00640134">
      <w:pPr>
        <w:spacing w:after="0" w:line="240" w:lineRule="auto"/>
        <w:jc w:val="center"/>
        <w:rPr>
          <w:rFonts w:ascii="Times New Roman" w:hAnsi="Times New Roman" w:cs="Times New Roman"/>
          <w:b/>
          <w:bCs/>
          <w:sz w:val="24"/>
          <w:szCs w:val="24"/>
        </w:rPr>
      </w:pPr>
      <w:bookmarkStart w:id="0" w:name="_Hlk185427746"/>
      <w:r w:rsidRPr="00640134">
        <w:rPr>
          <w:rFonts w:ascii="Times New Roman" w:hAnsi="Times New Roman" w:cs="Times New Roman"/>
          <w:b/>
          <w:bCs/>
          <w:sz w:val="24"/>
          <w:szCs w:val="24"/>
        </w:rPr>
        <w:t>Инициативное бюджетирование в Российской Федерации</w:t>
      </w:r>
      <w:r w:rsidR="00220E24">
        <w:rPr>
          <w:rFonts w:ascii="Times New Roman" w:hAnsi="Times New Roman" w:cs="Times New Roman"/>
          <w:b/>
          <w:bCs/>
          <w:sz w:val="24"/>
          <w:szCs w:val="24"/>
        </w:rPr>
        <w:t xml:space="preserve"> на региональном и местном уровне власти (на примере Вологодской области)</w:t>
      </w:r>
    </w:p>
    <w:bookmarkEnd w:id="0"/>
    <w:p w14:paraId="50A05256" w14:textId="77777777" w:rsidR="008053B3" w:rsidRPr="00640134" w:rsidRDefault="008053B3" w:rsidP="00640134">
      <w:pPr>
        <w:spacing w:after="0" w:line="240" w:lineRule="auto"/>
        <w:rPr>
          <w:rFonts w:ascii="Times New Roman" w:hAnsi="Times New Roman" w:cs="Times New Roman"/>
          <w:b/>
          <w:bCs/>
          <w:sz w:val="24"/>
          <w:szCs w:val="24"/>
        </w:rPr>
      </w:pPr>
    </w:p>
    <w:p w14:paraId="31838B47" w14:textId="30529AB1" w:rsidR="008053B3" w:rsidRPr="00021D01" w:rsidRDefault="00432B72" w:rsidP="00432B72">
      <w:pPr>
        <w:spacing w:after="0" w:line="240" w:lineRule="auto"/>
        <w:ind w:firstLine="709"/>
        <w:jc w:val="both"/>
        <w:rPr>
          <w:rFonts w:ascii="Times New Roman" w:hAnsi="Times New Roman" w:cs="Times New Roman"/>
          <w:sz w:val="24"/>
          <w:szCs w:val="24"/>
        </w:rPr>
      </w:pPr>
      <w:bookmarkStart w:id="1" w:name="_Hlk181003058"/>
      <w:r w:rsidRPr="00021D01">
        <w:rPr>
          <w:rFonts w:ascii="Times New Roman" w:hAnsi="Times New Roman" w:cs="Times New Roman"/>
          <w:sz w:val="24"/>
          <w:szCs w:val="24"/>
        </w:rPr>
        <w:t xml:space="preserve">Ключевой тенденцией в сфере инициативного бюджетирования с 2018 года остается активное развитие данного механизма на местном уровне власти. </w:t>
      </w:r>
      <w:r w:rsidR="008053B3" w:rsidRPr="00021D01">
        <w:rPr>
          <w:rFonts w:ascii="Times New Roman" w:hAnsi="Times New Roman" w:cs="Times New Roman"/>
          <w:sz w:val="24"/>
          <w:szCs w:val="24"/>
        </w:rPr>
        <w:t>Результаты</w:t>
      </w:r>
      <w:r w:rsidRPr="00021D01">
        <w:rPr>
          <w:rFonts w:ascii="Times New Roman" w:hAnsi="Times New Roman" w:cs="Times New Roman"/>
          <w:sz w:val="24"/>
          <w:szCs w:val="24"/>
        </w:rPr>
        <w:t xml:space="preserve"> исследования</w:t>
      </w:r>
      <w:r w:rsidR="008053B3" w:rsidRPr="00021D01">
        <w:rPr>
          <w:rFonts w:ascii="Times New Roman" w:hAnsi="Times New Roman" w:cs="Times New Roman"/>
          <w:sz w:val="24"/>
          <w:szCs w:val="24"/>
        </w:rPr>
        <w:t xml:space="preserve"> показали, что Вологодская области </w:t>
      </w:r>
      <w:r w:rsidRPr="00021D01">
        <w:rPr>
          <w:rFonts w:ascii="Times New Roman" w:hAnsi="Times New Roman" w:cs="Times New Roman"/>
          <w:sz w:val="24"/>
          <w:szCs w:val="24"/>
        </w:rPr>
        <w:t>следует</w:t>
      </w:r>
      <w:r w:rsidR="008053B3" w:rsidRPr="00021D01">
        <w:rPr>
          <w:rFonts w:ascii="Times New Roman" w:hAnsi="Times New Roman" w:cs="Times New Roman"/>
          <w:sz w:val="24"/>
          <w:szCs w:val="24"/>
        </w:rPr>
        <w:t xml:space="preserve"> </w:t>
      </w:r>
      <w:r w:rsidRPr="00021D01">
        <w:rPr>
          <w:rFonts w:ascii="Times New Roman" w:hAnsi="Times New Roman" w:cs="Times New Roman"/>
          <w:sz w:val="24"/>
          <w:szCs w:val="24"/>
        </w:rPr>
        <w:t>общероссийским</w:t>
      </w:r>
      <w:r w:rsidR="008053B3" w:rsidRPr="00021D01">
        <w:rPr>
          <w:rFonts w:ascii="Times New Roman" w:hAnsi="Times New Roman" w:cs="Times New Roman"/>
          <w:sz w:val="24"/>
          <w:szCs w:val="24"/>
        </w:rPr>
        <w:t xml:space="preserve"> тренд</w:t>
      </w:r>
      <w:r w:rsidRPr="00021D01">
        <w:rPr>
          <w:rFonts w:ascii="Times New Roman" w:hAnsi="Times New Roman" w:cs="Times New Roman"/>
          <w:sz w:val="24"/>
          <w:szCs w:val="24"/>
        </w:rPr>
        <w:t>ам</w:t>
      </w:r>
      <w:r w:rsidR="008053B3" w:rsidRPr="00021D01">
        <w:rPr>
          <w:rFonts w:ascii="Times New Roman" w:hAnsi="Times New Roman" w:cs="Times New Roman"/>
          <w:sz w:val="24"/>
          <w:szCs w:val="24"/>
        </w:rPr>
        <w:t>, однако существуют региональные особенности.</w:t>
      </w:r>
    </w:p>
    <w:bookmarkEnd w:id="1"/>
    <w:p w14:paraId="1E82FB10" w14:textId="3D48B95E" w:rsidR="008053B3" w:rsidRPr="00640134" w:rsidRDefault="008053B3" w:rsidP="00640134">
      <w:pPr>
        <w:spacing w:after="0" w:line="240" w:lineRule="auto"/>
        <w:ind w:firstLine="709"/>
        <w:jc w:val="both"/>
        <w:rPr>
          <w:rFonts w:ascii="Times New Roman" w:hAnsi="Times New Roman" w:cs="Times New Roman"/>
          <w:i/>
          <w:iCs/>
          <w:sz w:val="24"/>
          <w:szCs w:val="24"/>
        </w:rPr>
      </w:pPr>
      <w:r w:rsidRPr="00640134">
        <w:rPr>
          <w:rFonts w:ascii="Times New Roman" w:hAnsi="Times New Roman" w:cs="Times New Roman"/>
          <w:b/>
          <w:bCs/>
          <w:sz w:val="24"/>
          <w:szCs w:val="24"/>
        </w:rPr>
        <w:t>Ключевые слова</w:t>
      </w:r>
      <w:r w:rsidRPr="00640134">
        <w:rPr>
          <w:rFonts w:ascii="Times New Roman" w:hAnsi="Times New Roman" w:cs="Times New Roman"/>
          <w:sz w:val="24"/>
          <w:szCs w:val="24"/>
        </w:rPr>
        <w:t xml:space="preserve">: </w:t>
      </w:r>
      <w:r w:rsidRPr="00021D01">
        <w:rPr>
          <w:rFonts w:ascii="Times New Roman" w:hAnsi="Times New Roman" w:cs="Times New Roman"/>
          <w:sz w:val="24"/>
          <w:szCs w:val="24"/>
        </w:rPr>
        <w:t>инициативное бюджетирование, партисапативный бюджет, народный бюджет</w:t>
      </w:r>
      <w:r w:rsidR="00904017">
        <w:rPr>
          <w:rFonts w:ascii="Times New Roman" w:hAnsi="Times New Roman" w:cs="Times New Roman"/>
          <w:sz w:val="24"/>
          <w:szCs w:val="24"/>
        </w:rPr>
        <w:t>, местное самоуправление, софинансирование</w:t>
      </w:r>
      <w:bookmarkStart w:id="2" w:name="_GoBack"/>
      <w:bookmarkEnd w:id="2"/>
    </w:p>
    <w:p w14:paraId="644FFD4F" w14:textId="77777777" w:rsidR="00EF7425" w:rsidRDefault="00EF7425" w:rsidP="00640134">
      <w:pPr>
        <w:spacing w:after="0" w:line="240" w:lineRule="auto"/>
        <w:ind w:firstLine="709"/>
        <w:jc w:val="both"/>
        <w:rPr>
          <w:rFonts w:ascii="Times New Roman" w:hAnsi="Times New Roman" w:cs="Times New Roman"/>
          <w:b/>
          <w:bCs/>
          <w:sz w:val="24"/>
          <w:szCs w:val="24"/>
        </w:rPr>
      </w:pPr>
    </w:p>
    <w:p w14:paraId="535790D2" w14:textId="7DEBC0CE" w:rsidR="008053B3" w:rsidRPr="00640134" w:rsidRDefault="00660B16" w:rsidP="00660B1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w:t>
      </w:r>
      <w:r w:rsidR="008053B3" w:rsidRPr="00640134">
        <w:rPr>
          <w:rFonts w:ascii="Times New Roman" w:hAnsi="Times New Roman" w:cs="Times New Roman"/>
          <w:sz w:val="24"/>
          <w:szCs w:val="24"/>
        </w:rPr>
        <w:t>нициативное бюджетирование</w:t>
      </w:r>
      <w:r>
        <w:rPr>
          <w:rFonts w:ascii="Times New Roman" w:hAnsi="Times New Roman" w:cs="Times New Roman"/>
          <w:sz w:val="24"/>
          <w:szCs w:val="24"/>
        </w:rPr>
        <w:t xml:space="preserve"> (</w:t>
      </w:r>
      <w:r w:rsidR="009E29D5">
        <w:rPr>
          <w:rFonts w:ascii="Times New Roman" w:hAnsi="Times New Roman" w:cs="Times New Roman"/>
          <w:sz w:val="24"/>
          <w:szCs w:val="24"/>
        </w:rPr>
        <w:t>д</w:t>
      </w:r>
      <w:r>
        <w:rPr>
          <w:rFonts w:ascii="Times New Roman" w:hAnsi="Times New Roman" w:cs="Times New Roman"/>
          <w:sz w:val="24"/>
          <w:szCs w:val="24"/>
        </w:rPr>
        <w:t>алее ИБ)</w:t>
      </w:r>
      <w:r w:rsidR="008053B3" w:rsidRPr="00640134">
        <w:rPr>
          <w:rFonts w:ascii="Times New Roman" w:hAnsi="Times New Roman" w:cs="Times New Roman"/>
          <w:sz w:val="24"/>
          <w:szCs w:val="24"/>
        </w:rPr>
        <w:t xml:space="preserve"> активизирует участие граждан в определении приоритетов расходования средств бюджетов разных уровней, поддерживает инициативы жителей в решении вопросов местного значения, повышает эффективность бюджетных расходов, усиливает функции общественного контроля, повышает открытость и прозрачность деятельность органов местного самоуправления и региона, развивает взаимодействие органов местного самоуправления с населением, повышает бюджетную грамотность населения и др.</w:t>
      </w:r>
      <w:r>
        <w:rPr>
          <w:rFonts w:ascii="Times New Roman" w:hAnsi="Times New Roman" w:cs="Times New Roman"/>
          <w:sz w:val="24"/>
          <w:szCs w:val="24"/>
        </w:rPr>
        <w:t xml:space="preserve"> </w:t>
      </w:r>
      <w:r w:rsidR="008053B3" w:rsidRPr="00640134">
        <w:rPr>
          <w:rFonts w:ascii="Times New Roman" w:hAnsi="Times New Roman" w:cs="Times New Roman"/>
          <w:sz w:val="24"/>
          <w:szCs w:val="24"/>
        </w:rPr>
        <w:t>Исходя из отмеченной значимости инициативного бюджетирования формируется следующая цель</w:t>
      </w:r>
      <w:r w:rsidR="00BA1BDD">
        <w:rPr>
          <w:rFonts w:ascii="Times New Roman" w:hAnsi="Times New Roman" w:cs="Times New Roman"/>
          <w:sz w:val="24"/>
          <w:szCs w:val="24"/>
        </w:rPr>
        <w:t xml:space="preserve"> исследования</w:t>
      </w:r>
      <w:r w:rsidR="008053B3" w:rsidRPr="00640134">
        <w:rPr>
          <w:rFonts w:ascii="Times New Roman" w:hAnsi="Times New Roman" w:cs="Times New Roman"/>
          <w:sz w:val="24"/>
          <w:szCs w:val="24"/>
        </w:rPr>
        <w:t xml:space="preserve"> - сопоставить </w:t>
      </w:r>
      <w:r>
        <w:rPr>
          <w:rFonts w:ascii="Times New Roman" w:hAnsi="Times New Roman" w:cs="Times New Roman"/>
          <w:sz w:val="24"/>
          <w:szCs w:val="24"/>
        </w:rPr>
        <w:t>практику Вологодской области</w:t>
      </w:r>
      <w:r w:rsidR="008053B3" w:rsidRPr="00640134">
        <w:rPr>
          <w:rFonts w:ascii="Times New Roman" w:hAnsi="Times New Roman" w:cs="Times New Roman"/>
          <w:sz w:val="24"/>
          <w:szCs w:val="24"/>
        </w:rPr>
        <w:t xml:space="preserve"> с </w:t>
      </w:r>
      <w:r>
        <w:rPr>
          <w:rFonts w:ascii="Times New Roman" w:hAnsi="Times New Roman" w:cs="Times New Roman"/>
          <w:sz w:val="24"/>
          <w:szCs w:val="24"/>
        </w:rPr>
        <w:t>общероссийскими трендами</w:t>
      </w:r>
      <w:r w:rsidR="008053B3" w:rsidRPr="00640134">
        <w:rPr>
          <w:rFonts w:ascii="Times New Roman" w:hAnsi="Times New Roman" w:cs="Times New Roman"/>
          <w:sz w:val="24"/>
          <w:szCs w:val="24"/>
        </w:rPr>
        <w:t>.</w:t>
      </w:r>
    </w:p>
    <w:p w14:paraId="615BB54F" w14:textId="6800088B" w:rsidR="008053B3" w:rsidRPr="00640134" w:rsidRDefault="008053B3" w:rsidP="00640134">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Информационной базой послужила научная литература, посвящённая изучению инициативного бюджетирования, а также данные с официальных сайтов органов государственной</w:t>
      </w:r>
      <w:r w:rsidR="00021D01">
        <w:rPr>
          <w:rFonts w:ascii="Times New Roman" w:hAnsi="Times New Roman" w:cs="Times New Roman"/>
          <w:sz w:val="24"/>
          <w:szCs w:val="24"/>
        </w:rPr>
        <w:t xml:space="preserve"> и местной</w:t>
      </w:r>
      <w:r w:rsidRPr="00640134">
        <w:rPr>
          <w:rFonts w:ascii="Times New Roman" w:hAnsi="Times New Roman" w:cs="Times New Roman"/>
          <w:sz w:val="24"/>
          <w:szCs w:val="24"/>
        </w:rPr>
        <w:t xml:space="preserve"> власти.</w:t>
      </w:r>
    </w:p>
    <w:p w14:paraId="43F2319B" w14:textId="17E0C14C" w:rsidR="008053B3" w:rsidRDefault="008053B3" w:rsidP="00BD69FB">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В научной среде нет единого подхода к понятию «Инициативное бюджетирование». С.В. Рыбакова в результате исследования данного вопроса приходит к выводу о том, что в науке бюджетного права несколько лет идет процесс формирования нового понятия - инициативное бюджетирование, которое должно обобщить научные, практические и правовые подходы бюджетирования в общем</w:t>
      </w:r>
      <w:r w:rsidR="00F3674E">
        <w:rPr>
          <w:rFonts w:ascii="Times New Roman" w:hAnsi="Times New Roman" w:cs="Times New Roman"/>
          <w:sz w:val="24"/>
          <w:szCs w:val="24"/>
        </w:rPr>
        <w:t xml:space="preserve"> </w:t>
      </w:r>
      <w:r w:rsidR="00F3674E" w:rsidRPr="00F3674E">
        <w:rPr>
          <w:rFonts w:ascii="Times New Roman" w:hAnsi="Times New Roman" w:cs="Times New Roman"/>
          <w:sz w:val="24"/>
          <w:szCs w:val="24"/>
        </w:rPr>
        <w:t>[</w:t>
      </w:r>
      <w:r w:rsidR="00F3674E">
        <w:rPr>
          <w:rFonts w:ascii="Times New Roman" w:hAnsi="Times New Roman" w:cs="Times New Roman"/>
          <w:sz w:val="24"/>
          <w:szCs w:val="24"/>
        </w:rPr>
        <w:t>3, с.12-13, 17-18</w:t>
      </w:r>
      <w:r w:rsidR="00F3674E" w:rsidRPr="00F3674E">
        <w:rPr>
          <w:rFonts w:ascii="Times New Roman" w:hAnsi="Times New Roman" w:cs="Times New Roman"/>
          <w:sz w:val="24"/>
          <w:szCs w:val="24"/>
        </w:rPr>
        <w:t>]</w:t>
      </w:r>
      <w:r w:rsidRPr="00640134">
        <w:rPr>
          <w:rFonts w:ascii="Times New Roman" w:hAnsi="Times New Roman" w:cs="Times New Roman"/>
          <w:sz w:val="24"/>
          <w:szCs w:val="24"/>
        </w:rPr>
        <w:t>.</w:t>
      </w:r>
      <w:r w:rsidR="007462C9">
        <w:rPr>
          <w:rFonts w:ascii="Times New Roman" w:hAnsi="Times New Roman" w:cs="Times New Roman"/>
          <w:sz w:val="24"/>
          <w:szCs w:val="24"/>
        </w:rPr>
        <w:t xml:space="preserve"> </w:t>
      </w:r>
      <w:r w:rsidRPr="00640134">
        <w:rPr>
          <w:rFonts w:ascii="Times New Roman" w:hAnsi="Times New Roman" w:cs="Times New Roman"/>
          <w:sz w:val="24"/>
          <w:szCs w:val="24"/>
        </w:rPr>
        <w:t>В свою очередь, Д.А. Смирнов делает схожие выводы. Он считает, что в основе подобного рода противоречий лежит тот факт, что нормативное регулирование данных механизмов осуществляется именно на региональном уровне, где используется разные формулировки</w:t>
      </w:r>
      <w:r w:rsidR="00021D01">
        <w:rPr>
          <w:rFonts w:ascii="Times New Roman" w:hAnsi="Times New Roman" w:cs="Times New Roman"/>
          <w:sz w:val="24"/>
          <w:szCs w:val="24"/>
        </w:rPr>
        <w:t>, к</w:t>
      </w:r>
      <w:r w:rsidRPr="00640134">
        <w:rPr>
          <w:rFonts w:ascii="Times New Roman" w:hAnsi="Times New Roman" w:cs="Times New Roman"/>
          <w:sz w:val="24"/>
          <w:szCs w:val="24"/>
        </w:rPr>
        <w:t>оторым, соответственно, даются свои различные определения</w:t>
      </w:r>
      <w:r w:rsidR="00F3674E" w:rsidRPr="00F3674E">
        <w:rPr>
          <w:rFonts w:ascii="Times New Roman" w:hAnsi="Times New Roman" w:cs="Times New Roman"/>
          <w:sz w:val="24"/>
          <w:szCs w:val="24"/>
        </w:rPr>
        <w:t xml:space="preserve"> [</w:t>
      </w:r>
      <w:r w:rsidR="00F3674E">
        <w:rPr>
          <w:rFonts w:ascii="Times New Roman" w:hAnsi="Times New Roman" w:cs="Times New Roman"/>
          <w:sz w:val="24"/>
          <w:szCs w:val="24"/>
        </w:rPr>
        <w:t>4, с.148-149, 151-152</w:t>
      </w:r>
      <w:r w:rsidR="00F3674E" w:rsidRPr="00F3674E">
        <w:rPr>
          <w:rFonts w:ascii="Times New Roman" w:hAnsi="Times New Roman" w:cs="Times New Roman"/>
          <w:sz w:val="24"/>
          <w:szCs w:val="24"/>
        </w:rPr>
        <w:t>]</w:t>
      </w:r>
      <w:r w:rsidRPr="00640134">
        <w:rPr>
          <w:rFonts w:ascii="Times New Roman" w:hAnsi="Times New Roman" w:cs="Times New Roman"/>
          <w:sz w:val="24"/>
          <w:szCs w:val="24"/>
        </w:rPr>
        <w:t>.</w:t>
      </w:r>
    </w:p>
    <w:p w14:paraId="41759621" w14:textId="30407CDD" w:rsidR="007D0997" w:rsidRDefault="00BD69FB" w:rsidP="00DA4C7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Различные</w:t>
      </w:r>
      <w:r w:rsidRPr="00640134">
        <w:rPr>
          <w:rFonts w:ascii="Times New Roman" w:hAnsi="Times New Roman" w:cs="Times New Roman"/>
          <w:sz w:val="24"/>
          <w:szCs w:val="24"/>
        </w:rPr>
        <w:t xml:space="preserve"> исследовани</w:t>
      </w:r>
      <w:r w:rsidR="00594EEE">
        <w:rPr>
          <w:rFonts w:ascii="Times New Roman" w:hAnsi="Times New Roman" w:cs="Times New Roman"/>
          <w:sz w:val="24"/>
          <w:szCs w:val="24"/>
        </w:rPr>
        <w:t xml:space="preserve">я </w:t>
      </w:r>
      <w:r w:rsidRPr="00640134">
        <w:rPr>
          <w:rFonts w:ascii="Times New Roman" w:hAnsi="Times New Roman" w:cs="Times New Roman"/>
          <w:sz w:val="24"/>
          <w:szCs w:val="24"/>
        </w:rPr>
        <w:t>Н. А. Шаповаловой</w:t>
      </w:r>
      <w:r w:rsidR="00594EEE">
        <w:rPr>
          <w:rFonts w:ascii="Times New Roman" w:hAnsi="Times New Roman" w:cs="Times New Roman"/>
          <w:sz w:val="24"/>
          <w:szCs w:val="24"/>
        </w:rPr>
        <w:t xml:space="preserve"> и В. В. Вагина</w:t>
      </w:r>
      <w:r w:rsidRPr="00640134">
        <w:rPr>
          <w:rFonts w:ascii="Times New Roman" w:hAnsi="Times New Roman" w:cs="Times New Roman"/>
          <w:sz w:val="24"/>
          <w:szCs w:val="24"/>
        </w:rPr>
        <w:t xml:space="preserve"> </w:t>
      </w:r>
      <w:r w:rsidR="00594EEE">
        <w:rPr>
          <w:rFonts w:ascii="Times New Roman" w:hAnsi="Times New Roman" w:cs="Times New Roman"/>
          <w:sz w:val="24"/>
          <w:szCs w:val="24"/>
        </w:rPr>
        <w:t>демонстрируют, что</w:t>
      </w:r>
      <w:r w:rsidRPr="00640134">
        <w:rPr>
          <w:rFonts w:ascii="Times New Roman" w:hAnsi="Times New Roman" w:cs="Times New Roman"/>
          <w:sz w:val="24"/>
          <w:szCs w:val="24"/>
        </w:rPr>
        <w:t xml:space="preserve"> роль субъектов РФ значительно превалировала в вопросах инициативного бюджетирования</w:t>
      </w:r>
      <w:r w:rsidR="00594EEE">
        <w:rPr>
          <w:rFonts w:ascii="Times New Roman" w:hAnsi="Times New Roman" w:cs="Times New Roman"/>
          <w:sz w:val="24"/>
          <w:szCs w:val="24"/>
        </w:rPr>
        <w:t>.</w:t>
      </w:r>
      <w:r w:rsidRPr="00640134">
        <w:rPr>
          <w:rFonts w:ascii="Times New Roman" w:hAnsi="Times New Roman" w:cs="Times New Roman"/>
          <w:sz w:val="24"/>
          <w:szCs w:val="24"/>
        </w:rPr>
        <w:t xml:space="preserve"> Однако отмечается, что именно в 2018 году зарождается и активно развивается муниципальное направление ИБ </w:t>
      </w:r>
      <w:r w:rsidR="00B46375" w:rsidRPr="00B46375">
        <w:rPr>
          <w:rFonts w:ascii="Times New Roman" w:hAnsi="Times New Roman" w:cs="Times New Roman"/>
          <w:sz w:val="24"/>
          <w:szCs w:val="24"/>
        </w:rPr>
        <w:t>[</w:t>
      </w:r>
      <w:r w:rsidR="00B46375">
        <w:rPr>
          <w:rFonts w:ascii="Times New Roman" w:hAnsi="Times New Roman" w:cs="Times New Roman"/>
          <w:sz w:val="24"/>
          <w:szCs w:val="24"/>
        </w:rPr>
        <w:t>1, с.13-15; 2, с.118-121; 5, с.26,29,36</w:t>
      </w:r>
      <w:r w:rsidR="00B46375" w:rsidRPr="00B46375">
        <w:rPr>
          <w:rFonts w:ascii="Times New Roman" w:hAnsi="Times New Roman" w:cs="Times New Roman"/>
          <w:sz w:val="24"/>
          <w:szCs w:val="24"/>
        </w:rPr>
        <w:t>]</w:t>
      </w:r>
      <w:r w:rsidRPr="00640134">
        <w:rPr>
          <w:rFonts w:ascii="Times New Roman" w:hAnsi="Times New Roman" w:cs="Times New Roman"/>
          <w:sz w:val="24"/>
          <w:szCs w:val="24"/>
        </w:rPr>
        <w:t xml:space="preserve">. </w:t>
      </w:r>
    </w:p>
    <w:p w14:paraId="77C42A48" w14:textId="6AF9E8D2" w:rsidR="00DA4C72" w:rsidRDefault="008053B3" w:rsidP="00DA4C72">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В свою очередь,</w:t>
      </w:r>
      <w:r w:rsidR="00220E24">
        <w:rPr>
          <w:rFonts w:ascii="Times New Roman" w:hAnsi="Times New Roman" w:cs="Times New Roman"/>
          <w:sz w:val="24"/>
          <w:szCs w:val="24"/>
        </w:rPr>
        <w:t xml:space="preserve"> на национальном уровне</w:t>
      </w:r>
      <w:r w:rsidRPr="00640134">
        <w:rPr>
          <w:rFonts w:ascii="Times New Roman" w:hAnsi="Times New Roman" w:cs="Times New Roman"/>
          <w:sz w:val="24"/>
          <w:szCs w:val="24"/>
        </w:rPr>
        <w:t xml:space="preserve"> </w:t>
      </w:r>
      <w:r w:rsidR="00021D01">
        <w:rPr>
          <w:rFonts w:ascii="Times New Roman" w:hAnsi="Times New Roman" w:cs="Times New Roman"/>
          <w:sz w:val="24"/>
          <w:szCs w:val="24"/>
        </w:rPr>
        <w:t xml:space="preserve">как </w:t>
      </w:r>
      <w:r w:rsidRPr="00640134">
        <w:rPr>
          <w:rFonts w:ascii="Times New Roman" w:hAnsi="Times New Roman" w:cs="Times New Roman"/>
          <w:sz w:val="24"/>
          <w:szCs w:val="24"/>
        </w:rPr>
        <w:t>финансирование проектов инициативного бюджетирования</w:t>
      </w:r>
      <w:r w:rsidR="00021D01">
        <w:rPr>
          <w:rFonts w:ascii="Times New Roman" w:hAnsi="Times New Roman" w:cs="Times New Roman"/>
          <w:sz w:val="24"/>
          <w:szCs w:val="24"/>
        </w:rPr>
        <w:t>, так и их количество</w:t>
      </w:r>
      <w:r w:rsidRPr="00640134">
        <w:rPr>
          <w:rFonts w:ascii="Times New Roman" w:hAnsi="Times New Roman" w:cs="Times New Roman"/>
          <w:sz w:val="24"/>
          <w:szCs w:val="24"/>
        </w:rPr>
        <w:t xml:space="preserve"> растет пропорционально</w:t>
      </w:r>
      <w:r w:rsidR="00021D01">
        <w:rPr>
          <w:rFonts w:ascii="Times New Roman" w:hAnsi="Times New Roman" w:cs="Times New Roman"/>
          <w:sz w:val="24"/>
          <w:szCs w:val="24"/>
        </w:rPr>
        <w:t xml:space="preserve"> друг другу</w:t>
      </w:r>
      <w:r w:rsidRPr="00640134">
        <w:rPr>
          <w:rFonts w:ascii="Times New Roman" w:hAnsi="Times New Roman" w:cs="Times New Roman"/>
          <w:sz w:val="24"/>
          <w:szCs w:val="24"/>
        </w:rPr>
        <w:t>. Особого внимания заслуживает тот факт, что соотношение финансирования 2023 года к 2015 года значительно выше, чем количество</w:t>
      </w:r>
      <w:r w:rsidR="00DA4C72">
        <w:rPr>
          <w:rFonts w:ascii="Times New Roman" w:hAnsi="Times New Roman" w:cs="Times New Roman"/>
          <w:sz w:val="24"/>
          <w:szCs w:val="24"/>
        </w:rPr>
        <w:t xml:space="preserve"> </w:t>
      </w:r>
      <w:r w:rsidRPr="00640134">
        <w:rPr>
          <w:rFonts w:ascii="Times New Roman" w:hAnsi="Times New Roman" w:cs="Times New Roman"/>
          <w:sz w:val="24"/>
          <w:szCs w:val="24"/>
        </w:rPr>
        <w:t xml:space="preserve">практик (24,5 и 17,7 соответственно). Это может свидетельствовать нам о том, что в России не только увеличивается количество практик ИБ, но и сумма их поддержки. </w:t>
      </w:r>
      <w:r w:rsidR="00DA4C72" w:rsidRPr="00640134">
        <w:rPr>
          <w:rFonts w:ascii="Times New Roman" w:hAnsi="Times New Roman" w:cs="Times New Roman"/>
          <w:sz w:val="24"/>
          <w:szCs w:val="24"/>
        </w:rPr>
        <w:t xml:space="preserve">Анализируя данные </w:t>
      </w:r>
      <w:r w:rsidR="007D0997">
        <w:rPr>
          <w:rFonts w:ascii="Times New Roman" w:hAnsi="Times New Roman" w:cs="Times New Roman"/>
          <w:sz w:val="24"/>
          <w:szCs w:val="24"/>
        </w:rPr>
        <w:t>графика</w:t>
      </w:r>
      <w:r w:rsidR="00DA4C72" w:rsidRPr="00640134">
        <w:rPr>
          <w:rFonts w:ascii="Times New Roman" w:hAnsi="Times New Roman" w:cs="Times New Roman"/>
          <w:sz w:val="24"/>
          <w:szCs w:val="24"/>
        </w:rPr>
        <w:t xml:space="preserve">, выявлено, что до 2018 года региональные проекты инициативного бюджетирования играли большую роль, чем муниципальные. </w:t>
      </w:r>
      <w:r w:rsidR="00DA4C72">
        <w:rPr>
          <w:rFonts w:ascii="Times New Roman" w:hAnsi="Times New Roman" w:cs="Times New Roman"/>
          <w:sz w:val="24"/>
          <w:szCs w:val="24"/>
        </w:rPr>
        <w:t xml:space="preserve"> </w:t>
      </w:r>
      <w:r w:rsidR="00DA4C72" w:rsidRPr="00640134">
        <w:rPr>
          <w:rFonts w:ascii="Times New Roman" w:hAnsi="Times New Roman" w:cs="Times New Roman"/>
          <w:sz w:val="24"/>
          <w:szCs w:val="24"/>
        </w:rPr>
        <w:t>Начиная с 2019 года количество местных практик превышает количество практик регионов. При том данная тенденция сохраняется весь рассматриваемый период до 2023 года. Так количество</w:t>
      </w:r>
      <w:r w:rsidR="00BA1BDD">
        <w:rPr>
          <w:rFonts w:ascii="Times New Roman" w:hAnsi="Times New Roman" w:cs="Times New Roman"/>
          <w:sz w:val="24"/>
          <w:szCs w:val="24"/>
        </w:rPr>
        <w:t xml:space="preserve"> местных</w:t>
      </w:r>
      <w:r w:rsidR="00DA4C72" w:rsidRPr="00640134">
        <w:rPr>
          <w:rFonts w:ascii="Times New Roman" w:hAnsi="Times New Roman" w:cs="Times New Roman"/>
          <w:sz w:val="24"/>
          <w:szCs w:val="24"/>
        </w:rPr>
        <w:t xml:space="preserve"> практик за 2018-2023 гг. увеличилось в</w:t>
      </w:r>
      <w:r w:rsidR="00DA4C72">
        <w:rPr>
          <w:rFonts w:ascii="Times New Roman" w:hAnsi="Times New Roman" w:cs="Times New Roman"/>
          <w:sz w:val="24"/>
          <w:szCs w:val="24"/>
        </w:rPr>
        <w:t xml:space="preserve"> 4,3 раза</w:t>
      </w:r>
      <w:r w:rsidR="00DA4C72" w:rsidRPr="00640134">
        <w:rPr>
          <w:rFonts w:ascii="Times New Roman" w:hAnsi="Times New Roman" w:cs="Times New Roman"/>
          <w:sz w:val="24"/>
          <w:szCs w:val="24"/>
        </w:rPr>
        <w:t xml:space="preserve">, когда как региональных только в 1,5 </w:t>
      </w:r>
      <w:r w:rsidR="00DA4C72">
        <w:rPr>
          <w:rFonts w:ascii="Times New Roman" w:hAnsi="Times New Roman" w:cs="Times New Roman"/>
          <w:sz w:val="24"/>
          <w:szCs w:val="24"/>
        </w:rPr>
        <w:t>(</w:t>
      </w:r>
      <w:r w:rsidR="00F3674E">
        <w:rPr>
          <w:rFonts w:ascii="Times New Roman" w:hAnsi="Times New Roman" w:cs="Times New Roman"/>
          <w:sz w:val="24"/>
          <w:szCs w:val="24"/>
        </w:rPr>
        <w:t>р</w:t>
      </w:r>
      <w:r w:rsidR="007D0997">
        <w:rPr>
          <w:rFonts w:ascii="Times New Roman" w:hAnsi="Times New Roman" w:cs="Times New Roman"/>
          <w:sz w:val="24"/>
          <w:szCs w:val="24"/>
        </w:rPr>
        <w:t>ис.</w:t>
      </w:r>
      <w:r w:rsidR="00DA4C72">
        <w:rPr>
          <w:rFonts w:ascii="Times New Roman" w:hAnsi="Times New Roman" w:cs="Times New Roman"/>
          <w:sz w:val="24"/>
          <w:szCs w:val="24"/>
        </w:rPr>
        <w:t>1</w:t>
      </w:r>
      <w:r w:rsidR="00DA4C72" w:rsidRPr="00640134">
        <w:rPr>
          <w:rFonts w:ascii="Times New Roman" w:hAnsi="Times New Roman" w:cs="Times New Roman"/>
          <w:sz w:val="24"/>
          <w:szCs w:val="24"/>
        </w:rPr>
        <w:t>).</w:t>
      </w:r>
    </w:p>
    <w:p w14:paraId="362FF18E" w14:textId="23F0DA1D" w:rsidR="008053B3" w:rsidRPr="00640134" w:rsidRDefault="007D0997" w:rsidP="007D0997">
      <w:pPr>
        <w:spacing w:after="0" w:line="240" w:lineRule="auto"/>
        <w:ind w:firstLine="709"/>
        <w:jc w:val="both"/>
        <w:rPr>
          <w:rFonts w:ascii="Times New Roman" w:hAnsi="Times New Roman" w:cs="Times New Roman"/>
          <w:sz w:val="24"/>
          <w:szCs w:val="24"/>
        </w:rPr>
      </w:pPr>
      <w:r>
        <w:rPr>
          <w:noProof/>
        </w:rPr>
        <w:lastRenderedPageBreak/>
        <w:drawing>
          <wp:anchor distT="0" distB="0" distL="114300" distR="114300" simplePos="0" relativeHeight="251658240" behindDoc="0" locked="0" layoutInCell="1" allowOverlap="1" wp14:anchorId="4043DFC0" wp14:editId="1978909B">
            <wp:simplePos x="0" y="0"/>
            <wp:positionH relativeFrom="margin">
              <wp:align>right</wp:align>
            </wp:positionH>
            <wp:positionV relativeFrom="paragraph">
              <wp:posOffset>3175</wp:posOffset>
            </wp:positionV>
            <wp:extent cx="6106160" cy="3013075"/>
            <wp:effectExtent l="0" t="0" r="8890" b="15875"/>
            <wp:wrapTopAndBottom/>
            <wp:docPr id="1" name="Диаграмма 1">
              <a:extLst xmlns:a="http://schemas.openxmlformats.org/drawingml/2006/main">
                <a:ext uri="{FF2B5EF4-FFF2-40B4-BE49-F238E27FC236}">
                  <a16:creationId xmlns:a16="http://schemas.microsoft.com/office/drawing/2014/main" id="{72DB2A47-98C6-4D72-A23A-7C8EA58AD6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margin">
              <wp14:pctWidth>0</wp14:pctWidth>
            </wp14:sizeRelH>
            <wp14:sizeRelV relativeFrom="margin">
              <wp14:pctHeight>0</wp14:pctHeight>
            </wp14:sizeRelV>
          </wp:anchor>
        </w:drawing>
      </w:r>
    </w:p>
    <w:p w14:paraId="6852A50F" w14:textId="28BC28F0" w:rsidR="008053B3" w:rsidRPr="00EF7425" w:rsidRDefault="008053B3" w:rsidP="00640134">
      <w:pPr>
        <w:spacing w:after="0" w:line="240" w:lineRule="auto"/>
        <w:ind w:firstLine="709"/>
        <w:jc w:val="center"/>
        <w:rPr>
          <w:rFonts w:ascii="Times New Roman" w:hAnsi="Times New Roman" w:cs="Times New Roman"/>
          <w:sz w:val="24"/>
          <w:szCs w:val="24"/>
        </w:rPr>
      </w:pPr>
      <w:r w:rsidRPr="00EF7425">
        <w:rPr>
          <w:rFonts w:ascii="Times New Roman" w:hAnsi="Times New Roman" w:cs="Times New Roman"/>
          <w:sz w:val="24"/>
          <w:szCs w:val="24"/>
        </w:rPr>
        <w:t>Рисунок 1. График финансового обеспечения проектов инициативного бюджетирования в России 2015</w:t>
      </w:r>
      <w:r w:rsidR="00F3674E">
        <w:rPr>
          <w:rFonts w:ascii="Times New Roman" w:hAnsi="Times New Roman" w:cs="Times New Roman"/>
          <w:sz w:val="24"/>
          <w:szCs w:val="24"/>
        </w:rPr>
        <w:t>–</w:t>
      </w:r>
      <w:r w:rsidRPr="00EF7425">
        <w:rPr>
          <w:rFonts w:ascii="Times New Roman" w:hAnsi="Times New Roman" w:cs="Times New Roman"/>
          <w:sz w:val="24"/>
          <w:szCs w:val="24"/>
        </w:rPr>
        <w:t>2023 гг.</w:t>
      </w:r>
    </w:p>
    <w:p w14:paraId="199C285C" w14:textId="4980CEE3" w:rsidR="00220E24" w:rsidRPr="00021D01" w:rsidRDefault="00220E24" w:rsidP="00021D01">
      <w:pPr>
        <w:spacing w:after="0" w:line="240" w:lineRule="auto"/>
        <w:ind w:firstLine="709"/>
        <w:jc w:val="both"/>
        <w:rPr>
          <w:rFonts w:ascii="Times New Roman" w:hAnsi="Times New Roman" w:cs="Times New Roman"/>
          <w:sz w:val="20"/>
          <w:szCs w:val="20"/>
        </w:rPr>
      </w:pPr>
      <w:r w:rsidRPr="00021D01">
        <w:rPr>
          <w:rFonts w:ascii="Times New Roman" w:hAnsi="Times New Roman" w:cs="Times New Roman"/>
          <w:sz w:val="20"/>
          <w:szCs w:val="20"/>
        </w:rPr>
        <w:t>Источник:</w:t>
      </w:r>
      <w:r w:rsidR="00021D01">
        <w:rPr>
          <w:rFonts w:ascii="Times New Roman" w:hAnsi="Times New Roman" w:cs="Times New Roman"/>
          <w:sz w:val="20"/>
          <w:szCs w:val="20"/>
        </w:rPr>
        <w:t xml:space="preserve"> составлено автором на основе</w:t>
      </w:r>
      <w:r w:rsidRPr="00021D01">
        <w:rPr>
          <w:rFonts w:ascii="Times New Roman" w:hAnsi="Times New Roman" w:cs="Times New Roman"/>
          <w:sz w:val="20"/>
          <w:szCs w:val="20"/>
        </w:rPr>
        <w:t xml:space="preserve"> </w:t>
      </w:r>
      <w:r w:rsidR="00021D01">
        <w:rPr>
          <w:rFonts w:ascii="Times New Roman" w:eastAsia="Times New Roman" w:hAnsi="Times New Roman" w:cs="Times New Roman"/>
          <w:color w:val="000000"/>
          <w:sz w:val="20"/>
          <w:szCs w:val="20"/>
          <w:lang w:eastAsia="ru-RU"/>
        </w:rPr>
        <w:t>д</w:t>
      </w:r>
      <w:r w:rsidR="00021D01" w:rsidRPr="00021D01">
        <w:rPr>
          <w:rFonts w:ascii="Times New Roman" w:eastAsia="Times New Roman" w:hAnsi="Times New Roman" w:cs="Times New Roman"/>
          <w:color w:val="000000"/>
          <w:sz w:val="20"/>
          <w:szCs w:val="20"/>
          <w:lang w:eastAsia="ru-RU"/>
        </w:rPr>
        <w:t>оклад</w:t>
      </w:r>
      <w:r w:rsidR="00021D01">
        <w:rPr>
          <w:rFonts w:ascii="Times New Roman" w:eastAsia="Times New Roman" w:hAnsi="Times New Roman" w:cs="Times New Roman"/>
          <w:color w:val="000000"/>
          <w:sz w:val="20"/>
          <w:szCs w:val="20"/>
          <w:lang w:eastAsia="ru-RU"/>
        </w:rPr>
        <w:t>а</w:t>
      </w:r>
      <w:r w:rsidR="00021D01" w:rsidRPr="00021D01">
        <w:rPr>
          <w:rFonts w:ascii="Times New Roman" w:eastAsia="Times New Roman" w:hAnsi="Times New Roman" w:cs="Times New Roman"/>
          <w:color w:val="000000"/>
          <w:sz w:val="20"/>
          <w:szCs w:val="20"/>
          <w:lang w:eastAsia="ru-RU"/>
        </w:rPr>
        <w:t xml:space="preserve"> о лучших практиках развития инициативного бюджетирования в субъектах Российской Федерации и муниципальных образованиях МинФина России за 2024 г</w:t>
      </w:r>
      <w:r w:rsidR="00021D01">
        <w:rPr>
          <w:rFonts w:ascii="Times New Roman" w:hAnsi="Times New Roman" w:cs="Times New Roman"/>
          <w:sz w:val="20"/>
          <w:szCs w:val="20"/>
        </w:rPr>
        <w:t>.</w:t>
      </w:r>
    </w:p>
    <w:p w14:paraId="52258518" w14:textId="6BB5AF0A" w:rsidR="008053B3" w:rsidRPr="00640134" w:rsidRDefault="008053B3" w:rsidP="00EF7425">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Исходя из вышесказанного, можно сделать вывод о том, что национальные тренды в основном следующие: увеличение реализуемых проектов на всех уровнях и, соответственно, их финансирования. При этом выявлено, что особенно активно развиваются практики инициативного бюджетирования на муниципальном уровне.</w:t>
      </w:r>
    </w:p>
    <w:p w14:paraId="512C39E9" w14:textId="77777777" w:rsidR="008053B3" w:rsidRPr="00640134" w:rsidRDefault="008053B3" w:rsidP="00640134">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Рассмотрим практику инициативного бюджетирования Вологодской области и сравним ее с общероссийскими трендами. Ключевой областной проект ИБ на Вологодчине – «Народный бюджет». Он стартовал в 2015 году и успешно реализуется по нынешнее время.  К участию принимаются заявки не только от НКО и различных обществ/объединений, но и инициативных групп. При этом начиная с 2020 года доля областного финансирования составляет 70%. Остальные 30% должны быть профинансированы муниципалитетом или бизнесом. Однако 5% обязательно должны предоставить именно физические лица</w:t>
      </w:r>
      <w:r w:rsidRPr="00640134">
        <w:rPr>
          <w:rStyle w:val="a9"/>
          <w:rFonts w:ascii="Times New Roman" w:hAnsi="Times New Roman" w:cs="Times New Roman"/>
          <w:sz w:val="24"/>
          <w:szCs w:val="24"/>
        </w:rPr>
        <w:footnoteReference w:id="1"/>
      </w:r>
      <w:r w:rsidRPr="00640134">
        <w:rPr>
          <w:rFonts w:ascii="Times New Roman" w:hAnsi="Times New Roman" w:cs="Times New Roman"/>
          <w:sz w:val="24"/>
          <w:szCs w:val="24"/>
        </w:rPr>
        <w:t>.</w:t>
      </w:r>
    </w:p>
    <w:p w14:paraId="28B67EE1" w14:textId="1B481A32" w:rsidR="008053B3" w:rsidRPr="00640134" w:rsidRDefault="008053B3" w:rsidP="00640134">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 xml:space="preserve">Анализ данных таблицы </w:t>
      </w:r>
      <w:r w:rsidR="00BA1BDD">
        <w:rPr>
          <w:rFonts w:ascii="Times New Roman" w:hAnsi="Times New Roman" w:cs="Times New Roman"/>
          <w:sz w:val="24"/>
          <w:szCs w:val="24"/>
        </w:rPr>
        <w:t>1</w:t>
      </w:r>
      <w:r w:rsidRPr="00640134">
        <w:rPr>
          <w:rFonts w:ascii="Times New Roman" w:hAnsi="Times New Roman" w:cs="Times New Roman"/>
          <w:sz w:val="24"/>
          <w:szCs w:val="24"/>
        </w:rPr>
        <w:t xml:space="preserve"> позволяет выявить, что на протяжении всего рассмотренного периода с 2016 по 2023 гг. наблюдается рост всех показателей. Так количество конкурсных заявок с 2016 по 2023 гг. увеличилось в 10 раз, что свидетельствует о востребованности проекта и его заинтересованности со стороны населения. В свою очередь, размер субсидий растет пропорционально количеству поддержанных проектов (в 25 и 8,9 раз соответственно). Однако нельзя не отметить, что данная областная программа отмечается как положительный пример на федеральном уровне власти. Так в 2023 году Вологодская область входит в 10 лучших регионов по количеству участников интернет голосования по проектам инициативного бюджетирования</w:t>
      </w:r>
      <w:r w:rsidRPr="00640134">
        <w:rPr>
          <w:rStyle w:val="a9"/>
          <w:rFonts w:ascii="Times New Roman" w:hAnsi="Times New Roman" w:cs="Times New Roman"/>
          <w:sz w:val="24"/>
          <w:szCs w:val="24"/>
        </w:rPr>
        <w:footnoteReference w:id="2"/>
      </w:r>
      <w:r w:rsidRPr="00640134">
        <w:rPr>
          <w:rFonts w:ascii="Times New Roman" w:hAnsi="Times New Roman" w:cs="Times New Roman"/>
          <w:sz w:val="24"/>
          <w:szCs w:val="24"/>
        </w:rPr>
        <w:t>.</w:t>
      </w:r>
    </w:p>
    <w:p w14:paraId="5149EEFA" w14:textId="71BAD3F9" w:rsidR="00021D01" w:rsidRDefault="008053B3" w:rsidP="00021D01">
      <w:pPr>
        <w:spacing w:after="0" w:line="240" w:lineRule="auto"/>
        <w:ind w:firstLine="709"/>
        <w:jc w:val="right"/>
        <w:rPr>
          <w:rFonts w:ascii="Times New Roman" w:hAnsi="Times New Roman" w:cs="Times New Roman"/>
          <w:sz w:val="24"/>
          <w:szCs w:val="24"/>
        </w:rPr>
      </w:pPr>
      <w:r w:rsidRPr="00640134">
        <w:rPr>
          <w:rFonts w:ascii="Times New Roman" w:hAnsi="Times New Roman" w:cs="Times New Roman"/>
          <w:sz w:val="24"/>
          <w:szCs w:val="24"/>
        </w:rPr>
        <w:t xml:space="preserve">Таблица </w:t>
      </w:r>
      <w:r w:rsidR="00BA1BDD">
        <w:rPr>
          <w:rFonts w:ascii="Times New Roman" w:hAnsi="Times New Roman" w:cs="Times New Roman"/>
          <w:sz w:val="24"/>
          <w:szCs w:val="24"/>
        </w:rPr>
        <w:t>1</w:t>
      </w:r>
    </w:p>
    <w:p w14:paraId="7C2E5267" w14:textId="72C39062" w:rsidR="008053B3" w:rsidRPr="00F3674E" w:rsidRDefault="008053B3" w:rsidP="00021D01">
      <w:pPr>
        <w:spacing w:after="0" w:line="240" w:lineRule="auto"/>
        <w:ind w:firstLine="709"/>
        <w:jc w:val="center"/>
        <w:rPr>
          <w:rFonts w:ascii="Times New Roman" w:hAnsi="Times New Roman" w:cs="Times New Roman"/>
          <w:sz w:val="24"/>
          <w:szCs w:val="24"/>
        </w:rPr>
      </w:pPr>
      <w:r w:rsidRPr="00F3674E">
        <w:rPr>
          <w:rFonts w:ascii="Times New Roman" w:hAnsi="Times New Roman" w:cs="Times New Roman"/>
          <w:sz w:val="24"/>
          <w:szCs w:val="24"/>
        </w:rPr>
        <w:t>Информация по проекту «Народный бюджет» за 2016–2023 гг.</w:t>
      </w:r>
      <w:r w:rsidR="00BA1BDD" w:rsidRPr="00F3674E">
        <w:rPr>
          <w:rFonts w:ascii="Times New Roman" w:hAnsi="Times New Roman" w:cs="Times New Roman"/>
          <w:sz w:val="24"/>
          <w:szCs w:val="24"/>
        </w:rPr>
        <w:t>, Вологодская область</w:t>
      </w:r>
    </w:p>
    <w:tbl>
      <w:tblPr>
        <w:tblW w:w="9095" w:type="dxa"/>
        <w:jc w:val="center"/>
        <w:tblLayout w:type="fixed"/>
        <w:tblLook w:val="04A0" w:firstRow="1" w:lastRow="0" w:firstColumn="1" w:lastColumn="0" w:noHBand="0" w:noVBand="1"/>
      </w:tblPr>
      <w:tblGrid>
        <w:gridCol w:w="1980"/>
        <w:gridCol w:w="709"/>
        <w:gridCol w:w="708"/>
        <w:gridCol w:w="709"/>
        <w:gridCol w:w="709"/>
        <w:gridCol w:w="709"/>
        <w:gridCol w:w="708"/>
        <w:gridCol w:w="709"/>
        <w:gridCol w:w="703"/>
        <w:gridCol w:w="1451"/>
      </w:tblGrid>
      <w:tr w:rsidR="00EF7425" w:rsidRPr="00EF7425" w14:paraId="7CE0B0B1" w14:textId="77777777" w:rsidTr="00EF7425">
        <w:trPr>
          <w:trHeight w:val="607"/>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1C435D" w14:textId="77777777" w:rsidR="008053B3" w:rsidRPr="00EF7425" w:rsidRDefault="008053B3" w:rsidP="00EF7425">
            <w:pPr>
              <w:spacing w:after="0" w:line="240" w:lineRule="auto"/>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Год</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0F5109B3" w14:textId="6862E47A"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2016</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32EDD35F" w14:textId="34E41A33"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2017</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68D2B7F4"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2018</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76E800AD"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2019</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3D6EE269"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2020</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61F0AFD5"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2021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6996687A" w14:textId="2DCDF65D"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2022</w:t>
            </w:r>
          </w:p>
        </w:tc>
        <w:tc>
          <w:tcPr>
            <w:tcW w:w="703" w:type="dxa"/>
            <w:tcBorders>
              <w:top w:val="single" w:sz="4" w:space="0" w:color="auto"/>
              <w:left w:val="nil"/>
              <w:bottom w:val="single" w:sz="4" w:space="0" w:color="auto"/>
              <w:right w:val="single" w:sz="4" w:space="0" w:color="auto"/>
            </w:tcBorders>
            <w:shd w:val="clear" w:color="auto" w:fill="auto"/>
            <w:vAlign w:val="center"/>
            <w:hideMark/>
          </w:tcPr>
          <w:p w14:paraId="4A32F1F4"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2023</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14:paraId="1F78EB1E"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Увеличение, в раз</w:t>
            </w:r>
          </w:p>
        </w:tc>
      </w:tr>
      <w:tr w:rsidR="00EF7425" w:rsidRPr="00EF7425" w14:paraId="7BCCD0C7" w14:textId="77777777" w:rsidTr="00EF7425">
        <w:trPr>
          <w:trHeight w:val="556"/>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52E76B7D" w14:textId="77777777" w:rsidR="008053B3" w:rsidRPr="00EF7425" w:rsidRDefault="008053B3" w:rsidP="00EF7425">
            <w:pPr>
              <w:spacing w:after="0" w:line="240" w:lineRule="auto"/>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lastRenderedPageBreak/>
              <w:t xml:space="preserve">Количество конкурсных заявок, ед. </w:t>
            </w:r>
          </w:p>
        </w:tc>
        <w:tc>
          <w:tcPr>
            <w:tcW w:w="709" w:type="dxa"/>
            <w:tcBorders>
              <w:top w:val="nil"/>
              <w:left w:val="nil"/>
              <w:bottom w:val="single" w:sz="4" w:space="0" w:color="auto"/>
              <w:right w:val="single" w:sz="4" w:space="0" w:color="auto"/>
            </w:tcBorders>
            <w:shd w:val="clear" w:color="auto" w:fill="auto"/>
            <w:vAlign w:val="center"/>
            <w:hideMark/>
          </w:tcPr>
          <w:p w14:paraId="1313778D"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221</w:t>
            </w:r>
          </w:p>
        </w:tc>
        <w:tc>
          <w:tcPr>
            <w:tcW w:w="708" w:type="dxa"/>
            <w:tcBorders>
              <w:top w:val="nil"/>
              <w:left w:val="nil"/>
              <w:bottom w:val="single" w:sz="4" w:space="0" w:color="auto"/>
              <w:right w:val="single" w:sz="4" w:space="0" w:color="auto"/>
            </w:tcBorders>
            <w:shd w:val="clear" w:color="auto" w:fill="auto"/>
            <w:vAlign w:val="center"/>
            <w:hideMark/>
          </w:tcPr>
          <w:p w14:paraId="6CDE073B"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407</w:t>
            </w:r>
          </w:p>
        </w:tc>
        <w:tc>
          <w:tcPr>
            <w:tcW w:w="709" w:type="dxa"/>
            <w:tcBorders>
              <w:top w:val="nil"/>
              <w:left w:val="nil"/>
              <w:bottom w:val="single" w:sz="4" w:space="0" w:color="auto"/>
              <w:right w:val="single" w:sz="4" w:space="0" w:color="auto"/>
            </w:tcBorders>
            <w:shd w:val="clear" w:color="auto" w:fill="auto"/>
            <w:vAlign w:val="center"/>
            <w:hideMark/>
          </w:tcPr>
          <w:p w14:paraId="1CC84651"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490</w:t>
            </w:r>
          </w:p>
        </w:tc>
        <w:tc>
          <w:tcPr>
            <w:tcW w:w="709" w:type="dxa"/>
            <w:tcBorders>
              <w:top w:val="nil"/>
              <w:left w:val="nil"/>
              <w:bottom w:val="single" w:sz="4" w:space="0" w:color="auto"/>
              <w:right w:val="single" w:sz="4" w:space="0" w:color="auto"/>
            </w:tcBorders>
            <w:shd w:val="clear" w:color="auto" w:fill="auto"/>
            <w:vAlign w:val="center"/>
            <w:hideMark/>
          </w:tcPr>
          <w:p w14:paraId="4A3E49D9"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835</w:t>
            </w:r>
          </w:p>
        </w:tc>
        <w:tc>
          <w:tcPr>
            <w:tcW w:w="709" w:type="dxa"/>
            <w:tcBorders>
              <w:top w:val="nil"/>
              <w:left w:val="nil"/>
              <w:bottom w:val="single" w:sz="4" w:space="0" w:color="auto"/>
              <w:right w:val="single" w:sz="4" w:space="0" w:color="auto"/>
            </w:tcBorders>
            <w:shd w:val="clear" w:color="auto" w:fill="auto"/>
            <w:vAlign w:val="center"/>
            <w:hideMark/>
          </w:tcPr>
          <w:p w14:paraId="52A3DB0E"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984</w:t>
            </w:r>
          </w:p>
        </w:tc>
        <w:tc>
          <w:tcPr>
            <w:tcW w:w="708" w:type="dxa"/>
            <w:tcBorders>
              <w:top w:val="nil"/>
              <w:left w:val="nil"/>
              <w:bottom w:val="single" w:sz="4" w:space="0" w:color="auto"/>
              <w:right w:val="single" w:sz="4" w:space="0" w:color="auto"/>
            </w:tcBorders>
            <w:shd w:val="clear" w:color="auto" w:fill="auto"/>
            <w:vAlign w:val="center"/>
            <w:hideMark/>
          </w:tcPr>
          <w:p w14:paraId="73177E07" w14:textId="3528BB2A"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1567</w:t>
            </w:r>
          </w:p>
        </w:tc>
        <w:tc>
          <w:tcPr>
            <w:tcW w:w="709" w:type="dxa"/>
            <w:tcBorders>
              <w:top w:val="nil"/>
              <w:left w:val="nil"/>
              <w:bottom w:val="single" w:sz="4" w:space="0" w:color="auto"/>
              <w:right w:val="single" w:sz="4" w:space="0" w:color="auto"/>
            </w:tcBorders>
            <w:shd w:val="clear" w:color="auto" w:fill="auto"/>
            <w:vAlign w:val="center"/>
            <w:hideMark/>
          </w:tcPr>
          <w:p w14:paraId="674AB97E" w14:textId="37D55CC5"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2107</w:t>
            </w:r>
          </w:p>
        </w:tc>
        <w:tc>
          <w:tcPr>
            <w:tcW w:w="703" w:type="dxa"/>
            <w:tcBorders>
              <w:top w:val="nil"/>
              <w:left w:val="nil"/>
              <w:bottom w:val="single" w:sz="4" w:space="0" w:color="auto"/>
              <w:right w:val="single" w:sz="4" w:space="0" w:color="auto"/>
            </w:tcBorders>
            <w:shd w:val="clear" w:color="auto" w:fill="auto"/>
            <w:vAlign w:val="center"/>
            <w:hideMark/>
          </w:tcPr>
          <w:p w14:paraId="38BB06CB" w14:textId="07732BC5"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2229</w:t>
            </w:r>
          </w:p>
        </w:tc>
        <w:tc>
          <w:tcPr>
            <w:tcW w:w="1451" w:type="dxa"/>
            <w:tcBorders>
              <w:top w:val="nil"/>
              <w:left w:val="nil"/>
              <w:bottom w:val="single" w:sz="4" w:space="0" w:color="auto"/>
              <w:right w:val="single" w:sz="4" w:space="0" w:color="auto"/>
            </w:tcBorders>
            <w:shd w:val="clear" w:color="auto" w:fill="auto"/>
            <w:vAlign w:val="center"/>
            <w:hideMark/>
          </w:tcPr>
          <w:p w14:paraId="7A00626C"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10,1</w:t>
            </w:r>
          </w:p>
        </w:tc>
      </w:tr>
      <w:tr w:rsidR="00EF7425" w:rsidRPr="00EF7425" w14:paraId="3C363A3D" w14:textId="77777777" w:rsidTr="00EF7425">
        <w:trPr>
          <w:trHeight w:val="555"/>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7B7252C2" w14:textId="77777777" w:rsidR="008053B3" w:rsidRPr="00EF7425" w:rsidRDefault="008053B3" w:rsidP="00EF7425">
            <w:pPr>
              <w:spacing w:after="0" w:line="240" w:lineRule="auto"/>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 xml:space="preserve">Количество проектов, получивших субсидию, ед. </w:t>
            </w:r>
          </w:p>
        </w:tc>
        <w:tc>
          <w:tcPr>
            <w:tcW w:w="709" w:type="dxa"/>
            <w:tcBorders>
              <w:top w:val="nil"/>
              <w:left w:val="nil"/>
              <w:bottom w:val="single" w:sz="4" w:space="0" w:color="auto"/>
              <w:right w:val="single" w:sz="4" w:space="0" w:color="auto"/>
            </w:tcBorders>
            <w:shd w:val="clear" w:color="auto" w:fill="auto"/>
            <w:vAlign w:val="center"/>
            <w:hideMark/>
          </w:tcPr>
          <w:p w14:paraId="6BDDCF0A"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155</w:t>
            </w:r>
          </w:p>
        </w:tc>
        <w:tc>
          <w:tcPr>
            <w:tcW w:w="708" w:type="dxa"/>
            <w:tcBorders>
              <w:top w:val="nil"/>
              <w:left w:val="nil"/>
              <w:bottom w:val="single" w:sz="4" w:space="0" w:color="auto"/>
              <w:right w:val="single" w:sz="4" w:space="0" w:color="auto"/>
            </w:tcBorders>
            <w:shd w:val="clear" w:color="auto" w:fill="auto"/>
            <w:vAlign w:val="center"/>
            <w:hideMark/>
          </w:tcPr>
          <w:p w14:paraId="375CA87F"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373</w:t>
            </w:r>
          </w:p>
        </w:tc>
        <w:tc>
          <w:tcPr>
            <w:tcW w:w="709" w:type="dxa"/>
            <w:tcBorders>
              <w:top w:val="nil"/>
              <w:left w:val="nil"/>
              <w:bottom w:val="single" w:sz="4" w:space="0" w:color="auto"/>
              <w:right w:val="single" w:sz="4" w:space="0" w:color="auto"/>
            </w:tcBorders>
            <w:shd w:val="clear" w:color="auto" w:fill="auto"/>
            <w:vAlign w:val="center"/>
            <w:hideMark/>
          </w:tcPr>
          <w:p w14:paraId="78B8DF55"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458</w:t>
            </w:r>
          </w:p>
        </w:tc>
        <w:tc>
          <w:tcPr>
            <w:tcW w:w="709" w:type="dxa"/>
            <w:tcBorders>
              <w:top w:val="nil"/>
              <w:left w:val="nil"/>
              <w:bottom w:val="single" w:sz="4" w:space="0" w:color="auto"/>
              <w:right w:val="single" w:sz="4" w:space="0" w:color="auto"/>
            </w:tcBorders>
            <w:shd w:val="clear" w:color="auto" w:fill="auto"/>
            <w:vAlign w:val="center"/>
            <w:hideMark/>
          </w:tcPr>
          <w:p w14:paraId="675CBFDB"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818</w:t>
            </w:r>
          </w:p>
        </w:tc>
        <w:tc>
          <w:tcPr>
            <w:tcW w:w="709" w:type="dxa"/>
            <w:tcBorders>
              <w:top w:val="nil"/>
              <w:left w:val="nil"/>
              <w:bottom w:val="single" w:sz="4" w:space="0" w:color="auto"/>
              <w:right w:val="single" w:sz="4" w:space="0" w:color="auto"/>
            </w:tcBorders>
            <w:shd w:val="clear" w:color="auto" w:fill="auto"/>
            <w:vAlign w:val="center"/>
            <w:hideMark/>
          </w:tcPr>
          <w:p w14:paraId="6C3917B0"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976</w:t>
            </w:r>
          </w:p>
        </w:tc>
        <w:tc>
          <w:tcPr>
            <w:tcW w:w="708" w:type="dxa"/>
            <w:tcBorders>
              <w:top w:val="nil"/>
              <w:left w:val="nil"/>
              <w:bottom w:val="single" w:sz="4" w:space="0" w:color="auto"/>
              <w:right w:val="single" w:sz="4" w:space="0" w:color="auto"/>
            </w:tcBorders>
            <w:shd w:val="clear" w:color="auto" w:fill="auto"/>
            <w:vAlign w:val="center"/>
            <w:hideMark/>
          </w:tcPr>
          <w:p w14:paraId="654EA0B0" w14:textId="75D9874E"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1472</w:t>
            </w:r>
          </w:p>
        </w:tc>
        <w:tc>
          <w:tcPr>
            <w:tcW w:w="709" w:type="dxa"/>
            <w:tcBorders>
              <w:top w:val="nil"/>
              <w:left w:val="nil"/>
              <w:bottom w:val="single" w:sz="4" w:space="0" w:color="auto"/>
              <w:right w:val="single" w:sz="4" w:space="0" w:color="auto"/>
            </w:tcBorders>
            <w:shd w:val="clear" w:color="auto" w:fill="auto"/>
            <w:vAlign w:val="center"/>
            <w:hideMark/>
          </w:tcPr>
          <w:p w14:paraId="1477738E" w14:textId="0F54CACF"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1335</w:t>
            </w:r>
          </w:p>
        </w:tc>
        <w:tc>
          <w:tcPr>
            <w:tcW w:w="703" w:type="dxa"/>
            <w:tcBorders>
              <w:top w:val="nil"/>
              <w:left w:val="nil"/>
              <w:bottom w:val="single" w:sz="4" w:space="0" w:color="auto"/>
              <w:right w:val="single" w:sz="4" w:space="0" w:color="auto"/>
            </w:tcBorders>
            <w:shd w:val="clear" w:color="auto" w:fill="auto"/>
            <w:vAlign w:val="center"/>
            <w:hideMark/>
          </w:tcPr>
          <w:p w14:paraId="4598CC7A"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1373</w:t>
            </w:r>
          </w:p>
        </w:tc>
        <w:tc>
          <w:tcPr>
            <w:tcW w:w="1451" w:type="dxa"/>
            <w:tcBorders>
              <w:top w:val="nil"/>
              <w:left w:val="nil"/>
              <w:bottom w:val="single" w:sz="4" w:space="0" w:color="auto"/>
              <w:right w:val="single" w:sz="4" w:space="0" w:color="auto"/>
            </w:tcBorders>
            <w:shd w:val="clear" w:color="auto" w:fill="auto"/>
            <w:vAlign w:val="center"/>
            <w:hideMark/>
          </w:tcPr>
          <w:p w14:paraId="11E93F83"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8,9</w:t>
            </w:r>
          </w:p>
        </w:tc>
      </w:tr>
      <w:tr w:rsidR="00EF7425" w:rsidRPr="00EF7425" w14:paraId="654AD9EA" w14:textId="77777777" w:rsidTr="00EF7425">
        <w:trPr>
          <w:trHeight w:val="624"/>
          <w:jc w:val="center"/>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0765121A" w14:textId="77777777" w:rsidR="008053B3" w:rsidRPr="00EF7425" w:rsidRDefault="008053B3" w:rsidP="00EF7425">
            <w:pPr>
              <w:spacing w:after="0" w:line="240" w:lineRule="auto"/>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 xml:space="preserve">Размер субсидии, выделенной из областного бюджета, млн. руб. </w:t>
            </w:r>
          </w:p>
        </w:tc>
        <w:tc>
          <w:tcPr>
            <w:tcW w:w="709" w:type="dxa"/>
            <w:tcBorders>
              <w:top w:val="nil"/>
              <w:left w:val="nil"/>
              <w:bottom w:val="single" w:sz="4" w:space="0" w:color="auto"/>
              <w:right w:val="single" w:sz="4" w:space="0" w:color="auto"/>
            </w:tcBorders>
            <w:shd w:val="clear" w:color="auto" w:fill="auto"/>
            <w:vAlign w:val="center"/>
            <w:hideMark/>
          </w:tcPr>
          <w:p w14:paraId="4B741E0D"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20</w:t>
            </w:r>
          </w:p>
        </w:tc>
        <w:tc>
          <w:tcPr>
            <w:tcW w:w="708" w:type="dxa"/>
            <w:tcBorders>
              <w:top w:val="nil"/>
              <w:left w:val="nil"/>
              <w:bottom w:val="single" w:sz="4" w:space="0" w:color="auto"/>
              <w:right w:val="single" w:sz="4" w:space="0" w:color="auto"/>
            </w:tcBorders>
            <w:shd w:val="clear" w:color="auto" w:fill="auto"/>
            <w:vAlign w:val="center"/>
            <w:hideMark/>
          </w:tcPr>
          <w:p w14:paraId="40B1B1D0"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50</w:t>
            </w:r>
          </w:p>
        </w:tc>
        <w:tc>
          <w:tcPr>
            <w:tcW w:w="709" w:type="dxa"/>
            <w:tcBorders>
              <w:top w:val="nil"/>
              <w:left w:val="nil"/>
              <w:bottom w:val="single" w:sz="4" w:space="0" w:color="auto"/>
              <w:right w:val="single" w:sz="4" w:space="0" w:color="auto"/>
            </w:tcBorders>
            <w:shd w:val="clear" w:color="auto" w:fill="auto"/>
            <w:vAlign w:val="center"/>
            <w:hideMark/>
          </w:tcPr>
          <w:p w14:paraId="7BFF5146"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60</w:t>
            </w:r>
          </w:p>
        </w:tc>
        <w:tc>
          <w:tcPr>
            <w:tcW w:w="709" w:type="dxa"/>
            <w:tcBorders>
              <w:top w:val="nil"/>
              <w:left w:val="nil"/>
              <w:bottom w:val="single" w:sz="4" w:space="0" w:color="auto"/>
              <w:right w:val="single" w:sz="4" w:space="0" w:color="auto"/>
            </w:tcBorders>
            <w:shd w:val="clear" w:color="auto" w:fill="auto"/>
            <w:vAlign w:val="center"/>
            <w:hideMark/>
          </w:tcPr>
          <w:p w14:paraId="0CDDED08"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90</w:t>
            </w:r>
          </w:p>
        </w:tc>
        <w:tc>
          <w:tcPr>
            <w:tcW w:w="709" w:type="dxa"/>
            <w:tcBorders>
              <w:top w:val="nil"/>
              <w:left w:val="nil"/>
              <w:bottom w:val="single" w:sz="4" w:space="0" w:color="auto"/>
              <w:right w:val="single" w:sz="4" w:space="0" w:color="auto"/>
            </w:tcBorders>
            <w:shd w:val="clear" w:color="auto" w:fill="auto"/>
            <w:vAlign w:val="center"/>
            <w:hideMark/>
          </w:tcPr>
          <w:p w14:paraId="38DB1676"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170</w:t>
            </w:r>
          </w:p>
        </w:tc>
        <w:tc>
          <w:tcPr>
            <w:tcW w:w="708" w:type="dxa"/>
            <w:tcBorders>
              <w:top w:val="nil"/>
              <w:left w:val="nil"/>
              <w:bottom w:val="single" w:sz="4" w:space="0" w:color="auto"/>
              <w:right w:val="single" w:sz="4" w:space="0" w:color="auto"/>
            </w:tcBorders>
            <w:shd w:val="clear" w:color="auto" w:fill="auto"/>
            <w:vAlign w:val="center"/>
            <w:hideMark/>
          </w:tcPr>
          <w:p w14:paraId="47F97C71"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305,8</w:t>
            </w:r>
          </w:p>
        </w:tc>
        <w:tc>
          <w:tcPr>
            <w:tcW w:w="709" w:type="dxa"/>
            <w:tcBorders>
              <w:top w:val="nil"/>
              <w:left w:val="nil"/>
              <w:bottom w:val="single" w:sz="4" w:space="0" w:color="auto"/>
              <w:right w:val="single" w:sz="4" w:space="0" w:color="auto"/>
            </w:tcBorders>
            <w:shd w:val="clear" w:color="auto" w:fill="auto"/>
            <w:vAlign w:val="center"/>
            <w:hideMark/>
          </w:tcPr>
          <w:p w14:paraId="4927D125"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405,8</w:t>
            </w:r>
          </w:p>
        </w:tc>
        <w:tc>
          <w:tcPr>
            <w:tcW w:w="703" w:type="dxa"/>
            <w:tcBorders>
              <w:top w:val="nil"/>
              <w:left w:val="nil"/>
              <w:bottom w:val="single" w:sz="4" w:space="0" w:color="auto"/>
              <w:right w:val="single" w:sz="4" w:space="0" w:color="auto"/>
            </w:tcBorders>
            <w:shd w:val="clear" w:color="auto" w:fill="auto"/>
            <w:vAlign w:val="center"/>
            <w:hideMark/>
          </w:tcPr>
          <w:p w14:paraId="178F46F8"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eastAsia="Times New Roman" w:hAnsi="Times New Roman" w:cs="Times New Roman"/>
                <w:color w:val="000000"/>
                <w:sz w:val="20"/>
                <w:szCs w:val="20"/>
                <w:lang w:eastAsia="ru-RU"/>
              </w:rPr>
              <w:t>500</w:t>
            </w:r>
          </w:p>
        </w:tc>
        <w:tc>
          <w:tcPr>
            <w:tcW w:w="1451" w:type="dxa"/>
            <w:tcBorders>
              <w:top w:val="nil"/>
              <w:left w:val="nil"/>
              <w:bottom w:val="single" w:sz="4" w:space="0" w:color="auto"/>
              <w:right w:val="single" w:sz="4" w:space="0" w:color="auto"/>
            </w:tcBorders>
            <w:shd w:val="clear" w:color="auto" w:fill="auto"/>
            <w:vAlign w:val="center"/>
            <w:hideMark/>
          </w:tcPr>
          <w:p w14:paraId="6EA2595B"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25,0</w:t>
            </w:r>
          </w:p>
        </w:tc>
      </w:tr>
      <w:tr w:rsidR="00EF7425" w:rsidRPr="00EF7425" w14:paraId="07B664D5" w14:textId="77777777" w:rsidTr="00EF7425">
        <w:trPr>
          <w:trHeight w:val="750"/>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396C88B" w14:textId="77777777" w:rsidR="008053B3" w:rsidRPr="00EF7425" w:rsidRDefault="008053B3" w:rsidP="00EF7425">
            <w:pPr>
              <w:spacing w:after="0" w:line="240" w:lineRule="auto"/>
              <w:rPr>
                <w:rFonts w:ascii="Times New Roman" w:hAnsi="Times New Roman" w:cs="Times New Roman"/>
                <w:color w:val="000000"/>
                <w:sz w:val="20"/>
                <w:szCs w:val="20"/>
              </w:rPr>
            </w:pPr>
            <w:r w:rsidRPr="00EF7425">
              <w:rPr>
                <w:rFonts w:ascii="Times New Roman" w:hAnsi="Times New Roman" w:cs="Times New Roman"/>
                <w:color w:val="000000"/>
                <w:sz w:val="20"/>
                <w:szCs w:val="20"/>
              </w:rPr>
              <w:t>Средняя сумма на один поддержанный проект, тыс. руб.</w:t>
            </w:r>
          </w:p>
        </w:tc>
        <w:tc>
          <w:tcPr>
            <w:tcW w:w="709" w:type="dxa"/>
            <w:tcBorders>
              <w:top w:val="single" w:sz="4" w:space="0" w:color="auto"/>
              <w:left w:val="nil"/>
              <w:bottom w:val="single" w:sz="4" w:space="0" w:color="auto"/>
              <w:right w:val="single" w:sz="4" w:space="0" w:color="auto"/>
            </w:tcBorders>
            <w:shd w:val="clear" w:color="auto" w:fill="auto"/>
            <w:vAlign w:val="center"/>
          </w:tcPr>
          <w:p w14:paraId="4A982A80"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129</w:t>
            </w:r>
          </w:p>
        </w:tc>
        <w:tc>
          <w:tcPr>
            <w:tcW w:w="708" w:type="dxa"/>
            <w:tcBorders>
              <w:top w:val="single" w:sz="4" w:space="0" w:color="auto"/>
              <w:left w:val="nil"/>
              <w:bottom w:val="single" w:sz="4" w:space="0" w:color="auto"/>
              <w:right w:val="single" w:sz="4" w:space="0" w:color="auto"/>
            </w:tcBorders>
            <w:shd w:val="clear" w:color="auto" w:fill="auto"/>
            <w:vAlign w:val="center"/>
          </w:tcPr>
          <w:p w14:paraId="4AA35E92"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134</w:t>
            </w:r>
          </w:p>
        </w:tc>
        <w:tc>
          <w:tcPr>
            <w:tcW w:w="709" w:type="dxa"/>
            <w:tcBorders>
              <w:top w:val="single" w:sz="4" w:space="0" w:color="auto"/>
              <w:left w:val="nil"/>
              <w:bottom w:val="single" w:sz="4" w:space="0" w:color="auto"/>
              <w:right w:val="single" w:sz="4" w:space="0" w:color="auto"/>
            </w:tcBorders>
            <w:shd w:val="clear" w:color="auto" w:fill="auto"/>
            <w:vAlign w:val="center"/>
          </w:tcPr>
          <w:p w14:paraId="786FDA5B"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131</w:t>
            </w:r>
          </w:p>
        </w:tc>
        <w:tc>
          <w:tcPr>
            <w:tcW w:w="709" w:type="dxa"/>
            <w:tcBorders>
              <w:top w:val="single" w:sz="4" w:space="0" w:color="auto"/>
              <w:left w:val="nil"/>
              <w:bottom w:val="single" w:sz="4" w:space="0" w:color="auto"/>
              <w:right w:val="single" w:sz="4" w:space="0" w:color="auto"/>
            </w:tcBorders>
            <w:shd w:val="clear" w:color="auto" w:fill="auto"/>
            <w:vAlign w:val="center"/>
          </w:tcPr>
          <w:p w14:paraId="7618D4A9"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110</w:t>
            </w:r>
          </w:p>
        </w:tc>
        <w:tc>
          <w:tcPr>
            <w:tcW w:w="709" w:type="dxa"/>
            <w:tcBorders>
              <w:top w:val="single" w:sz="4" w:space="0" w:color="auto"/>
              <w:left w:val="nil"/>
              <w:bottom w:val="single" w:sz="4" w:space="0" w:color="auto"/>
              <w:right w:val="single" w:sz="4" w:space="0" w:color="auto"/>
            </w:tcBorders>
            <w:shd w:val="clear" w:color="auto" w:fill="auto"/>
            <w:vAlign w:val="center"/>
          </w:tcPr>
          <w:p w14:paraId="31A33E1F"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174</w:t>
            </w:r>
          </w:p>
        </w:tc>
        <w:tc>
          <w:tcPr>
            <w:tcW w:w="708" w:type="dxa"/>
            <w:tcBorders>
              <w:top w:val="single" w:sz="4" w:space="0" w:color="auto"/>
              <w:left w:val="nil"/>
              <w:bottom w:val="single" w:sz="4" w:space="0" w:color="auto"/>
              <w:right w:val="single" w:sz="4" w:space="0" w:color="auto"/>
            </w:tcBorders>
            <w:shd w:val="clear" w:color="auto" w:fill="auto"/>
            <w:vAlign w:val="center"/>
          </w:tcPr>
          <w:p w14:paraId="5E93064C"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208</w:t>
            </w:r>
          </w:p>
        </w:tc>
        <w:tc>
          <w:tcPr>
            <w:tcW w:w="709" w:type="dxa"/>
            <w:tcBorders>
              <w:top w:val="single" w:sz="4" w:space="0" w:color="auto"/>
              <w:left w:val="nil"/>
              <w:bottom w:val="single" w:sz="4" w:space="0" w:color="auto"/>
              <w:right w:val="single" w:sz="4" w:space="0" w:color="auto"/>
            </w:tcBorders>
            <w:shd w:val="clear" w:color="auto" w:fill="auto"/>
            <w:vAlign w:val="center"/>
          </w:tcPr>
          <w:p w14:paraId="4965860C"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304</w:t>
            </w:r>
          </w:p>
        </w:tc>
        <w:tc>
          <w:tcPr>
            <w:tcW w:w="703" w:type="dxa"/>
            <w:tcBorders>
              <w:top w:val="single" w:sz="4" w:space="0" w:color="auto"/>
              <w:left w:val="nil"/>
              <w:bottom w:val="single" w:sz="4" w:space="0" w:color="auto"/>
              <w:right w:val="single" w:sz="4" w:space="0" w:color="auto"/>
            </w:tcBorders>
            <w:shd w:val="clear" w:color="auto" w:fill="auto"/>
            <w:vAlign w:val="center"/>
          </w:tcPr>
          <w:p w14:paraId="56D45E8A"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364</w:t>
            </w:r>
          </w:p>
        </w:tc>
        <w:tc>
          <w:tcPr>
            <w:tcW w:w="1451" w:type="dxa"/>
            <w:tcBorders>
              <w:top w:val="single" w:sz="4" w:space="0" w:color="auto"/>
              <w:left w:val="nil"/>
              <w:bottom w:val="single" w:sz="4" w:space="0" w:color="auto"/>
              <w:right w:val="single" w:sz="4" w:space="0" w:color="auto"/>
            </w:tcBorders>
            <w:shd w:val="clear" w:color="auto" w:fill="auto"/>
            <w:vAlign w:val="center"/>
          </w:tcPr>
          <w:p w14:paraId="2C3BA85B" w14:textId="77777777" w:rsidR="008053B3" w:rsidRPr="00EF7425" w:rsidRDefault="008053B3" w:rsidP="00EF7425">
            <w:pPr>
              <w:spacing w:after="0" w:line="240" w:lineRule="auto"/>
              <w:jc w:val="center"/>
              <w:rPr>
                <w:rFonts w:ascii="Times New Roman" w:eastAsia="Times New Roman" w:hAnsi="Times New Roman" w:cs="Times New Roman"/>
                <w:color w:val="000000"/>
                <w:sz w:val="20"/>
                <w:szCs w:val="20"/>
                <w:lang w:eastAsia="ru-RU"/>
              </w:rPr>
            </w:pPr>
            <w:r w:rsidRPr="00EF7425">
              <w:rPr>
                <w:rFonts w:ascii="Times New Roman" w:hAnsi="Times New Roman" w:cs="Times New Roman"/>
                <w:color w:val="000000"/>
                <w:sz w:val="20"/>
                <w:szCs w:val="20"/>
              </w:rPr>
              <w:t>2,8</w:t>
            </w:r>
          </w:p>
        </w:tc>
      </w:tr>
      <w:tr w:rsidR="008053B3" w:rsidRPr="00EF7425" w14:paraId="6C21AA41" w14:textId="77777777" w:rsidTr="00EF7425">
        <w:trPr>
          <w:trHeight w:val="217"/>
          <w:jc w:val="center"/>
        </w:trPr>
        <w:tc>
          <w:tcPr>
            <w:tcW w:w="9095"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7B46F493" w14:textId="77777777" w:rsidR="008053B3" w:rsidRPr="00EF7425" w:rsidRDefault="008053B3" w:rsidP="00EF7425">
            <w:pPr>
              <w:spacing w:after="0" w:line="240" w:lineRule="auto"/>
              <w:jc w:val="both"/>
              <w:rPr>
                <w:rFonts w:ascii="Times New Roman" w:hAnsi="Times New Roman" w:cs="Times New Roman"/>
                <w:color w:val="000000"/>
                <w:sz w:val="20"/>
                <w:szCs w:val="20"/>
              </w:rPr>
            </w:pPr>
            <w:r w:rsidRPr="00EF7425">
              <w:rPr>
                <w:rFonts w:ascii="Times New Roman" w:eastAsia="Times New Roman" w:hAnsi="Times New Roman" w:cs="Times New Roman"/>
                <w:color w:val="000000"/>
                <w:sz w:val="20"/>
                <w:szCs w:val="20"/>
                <w:lang w:eastAsia="ru-RU"/>
              </w:rPr>
              <w:t xml:space="preserve">Источник: Разработано автором на основе данных официального портала правительства Вологодской области </w:t>
            </w:r>
            <w:r w:rsidRPr="00EF7425">
              <w:rPr>
                <w:rFonts w:ascii="Times New Roman" w:eastAsia="Times New Roman" w:hAnsi="Times New Roman" w:cs="Times New Roman"/>
                <w:color w:val="000000"/>
                <w:sz w:val="20"/>
                <w:szCs w:val="20"/>
                <w:lang w:val="en-US" w:eastAsia="ru-RU"/>
              </w:rPr>
              <w:t>URL</w:t>
            </w:r>
            <w:r w:rsidRPr="00EF7425">
              <w:rPr>
                <w:rFonts w:ascii="Times New Roman" w:eastAsia="Times New Roman" w:hAnsi="Times New Roman" w:cs="Times New Roman"/>
                <w:color w:val="000000"/>
                <w:sz w:val="20"/>
                <w:szCs w:val="20"/>
                <w:lang w:eastAsia="ru-RU"/>
              </w:rPr>
              <w:t>: https://vologda-oblast.ru/narodnyy-byudzhet/</w:t>
            </w:r>
          </w:p>
        </w:tc>
      </w:tr>
    </w:tbl>
    <w:p w14:paraId="628D6D62" w14:textId="77777777" w:rsidR="008053B3" w:rsidRPr="00640134" w:rsidRDefault="008053B3" w:rsidP="00021D01">
      <w:pPr>
        <w:spacing w:after="0" w:line="240" w:lineRule="auto"/>
        <w:rPr>
          <w:rFonts w:ascii="Times New Roman" w:hAnsi="Times New Roman" w:cs="Times New Roman"/>
          <w:b/>
          <w:bCs/>
          <w:sz w:val="24"/>
          <w:szCs w:val="24"/>
        </w:rPr>
      </w:pPr>
    </w:p>
    <w:p w14:paraId="66AA267C" w14:textId="647CA2D9" w:rsidR="008053B3" w:rsidRPr="00640134" w:rsidRDefault="008053B3" w:rsidP="00640134">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В контексте данного исследования представляется необходимым рассмотреть практики инициативного бюджетирования на местном уровне. «Народный бюджет» г. Череповца заслуживает отдельного внимания. Зачастую опыт данного проекта ставится в пример и отмечается на федеральном уровне. Так в 2023 году Череповец входит в пятерку лидеров по муниципальным расходам на инициативное бюджетирования и занимает 3 место по России по количеству реализованных проектов</w:t>
      </w:r>
      <w:r w:rsidRPr="00640134">
        <w:rPr>
          <w:rStyle w:val="a9"/>
          <w:rFonts w:ascii="Times New Roman" w:hAnsi="Times New Roman" w:cs="Times New Roman"/>
          <w:sz w:val="24"/>
          <w:szCs w:val="24"/>
        </w:rPr>
        <w:footnoteReference w:id="3"/>
      </w:r>
      <w:r w:rsidRPr="00640134">
        <w:rPr>
          <w:rFonts w:ascii="Times New Roman" w:hAnsi="Times New Roman" w:cs="Times New Roman"/>
          <w:sz w:val="24"/>
          <w:szCs w:val="24"/>
        </w:rPr>
        <w:t xml:space="preserve">. В таблице </w:t>
      </w:r>
      <w:r w:rsidR="00BA1BDD">
        <w:rPr>
          <w:rFonts w:ascii="Times New Roman" w:hAnsi="Times New Roman" w:cs="Times New Roman"/>
          <w:sz w:val="24"/>
          <w:szCs w:val="24"/>
        </w:rPr>
        <w:t>2</w:t>
      </w:r>
      <w:r w:rsidRPr="00640134">
        <w:rPr>
          <w:rFonts w:ascii="Times New Roman" w:hAnsi="Times New Roman" w:cs="Times New Roman"/>
          <w:sz w:val="24"/>
          <w:szCs w:val="24"/>
        </w:rPr>
        <w:t xml:space="preserve"> представлены показатели по проекту, исходя из которых можно так же сделать вывод о том, что муниципальные программы следуют общероссийским тенденциям. Так количество реализованных проектов по программе «Народный бюджет» в Череповце в 2023 году в сравнении с 2016 увеличилось в 4,7 раз. Активный рост наблюдается </w:t>
      </w:r>
      <w:r w:rsidR="00BA1BDD">
        <w:rPr>
          <w:rFonts w:ascii="Times New Roman" w:hAnsi="Times New Roman" w:cs="Times New Roman"/>
          <w:sz w:val="24"/>
          <w:szCs w:val="24"/>
        </w:rPr>
        <w:t>по</w:t>
      </w:r>
      <w:r w:rsidRPr="00640134">
        <w:rPr>
          <w:rFonts w:ascii="Times New Roman" w:hAnsi="Times New Roman" w:cs="Times New Roman"/>
          <w:sz w:val="24"/>
          <w:szCs w:val="24"/>
        </w:rPr>
        <w:t xml:space="preserve"> объем</w:t>
      </w:r>
      <w:r w:rsidR="00BA1BDD">
        <w:rPr>
          <w:rFonts w:ascii="Times New Roman" w:hAnsi="Times New Roman" w:cs="Times New Roman"/>
          <w:sz w:val="24"/>
          <w:szCs w:val="24"/>
        </w:rPr>
        <w:t>ам</w:t>
      </w:r>
      <w:r w:rsidRPr="00640134">
        <w:rPr>
          <w:rFonts w:ascii="Times New Roman" w:hAnsi="Times New Roman" w:cs="Times New Roman"/>
          <w:sz w:val="24"/>
          <w:szCs w:val="24"/>
        </w:rPr>
        <w:t xml:space="preserve"> финансирования (увеличение почти в 32 раза за этот же период). И, соответственно, возрастает средняя сумма на один проект (почти в 7 раз)</w:t>
      </w:r>
      <w:r w:rsidR="00021D01">
        <w:rPr>
          <w:rFonts w:ascii="Times New Roman" w:hAnsi="Times New Roman" w:cs="Times New Roman"/>
          <w:sz w:val="24"/>
          <w:szCs w:val="24"/>
        </w:rPr>
        <w:t>.</w:t>
      </w:r>
    </w:p>
    <w:p w14:paraId="4F09C08D" w14:textId="48BA35AD" w:rsidR="00021D01" w:rsidRDefault="008053B3" w:rsidP="00021D01">
      <w:pPr>
        <w:spacing w:after="0" w:line="240" w:lineRule="auto"/>
        <w:ind w:firstLine="709"/>
        <w:jc w:val="right"/>
        <w:rPr>
          <w:rFonts w:ascii="Times New Roman" w:hAnsi="Times New Roman" w:cs="Times New Roman"/>
          <w:sz w:val="24"/>
          <w:szCs w:val="24"/>
        </w:rPr>
      </w:pPr>
      <w:r w:rsidRPr="00640134">
        <w:rPr>
          <w:rFonts w:ascii="Times New Roman" w:hAnsi="Times New Roman" w:cs="Times New Roman"/>
          <w:sz w:val="24"/>
          <w:szCs w:val="24"/>
        </w:rPr>
        <w:t xml:space="preserve">Таблица </w:t>
      </w:r>
      <w:r w:rsidR="00BA1BDD">
        <w:rPr>
          <w:rFonts w:ascii="Times New Roman" w:hAnsi="Times New Roman" w:cs="Times New Roman"/>
          <w:sz w:val="24"/>
          <w:szCs w:val="24"/>
        </w:rPr>
        <w:t>2</w:t>
      </w:r>
      <w:r w:rsidRPr="00640134">
        <w:rPr>
          <w:rFonts w:ascii="Times New Roman" w:hAnsi="Times New Roman" w:cs="Times New Roman"/>
          <w:sz w:val="24"/>
          <w:szCs w:val="24"/>
        </w:rPr>
        <w:t xml:space="preserve"> </w:t>
      </w:r>
    </w:p>
    <w:p w14:paraId="7BE840D3" w14:textId="77777777" w:rsidR="00F3674E" w:rsidRDefault="008053B3" w:rsidP="00640134">
      <w:pPr>
        <w:spacing w:after="0" w:line="240" w:lineRule="auto"/>
        <w:ind w:firstLine="709"/>
        <w:jc w:val="center"/>
        <w:rPr>
          <w:rFonts w:ascii="Times New Roman" w:hAnsi="Times New Roman" w:cs="Times New Roman"/>
          <w:sz w:val="24"/>
          <w:szCs w:val="24"/>
        </w:rPr>
      </w:pPr>
      <w:r w:rsidRPr="00F3674E">
        <w:rPr>
          <w:rFonts w:ascii="Times New Roman" w:hAnsi="Times New Roman" w:cs="Times New Roman"/>
          <w:sz w:val="24"/>
          <w:szCs w:val="24"/>
        </w:rPr>
        <w:t xml:space="preserve">Объемы финансирования проекта «Народный бюджет (Народная программа)» </w:t>
      </w:r>
    </w:p>
    <w:p w14:paraId="289353BE" w14:textId="3C9DF722" w:rsidR="008053B3" w:rsidRPr="00F3674E" w:rsidRDefault="008053B3" w:rsidP="00640134">
      <w:pPr>
        <w:spacing w:after="0" w:line="240" w:lineRule="auto"/>
        <w:ind w:firstLine="709"/>
        <w:jc w:val="center"/>
        <w:rPr>
          <w:rFonts w:ascii="Times New Roman" w:hAnsi="Times New Roman" w:cs="Times New Roman"/>
          <w:sz w:val="24"/>
          <w:szCs w:val="24"/>
        </w:rPr>
      </w:pPr>
      <w:r w:rsidRPr="00F3674E">
        <w:rPr>
          <w:rFonts w:ascii="Times New Roman" w:hAnsi="Times New Roman" w:cs="Times New Roman"/>
          <w:sz w:val="24"/>
          <w:szCs w:val="24"/>
        </w:rPr>
        <w:t>г. Череповец 2016</w:t>
      </w:r>
      <w:r w:rsidR="00F3674E">
        <w:rPr>
          <w:rFonts w:ascii="Times New Roman" w:hAnsi="Times New Roman" w:cs="Times New Roman"/>
          <w:sz w:val="24"/>
          <w:szCs w:val="24"/>
        </w:rPr>
        <w:t>–</w:t>
      </w:r>
      <w:r w:rsidRPr="00F3674E">
        <w:rPr>
          <w:rFonts w:ascii="Times New Roman" w:hAnsi="Times New Roman" w:cs="Times New Roman"/>
          <w:sz w:val="24"/>
          <w:szCs w:val="24"/>
        </w:rPr>
        <w:t>202</w:t>
      </w:r>
      <w:r w:rsidR="00F3674E">
        <w:rPr>
          <w:rFonts w:ascii="Times New Roman" w:hAnsi="Times New Roman" w:cs="Times New Roman"/>
          <w:sz w:val="24"/>
          <w:szCs w:val="24"/>
        </w:rPr>
        <w:t>3</w:t>
      </w:r>
      <w:r w:rsidRPr="00F3674E">
        <w:rPr>
          <w:rFonts w:ascii="Times New Roman" w:hAnsi="Times New Roman" w:cs="Times New Roman"/>
          <w:sz w:val="24"/>
          <w:szCs w:val="24"/>
        </w:rPr>
        <w:t xml:space="preserve"> гг.</w:t>
      </w:r>
    </w:p>
    <w:tbl>
      <w:tblPr>
        <w:tblW w:w="9941" w:type="dxa"/>
        <w:tblLook w:val="04A0" w:firstRow="1" w:lastRow="0" w:firstColumn="1" w:lastColumn="0" w:noHBand="0" w:noVBand="1"/>
      </w:tblPr>
      <w:tblGrid>
        <w:gridCol w:w="3256"/>
        <w:gridCol w:w="708"/>
        <w:gridCol w:w="663"/>
        <w:gridCol w:w="616"/>
        <w:gridCol w:w="661"/>
        <w:gridCol w:w="616"/>
        <w:gridCol w:w="662"/>
        <w:gridCol w:w="616"/>
        <w:gridCol w:w="702"/>
        <w:gridCol w:w="1441"/>
      </w:tblGrid>
      <w:tr w:rsidR="00EF7425" w:rsidRPr="00E83B9C" w14:paraId="0595BB35" w14:textId="77777777" w:rsidTr="00EF7425">
        <w:trPr>
          <w:trHeight w:val="421"/>
        </w:trPr>
        <w:tc>
          <w:tcPr>
            <w:tcW w:w="32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005AB1" w14:textId="77777777" w:rsidR="008053B3" w:rsidRPr="00E83B9C" w:rsidRDefault="008053B3" w:rsidP="00640134">
            <w:pPr>
              <w:spacing w:after="0" w:line="240" w:lineRule="auto"/>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Год</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23A41AC2"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2016</w:t>
            </w:r>
          </w:p>
        </w:tc>
        <w:tc>
          <w:tcPr>
            <w:tcW w:w="663" w:type="dxa"/>
            <w:tcBorders>
              <w:top w:val="single" w:sz="4" w:space="0" w:color="auto"/>
              <w:left w:val="nil"/>
              <w:bottom w:val="single" w:sz="4" w:space="0" w:color="auto"/>
              <w:right w:val="single" w:sz="4" w:space="0" w:color="auto"/>
            </w:tcBorders>
            <w:shd w:val="clear" w:color="auto" w:fill="auto"/>
            <w:vAlign w:val="center"/>
            <w:hideMark/>
          </w:tcPr>
          <w:p w14:paraId="69A351E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2017</w:t>
            </w:r>
          </w:p>
        </w:tc>
        <w:tc>
          <w:tcPr>
            <w:tcW w:w="616" w:type="dxa"/>
            <w:tcBorders>
              <w:top w:val="single" w:sz="4" w:space="0" w:color="auto"/>
              <w:left w:val="nil"/>
              <w:bottom w:val="single" w:sz="4" w:space="0" w:color="auto"/>
              <w:right w:val="single" w:sz="4" w:space="0" w:color="auto"/>
            </w:tcBorders>
            <w:shd w:val="clear" w:color="auto" w:fill="auto"/>
            <w:vAlign w:val="center"/>
            <w:hideMark/>
          </w:tcPr>
          <w:p w14:paraId="3988F091"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2018</w:t>
            </w:r>
          </w:p>
        </w:tc>
        <w:tc>
          <w:tcPr>
            <w:tcW w:w="661" w:type="dxa"/>
            <w:tcBorders>
              <w:top w:val="single" w:sz="4" w:space="0" w:color="auto"/>
              <w:left w:val="nil"/>
              <w:bottom w:val="single" w:sz="4" w:space="0" w:color="auto"/>
              <w:right w:val="single" w:sz="4" w:space="0" w:color="auto"/>
            </w:tcBorders>
            <w:shd w:val="clear" w:color="auto" w:fill="auto"/>
            <w:vAlign w:val="center"/>
            <w:hideMark/>
          </w:tcPr>
          <w:p w14:paraId="5581BD9F"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2019</w:t>
            </w:r>
          </w:p>
        </w:tc>
        <w:tc>
          <w:tcPr>
            <w:tcW w:w="616" w:type="dxa"/>
            <w:tcBorders>
              <w:top w:val="single" w:sz="4" w:space="0" w:color="auto"/>
              <w:left w:val="nil"/>
              <w:bottom w:val="single" w:sz="4" w:space="0" w:color="auto"/>
              <w:right w:val="single" w:sz="4" w:space="0" w:color="auto"/>
            </w:tcBorders>
            <w:shd w:val="clear" w:color="auto" w:fill="auto"/>
            <w:vAlign w:val="center"/>
            <w:hideMark/>
          </w:tcPr>
          <w:p w14:paraId="6D545985"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2020</w:t>
            </w:r>
          </w:p>
        </w:tc>
        <w:tc>
          <w:tcPr>
            <w:tcW w:w="662" w:type="dxa"/>
            <w:tcBorders>
              <w:top w:val="single" w:sz="4" w:space="0" w:color="auto"/>
              <w:left w:val="nil"/>
              <w:bottom w:val="single" w:sz="4" w:space="0" w:color="auto"/>
              <w:right w:val="single" w:sz="4" w:space="0" w:color="auto"/>
            </w:tcBorders>
            <w:shd w:val="clear" w:color="auto" w:fill="auto"/>
            <w:vAlign w:val="center"/>
            <w:hideMark/>
          </w:tcPr>
          <w:p w14:paraId="57FB3E93"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2021</w:t>
            </w:r>
          </w:p>
        </w:tc>
        <w:tc>
          <w:tcPr>
            <w:tcW w:w="616" w:type="dxa"/>
            <w:tcBorders>
              <w:top w:val="single" w:sz="4" w:space="0" w:color="auto"/>
              <w:left w:val="nil"/>
              <w:bottom w:val="single" w:sz="4" w:space="0" w:color="auto"/>
              <w:right w:val="single" w:sz="4" w:space="0" w:color="auto"/>
            </w:tcBorders>
            <w:shd w:val="clear" w:color="auto" w:fill="auto"/>
            <w:vAlign w:val="center"/>
            <w:hideMark/>
          </w:tcPr>
          <w:p w14:paraId="5C9C5F99"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2022</w:t>
            </w:r>
          </w:p>
        </w:tc>
        <w:tc>
          <w:tcPr>
            <w:tcW w:w="702" w:type="dxa"/>
            <w:tcBorders>
              <w:top w:val="single" w:sz="4" w:space="0" w:color="auto"/>
              <w:left w:val="nil"/>
              <w:bottom w:val="single" w:sz="4" w:space="0" w:color="auto"/>
              <w:right w:val="single" w:sz="4" w:space="0" w:color="auto"/>
            </w:tcBorders>
            <w:shd w:val="clear" w:color="auto" w:fill="auto"/>
            <w:vAlign w:val="center"/>
            <w:hideMark/>
          </w:tcPr>
          <w:p w14:paraId="760C5462" w14:textId="77777777" w:rsidR="008053B3" w:rsidRPr="00594EEE"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594EEE">
              <w:rPr>
                <w:rFonts w:ascii="Times New Roman" w:eastAsia="Times New Roman" w:hAnsi="Times New Roman" w:cs="Times New Roman"/>
                <w:color w:val="000000"/>
                <w:sz w:val="20"/>
                <w:szCs w:val="20"/>
                <w:lang w:eastAsia="ru-RU"/>
              </w:rPr>
              <w:t>2023</w:t>
            </w:r>
          </w:p>
        </w:tc>
        <w:tc>
          <w:tcPr>
            <w:tcW w:w="1441" w:type="dxa"/>
            <w:tcBorders>
              <w:top w:val="single" w:sz="4" w:space="0" w:color="auto"/>
              <w:left w:val="nil"/>
              <w:bottom w:val="single" w:sz="4" w:space="0" w:color="auto"/>
              <w:right w:val="single" w:sz="4" w:space="0" w:color="auto"/>
            </w:tcBorders>
            <w:shd w:val="clear" w:color="auto" w:fill="auto"/>
            <w:vAlign w:val="center"/>
            <w:hideMark/>
          </w:tcPr>
          <w:p w14:paraId="520E31B5"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Увеличение, в раз</w:t>
            </w:r>
          </w:p>
        </w:tc>
      </w:tr>
      <w:tr w:rsidR="00EF7425" w:rsidRPr="00E83B9C" w14:paraId="11960719" w14:textId="77777777" w:rsidTr="00EF7425">
        <w:trPr>
          <w:trHeight w:val="427"/>
        </w:trPr>
        <w:tc>
          <w:tcPr>
            <w:tcW w:w="3256" w:type="dxa"/>
            <w:tcBorders>
              <w:top w:val="nil"/>
              <w:left w:val="single" w:sz="4" w:space="0" w:color="auto"/>
              <w:bottom w:val="single" w:sz="4" w:space="0" w:color="auto"/>
              <w:right w:val="single" w:sz="4" w:space="0" w:color="auto"/>
            </w:tcBorders>
            <w:shd w:val="clear" w:color="auto" w:fill="auto"/>
            <w:vAlign w:val="center"/>
            <w:hideMark/>
          </w:tcPr>
          <w:p w14:paraId="5C3B9A8C" w14:textId="77777777" w:rsidR="008053B3" w:rsidRPr="00E83B9C" w:rsidRDefault="008053B3" w:rsidP="00640134">
            <w:pPr>
              <w:spacing w:after="0" w:line="240" w:lineRule="auto"/>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Кол-во поддержанных проектов</w:t>
            </w:r>
          </w:p>
        </w:tc>
        <w:tc>
          <w:tcPr>
            <w:tcW w:w="708" w:type="dxa"/>
            <w:tcBorders>
              <w:top w:val="nil"/>
              <w:left w:val="nil"/>
              <w:bottom w:val="single" w:sz="4" w:space="0" w:color="auto"/>
              <w:right w:val="single" w:sz="4" w:space="0" w:color="auto"/>
            </w:tcBorders>
            <w:shd w:val="clear" w:color="auto" w:fill="auto"/>
            <w:vAlign w:val="center"/>
            <w:hideMark/>
          </w:tcPr>
          <w:p w14:paraId="75A4D2D5"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7</w:t>
            </w:r>
          </w:p>
        </w:tc>
        <w:tc>
          <w:tcPr>
            <w:tcW w:w="663" w:type="dxa"/>
            <w:tcBorders>
              <w:top w:val="nil"/>
              <w:left w:val="nil"/>
              <w:bottom w:val="single" w:sz="4" w:space="0" w:color="auto"/>
              <w:right w:val="single" w:sz="4" w:space="0" w:color="auto"/>
            </w:tcBorders>
            <w:shd w:val="clear" w:color="auto" w:fill="auto"/>
            <w:vAlign w:val="center"/>
            <w:hideMark/>
          </w:tcPr>
          <w:p w14:paraId="4F393DBF"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12</w:t>
            </w:r>
          </w:p>
        </w:tc>
        <w:tc>
          <w:tcPr>
            <w:tcW w:w="616" w:type="dxa"/>
            <w:tcBorders>
              <w:top w:val="nil"/>
              <w:left w:val="nil"/>
              <w:bottom w:val="single" w:sz="4" w:space="0" w:color="auto"/>
              <w:right w:val="single" w:sz="4" w:space="0" w:color="auto"/>
            </w:tcBorders>
            <w:shd w:val="clear" w:color="auto" w:fill="auto"/>
            <w:vAlign w:val="center"/>
            <w:hideMark/>
          </w:tcPr>
          <w:p w14:paraId="6202B8B4"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20</w:t>
            </w:r>
          </w:p>
        </w:tc>
        <w:tc>
          <w:tcPr>
            <w:tcW w:w="661" w:type="dxa"/>
            <w:tcBorders>
              <w:top w:val="nil"/>
              <w:left w:val="nil"/>
              <w:bottom w:val="single" w:sz="4" w:space="0" w:color="auto"/>
              <w:right w:val="single" w:sz="4" w:space="0" w:color="auto"/>
            </w:tcBorders>
            <w:shd w:val="clear" w:color="auto" w:fill="auto"/>
            <w:vAlign w:val="center"/>
            <w:hideMark/>
          </w:tcPr>
          <w:p w14:paraId="1D74B5F2"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39</w:t>
            </w:r>
          </w:p>
        </w:tc>
        <w:tc>
          <w:tcPr>
            <w:tcW w:w="616" w:type="dxa"/>
            <w:tcBorders>
              <w:top w:val="nil"/>
              <w:left w:val="nil"/>
              <w:bottom w:val="single" w:sz="4" w:space="0" w:color="auto"/>
              <w:right w:val="single" w:sz="4" w:space="0" w:color="auto"/>
            </w:tcBorders>
            <w:shd w:val="clear" w:color="auto" w:fill="auto"/>
            <w:vAlign w:val="center"/>
            <w:hideMark/>
          </w:tcPr>
          <w:p w14:paraId="2174D59D"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w:t>
            </w:r>
          </w:p>
        </w:tc>
        <w:tc>
          <w:tcPr>
            <w:tcW w:w="662" w:type="dxa"/>
            <w:tcBorders>
              <w:top w:val="nil"/>
              <w:left w:val="nil"/>
              <w:bottom w:val="single" w:sz="4" w:space="0" w:color="auto"/>
              <w:right w:val="single" w:sz="4" w:space="0" w:color="auto"/>
            </w:tcBorders>
            <w:shd w:val="clear" w:color="auto" w:fill="auto"/>
            <w:vAlign w:val="center"/>
            <w:hideMark/>
          </w:tcPr>
          <w:p w14:paraId="1A33B391"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26</w:t>
            </w:r>
          </w:p>
        </w:tc>
        <w:tc>
          <w:tcPr>
            <w:tcW w:w="616" w:type="dxa"/>
            <w:tcBorders>
              <w:top w:val="nil"/>
              <w:left w:val="nil"/>
              <w:bottom w:val="single" w:sz="4" w:space="0" w:color="auto"/>
              <w:right w:val="single" w:sz="4" w:space="0" w:color="auto"/>
            </w:tcBorders>
            <w:shd w:val="clear" w:color="auto" w:fill="auto"/>
            <w:vAlign w:val="center"/>
            <w:hideMark/>
          </w:tcPr>
          <w:p w14:paraId="4C7C78BF"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7</w:t>
            </w:r>
          </w:p>
        </w:tc>
        <w:tc>
          <w:tcPr>
            <w:tcW w:w="702" w:type="dxa"/>
            <w:tcBorders>
              <w:top w:val="nil"/>
              <w:left w:val="nil"/>
              <w:bottom w:val="single" w:sz="4" w:space="0" w:color="auto"/>
              <w:right w:val="single" w:sz="4" w:space="0" w:color="auto"/>
            </w:tcBorders>
            <w:shd w:val="clear" w:color="auto" w:fill="auto"/>
            <w:vAlign w:val="center"/>
            <w:hideMark/>
          </w:tcPr>
          <w:p w14:paraId="5E3124A1" w14:textId="77777777" w:rsidR="008053B3" w:rsidRPr="00594EEE"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594EEE">
              <w:rPr>
                <w:rFonts w:ascii="Times New Roman" w:hAnsi="Times New Roman" w:cs="Times New Roman"/>
                <w:color w:val="000000"/>
                <w:sz w:val="20"/>
                <w:szCs w:val="20"/>
              </w:rPr>
              <w:t>33</w:t>
            </w:r>
          </w:p>
        </w:tc>
        <w:tc>
          <w:tcPr>
            <w:tcW w:w="1441" w:type="dxa"/>
            <w:tcBorders>
              <w:top w:val="nil"/>
              <w:left w:val="nil"/>
              <w:bottom w:val="single" w:sz="4" w:space="0" w:color="auto"/>
              <w:right w:val="single" w:sz="4" w:space="0" w:color="auto"/>
            </w:tcBorders>
            <w:shd w:val="clear" w:color="auto" w:fill="auto"/>
            <w:noWrap/>
            <w:vAlign w:val="center"/>
            <w:hideMark/>
          </w:tcPr>
          <w:p w14:paraId="1E572E4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4,7</w:t>
            </w:r>
          </w:p>
        </w:tc>
      </w:tr>
      <w:tr w:rsidR="00EF7425" w:rsidRPr="00E83B9C" w14:paraId="07769F1D" w14:textId="77777777" w:rsidTr="00EF7425">
        <w:trPr>
          <w:trHeight w:val="295"/>
        </w:trPr>
        <w:tc>
          <w:tcPr>
            <w:tcW w:w="3256" w:type="dxa"/>
            <w:tcBorders>
              <w:top w:val="nil"/>
              <w:left w:val="single" w:sz="4" w:space="0" w:color="auto"/>
              <w:bottom w:val="single" w:sz="4" w:space="0" w:color="auto"/>
              <w:right w:val="single" w:sz="4" w:space="0" w:color="auto"/>
            </w:tcBorders>
            <w:shd w:val="clear" w:color="auto" w:fill="auto"/>
            <w:vAlign w:val="center"/>
            <w:hideMark/>
          </w:tcPr>
          <w:p w14:paraId="439B0640" w14:textId="77777777" w:rsidR="008053B3" w:rsidRPr="00E83B9C" w:rsidRDefault="008053B3" w:rsidP="00640134">
            <w:pPr>
              <w:spacing w:after="0" w:line="240" w:lineRule="auto"/>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Объемы финансирования, млн. руб.</w:t>
            </w:r>
          </w:p>
        </w:tc>
        <w:tc>
          <w:tcPr>
            <w:tcW w:w="708" w:type="dxa"/>
            <w:tcBorders>
              <w:top w:val="nil"/>
              <w:left w:val="nil"/>
              <w:bottom w:val="single" w:sz="4" w:space="0" w:color="auto"/>
              <w:right w:val="single" w:sz="4" w:space="0" w:color="auto"/>
            </w:tcBorders>
            <w:shd w:val="clear" w:color="auto" w:fill="auto"/>
            <w:vAlign w:val="center"/>
            <w:hideMark/>
          </w:tcPr>
          <w:p w14:paraId="2D4B999F"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9,9</w:t>
            </w:r>
          </w:p>
        </w:tc>
        <w:tc>
          <w:tcPr>
            <w:tcW w:w="663" w:type="dxa"/>
            <w:tcBorders>
              <w:top w:val="nil"/>
              <w:left w:val="nil"/>
              <w:bottom w:val="single" w:sz="4" w:space="0" w:color="auto"/>
              <w:right w:val="single" w:sz="4" w:space="0" w:color="auto"/>
            </w:tcBorders>
            <w:shd w:val="clear" w:color="auto" w:fill="auto"/>
            <w:vAlign w:val="center"/>
            <w:hideMark/>
          </w:tcPr>
          <w:p w14:paraId="48513078"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19,9</w:t>
            </w:r>
          </w:p>
        </w:tc>
        <w:tc>
          <w:tcPr>
            <w:tcW w:w="616" w:type="dxa"/>
            <w:tcBorders>
              <w:top w:val="nil"/>
              <w:left w:val="nil"/>
              <w:bottom w:val="single" w:sz="4" w:space="0" w:color="auto"/>
              <w:right w:val="single" w:sz="4" w:space="0" w:color="auto"/>
            </w:tcBorders>
            <w:shd w:val="clear" w:color="auto" w:fill="auto"/>
            <w:vAlign w:val="center"/>
            <w:hideMark/>
          </w:tcPr>
          <w:p w14:paraId="6DBD3EE9"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35,7</w:t>
            </w:r>
          </w:p>
        </w:tc>
        <w:tc>
          <w:tcPr>
            <w:tcW w:w="661" w:type="dxa"/>
            <w:tcBorders>
              <w:top w:val="nil"/>
              <w:left w:val="nil"/>
              <w:bottom w:val="single" w:sz="4" w:space="0" w:color="auto"/>
              <w:right w:val="single" w:sz="4" w:space="0" w:color="auto"/>
            </w:tcBorders>
            <w:shd w:val="clear" w:color="auto" w:fill="auto"/>
            <w:vAlign w:val="center"/>
            <w:hideMark/>
          </w:tcPr>
          <w:p w14:paraId="1023704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44,8</w:t>
            </w:r>
          </w:p>
        </w:tc>
        <w:tc>
          <w:tcPr>
            <w:tcW w:w="616" w:type="dxa"/>
            <w:tcBorders>
              <w:top w:val="nil"/>
              <w:left w:val="nil"/>
              <w:bottom w:val="single" w:sz="4" w:space="0" w:color="auto"/>
              <w:right w:val="single" w:sz="4" w:space="0" w:color="auto"/>
            </w:tcBorders>
            <w:shd w:val="clear" w:color="auto" w:fill="auto"/>
            <w:vAlign w:val="center"/>
            <w:hideMark/>
          </w:tcPr>
          <w:p w14:paraId="3A96079D"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w:t>
            </w:r>
          </w:p>
        </w:tc>
        <w:tc>
          <w:tcPr>
            <w:tcW w:w="662" w:type="dxa"/>
            <w:tcBorders>
              <w:top w:val="nil"/>
              <w:left w:val="nil"/>
              <w:bottom w:val="single" w:sz="4" w:space="0" w:color="auto"/>
              <w:right w:val="single" w:sz="4" w:space="0" w:color="auto"/>
            </w:tcBorders>
            <w:shd w:val="clear" w:color="auto" w:fill="auto"/>
            <w:vAlign w:val="center"/>
            <w:hideMark/>
          </w:tcPr>
          <w:p w14:paraId="28AEED0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76,9</w:t>
            </w:r>
          </w:p>
        </w:tc>
        <w:tc>
          <w:tcPr>
            <w:tcW w:w="616" w:type="dxa"/>
            <w:tcBorders>
              <w:top w:val="nil"/>
              <w:left w:val="nil"/>
              <w:bottom w:val="single" w:sz="4" w:space="0" w:color="auto"/>
              <w:right w:val="single" w:sz="4" w:space="0" w:color="auto"/>
            </w:tcBorders>
            <w:shd w:val="clear" w:color="auto" w:fill="auto"/>
            <w:vAlign w:val="center"/>
            <w:hideMark/>
          </w:tcPr>
          <w:p w14:paraId="59C6E01B"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55</w:t>
            </w:r>
          </w:p>
        </w:tc>
        <w:tc>
          <w:tcPr>
            <w:tcW w:w="702" w:type="dxa"/>
            <w:tcBorders>
              <w:top w:val="nil"/>
              <w:left w:val="nil"/>
              <w:bottom w:val="single" w:sz="4" w:space="0" w:color="auto"/>
              <w:right w:val="single" w:sz="4" w:space="0" w:color="auto"/>
            </w:tcBorders>
            <w:shd w:val="clear" w:color="auto" w:fill="auto"/>
            <w:vAlign w:val="center"/>
            <w:hideMark/>
          </w:tcPr>
          <w:p w14:paraId="3D90541C" w14:textId="77777777" w:rsidR="008053B3" w:rsidRPr="00594EEE"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594EEE">
              <w:rPr>
                <w:rFonts w:ascii="Times New Roman" w:hAnsi="Times New Roman" w:cs="Times New Roman"/>
                <w:color w:val="000000"/>
                <w:sz w:val="20"/>
                <w:szCs w:val="20"/>
              </w:rPr>
              <w:t>316,1</w:t>
            </w:r>
          </w:p>
        </w:tc>
        <w:tc>
          <w:tcPr>
            <w:tcW w:w="1441" w:type="dxa"/>
            <w:tcBorders>
              <w:top w:val="nil"/>
              <w:left w:val="nil"/>
              <w:bottom w:val="single" w:sz="4" w:space="0" w:color="auto"/>
              <w:right w:val="single" w:sz="4" w:space="0" w:color="auto"/>
            </w:tcBorders>
            <w:shd w:val="clear" w:color="auto" w:fill="auto"/>
            <w:noWrap/>
            <w:vAlign w:val="center"/>
            <w:hideMark/>
          </w:tcPr>
          <w:p w14:paraId="64F78A04"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31,9</w:t>
            </w:r>
          </w:p>
        </w:tc>
      </w:tr>
      <w:tr w:rsidR="00EF7425" w:rsidRPr="00E83B9C" w14:paraId="2CE5A4C1" w14:textId="77777777" w:rsidTr="00EF7425">
        <w:trPr>
          <w:trHeight w:val="575"/>
        </w:trPr>
        <w:tc>
          <w:tcPr>
            <w:tcW w:w="3256" w:type="dxa"/>
            <w:tcBorders>
              <w:top w:val="nil"/>
              <w:left w:val="single" w:sz="4" w:space="0" w:color="auto"/>
              <w:bottom w:val="single" w:sz="4" w:space="0" w:color="auto"/>
              <w:right w:val="single" w:sz="4" w:space="0" w:color="auto"/>
            </w:tcBorders>
            <w:shd w:val="clear" w:color="auto" w:fill="auto"/>
            <w:vAlign w:val="center"/>
            <w:hideMark/>
          </w:tcPr>
          <w:p w14:paraId="6CC2BEF9" w14:textId="77777777" w:rsidR="008053B3" w:rsidRPr="00E83B9C" w:rsidRDefault="008053B3" w:rsidP="00640134">
            <w:pPr>
              <w:spacing w:after="0" w:line="240" w:lineRule="auto"/>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Средняя сумма на один поддержанный проект, тыс. руб.</w:t>
            </w:r>
          </w:p>
        </w:tc>
        <w:tc>
          <w:tcPr>
            <w:tcW w:w="708" w:type="dxa"/>
            <w:tcBorders>
              <w:top w:val="nil"/>
              <w:left w:val="nil"/>
              <w:bottom w:val="single" w:sz="4" w:space="0" w:color="auto"/>
              <w:right w:val="single" w:sz="4" w:space="0" w:color="auto"/>
            </w:tcBorders>
            <w:shd w:val="clear" w:color="auto" w:fill="auto"/>
            <w:vAlign w:val="center"/>
            <w:hideMark/>
          </w:tcPr>
          <w:p w14:paraId="06255371"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1414</w:t>
            </w:r>
          </w:p>
        </w:tc>
        <w:tc>
          <w:tcPr>
            <w:tcW w:w="663" w:type="dxa"/>
            <w:tcBorders>
              <w:top w:val="nil"/>
              <w:left w:val="nil"/>
              <w:bottom w:val="single" w:sz="4" w:space="0" w:color="auto"/>
              <w:right w:val="single" w:sz="4" w:space="0" w:color="auto"/>
            </w:tcBorders>
            <w:shd w:val="clear" w:color="auto" w:fill="auto"/>
            <w:vAlign w:val="center"/>
            <w:hideMark/>
          </w:tcPr>
          <w:p w14:paraId="60FEC8A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1658</w:t>
            </w:r>
          </w:p>
        </w:tc>
        <w:tc>
          <w:tcPr>
            <w:tcW w:w="616" w:type="dxa"/>
            <w:tcBorders>
              <w:top w:val="nil"/>
              <w:left w:val="nil"/>
              <w:bottom w:val="single" w:sz="4" w:space="0" w:color="auto"/>
              <w:right w:val="single" w:sz="4" w:space="0" w:color="auto"/>
            </w:tcBorders>
            <w:shd w:val="clear" w:color="auto" w:fill="auto"/>
            <w:vAlign w:val="center"/>
            <w:hideMark/>
          </w:tcPr>
          <w:p w14:paraId="29639345"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1785</w:t>
            </w:r>
          </w:p>
        </w:tc>
        <w:tc>
          <w:tcPr>
            <w:tcW w:w="661" w:type="dxa"/>
            <w:tcBorders>
              <w:top w:val="nil"/>
              <w:left w:val="nil"/>
              <w:bottom w:val="single" w:sz="4" w:space="0" w:color="auto"/>
              <w:right w:val="single" w:sz="4" w:space="0" w:color="auto"/>
            </w:tcBorders>
            <w:shd w:val="clear" w:color="auto" w:fill="auto"/>
            <w:vAlign w:val="center"/>
            <w:hideMark/>
          </w:tcPr>
          <w:p w14:paraId="6C157C2E"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1149</w:t>
            </w:r>
          </w:p>
        </w:tc>
        <w:tc>
          <w:tcPr>
            <w:tcW w:w="616" w:type="dxa"/>
            <w:tcBorders>
              <w:top w:val="nil"/>
              <w:left w:val="nil"/>
              <w:bottom w:val="single" w:sz="4" w:space="0" w:color="auto"/>
              <w:right w:val="single" w:sz="4" w:space="0" w:color="auto"/>
            </w:tcBorders>
            <w:shd w:val="clear" w:color="auto" w:fill="auto"/>
            <w:vAlign w:val="center"/>
            <w:hideMark/>
          </w:tcPr>
          <w:p w14:paraId="0F49E0CF"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1000</w:t>
            </w:r>
          </w:p>
        </w:tc>
        <w:tc>
          <w:tcPr>
            <w:tcW w:w="662" w:type="dxa"/>
            <w:tcBorders>
              <w:top w:val="nil"/>
              <w:left w:val="nil"/>
              <w:bottom w:val="single" w:sz="4" w:space="0" w:color="auto"/>
              <w:right w:val="single" w:sz="4" w:space="0" w:color="auto"/>
            </w:tcBorders>
            <w:shd w:val="clear" w:color="auto" w:fill="auto"/>
            <w:vAlign w:val="center"/>
            <w:hideMark/>
          </w:tcPr>
          <w:p w14:paraId="20420E7D"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2958</w:t>
            </w:r>
          </w:p>
        </w:tc>
        <w:tc>
          <w:tcPr>
            <w:tcW w:w="616" w:type="dxa"/>
            <w:tcBorders>
              <w:top w:val="nil"/>
              <w:left w:val="nil"/>
              <w:bottom w:val="single" w:sz="4" w:space="0" w:color="auto"/>
              <w:right w:val="single" w:sz="4" w:space="0" w:color="auto"/>
            </w:tcBorders>
            <w:shd w:val="clear" w:color="auto" w:fill="auto"/>
            <w:vAlign w:val="center"/>
            <w:hideMark/>
          </w:tcPr>
          <w:p w14:paraId="2132881C"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7857</w:t>
            </w:r>
          </w:p>
        </w:tc>
        <w:tc>
          <w:tcPr>
            <w:tcW w:w="702" w:type="dxa"/>
            <w:tcBorders>
              <w:top w:val="nil"/>
              <w:left w:val="nil"/>
              <w:bottom w:val="single" w:sz="4" w:space="0" w:color="auto"/>
              <w:right w:val="single" w:sz="4" w:space="0" w:color="auto"/>
            </w:tcBorders>
            <w:shd w:val="clear" w:color="auto" w:fill="auto"/>
            <w:vAlign w:val="center"/>
            <w:hideMark/>
          </w:tcPr>
          <w:p w14:paraId="2A9C6494" w14:textId="77777777" w:rsidR="008053B3" w:rsidRPr="00594EEE"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594EEE">
              <w:rPr>
                <w:rFonts w:ascii="Times New Roman" w:hAnsi="Times New Roman" w:cs="Times New Roman"/>
                <w:color w:val="000000"/>
                <w:sz w:val="20"/>
                <w:szCs w:val="20"/>
              </w:rPr>
              <w:t>9579</w:t>
            </w:r>
          </w:p>
        </w:tc>
        <w:tc>
          <w:tcPr>
            <w:tcW w:w="1441" w:type="dxa"/>
            <w:tcBorders>
              <w:top w:val="nil"/>
              <w:left w:val="nil"/>
              <w:bottom w:val="single" w:sz="4" w:space="0" w:color="auto"/>
              <w:right w:val="single" w:sz="4" w:space="0" w:color="auto"/>
            </w:tcBorders>
            <w:shd w:val="clear" w:color="auto" w:fill="auto"/>
            <w:vAlign w:val="center"/>
            <w:hideMark/>
          </w:tcPr>
          <w:p w14:paraId="4CCB4367"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6,8</w:t>
            </w:r>
          </w:p>
        </w:tc>
      </w:tr>
      <w:tr w:rsidR="008053B3" w:rsidRPr="00E83B9C" w14:paraId="512EEC22" w14:textId="77777777" w:rsidTr="0059258D">
        <w:trPr>
          <w:trHeight w:val="617"/>
        </w:trPr>
        <w:tc>
          <w:tcPr>
            <w:tcW w:w="994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00EE4DE5"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 xml:space="preserve">Источник: Разработано автором на основе данных официального сайта мэрии города Череповца </w:t>
            </w:r>
            <w:r w:rsidRPr="00E83B9C">
              <w:rPr>
                <w:rFonts w:ascii="Times New Roman" w:eastAsia="Times New Roman" w:hAnsi="Times New Roman" w:cs="Times New Roman"/>
                <w:color w:val="000000"/>
                <w:sz w:val="20"/>
                <w:szCs w:val="20"/>
                <w:lang w:val="en-US" w:eastAsia="ru-RU"/>
              </w:rPr>
              <w:t>URL</w:t>
            </w:r>
            <w:r w:rsidRPr="00E83B9C">
              <w:rPr>
                <w:rFonts w:ascii="Times New Roman" w:eastAsia="Times New Roman" w:hAnsi="Times New Roman" w:cs="Times New Roman"/>
                <w:color w:val="000000"/>
                <w:sz w:val="20"/>
                <w:szCs w:val="20"/>
                <w:lang w:eastAsia="ru-RU"/>
              </w:rPr>
              <w:t>: https://35cherepovets.gosuslugi.ru/ofitsialno/otkrytyy-byudzhet/narodnyy-byudzhet-narodnaya-programma/?ysclid=m697yyboqt991529564</w:t>
            </w:r>
          </w:p>
        </w:tc>
      </w:tr>
    </w:tbl>
    <w:p w14:paraId="1025B90F" w14:textId="77777777" w:rsidR="008053B3" w:rsidRPr="00640134" w:rsidRDefault="008053B3" w:rsidP="00BA1BDD">
      <w:pPr>
        <w:spacing w:after="0" w:line="240" w:lineRule="auto"/>
        <w:rPr>
          <w:rFonts w:ascii="Times New Roman" w:hAnsi="Times New Roman" w:cs="Times New Roman"/>
          <w:sz w:val="24"/>
          <w:szCs w:val="24"/>
        </w:rPr>
      </w:pPr>
    </w:p>
    <w:p w14:paraId="12393830" w14:textId="4AEA3CCD" w:rsidR="008053B3" w:rsidRPr="00640134" w:rsidRDefault="008053B3" w:rsidP="00640134">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 xml:space="preserve">В областной столице главным муниципальным проектом ИБ является «Народный бюджет ТОС». По данным таблицы </w:t>
      </w:r>
      <w:r w:rsidR="00BA1BDD">
        <w:rPr>
          <w:rFonts w:ascii="Times New Roman" w:hAnsi="Times New Roman" w:cs="Times New Roman"/>
          <w:sz w:val="24"/>
          <w:szCs w:val="24"/>
        </w:rPr>
        <w:t>3</w:t>
      </w:r>
      <w:r w:rsidRPr="00640134">
        <w:rPr>
          <w:rFonts w:ascii="Times New Roman" w:hAnsi="Times New Roman" w:cs="Times New Roman"/>
          <w:sz w:val="24"/>
          <w:szCs w:val="24"/>
        </w:rPr>
        <w:t xml:space="preserve"> видно, что вологодский практика, в отличие от череповецкой, не демонстрирует такой же стабильный рост. Так к 2024 году по количеству поддержанных проектов они уменьшились в 0,8 раз, а по объему финансирования в 0,9. Положительная тенденция наблюдается только по средней сумме финансирования на 1 проект (в 1,1 раз). Сама динамика показателей показывает активный рост в 2023, однако уже в 2024 они немного превышают данные 2021 года.</w:t>
      </w:r>
    </w:p>
    <w:p w14:paraId="4394F8B8" w14:textId="77777777" w:rsidR="00BA1BDD" w:rsidRDefault="00BA1BDD" w:rsidP="00C00DAA">
      <w:pPr>
        <w:spacing w:after="0" w:line="240" w:lineRule="auto"/>
        <w:ind w:firstLine="709"/>
        <w:jc w:val="right"/>
        <w:rPr>
          <w:rFonts w:ascii="Times New Roman" w:hAnsi="Times New Roman" w:cs="Times New Roman"/>
          <w:sz w:val="24"/>
          <w:szCs w:val="24"/>
        </w:rPr>
      </w:pPr>
    </w:p>
    <w:p w14:paraId="0E31A520" w14:textId="77777777" w:rsidR="00BA1BDD" w:rsidRDefault="00BA1BDD" w:rsidP="00C00DAA">
      <w:pPr>
        <w:spacing w:after="0" w:line="240" w:lineRule="auto"/>
        <w:ind w:firstLine="709"/>
        <w:jc w:val="right"/>
        <w:rPr>
          <w:rFonts w:ascii="Times New Roman" w:hAnsi="Times New Roman" w:cs="Times New Roman"/>
          <w:sz w:val="24"/>
          <w:szCs w:val="24"/>
        </w:rPr>
      </w:pPr>
    </w:p>
    <w:p w14:paraId="33B79636" w14:textId="59712B89" w:rsidR="00C00DAA" w:rsidRDefault="008053B3" w:rsidP="00C00DAA">
      <w:pPr>
        <w:spacing w:after="0" w:line="240" w:lineRule="auto"/>
        <w:ind w:firstLine="709"/>
        <w:jc w:val="right"/>
        <w:rPr>
          <w:rFonts w:ascii="Times New Roman" w:hAnsi="Times New Roman" w:cs="Times New Roman"/>
          <w:sz w:val="24"/>
          <w:szCs w:val="24"/>
        </w:rPr>
      </w:pPr>
      <w:r w:rsidRPr="00640134">
        <w:rPr>
          <w:rFonts w:ascii="Times New Roman" w:hAnsi="Times New Roman" w:cs="Times New Roman"/>
          <w:sz w:val="24"/>
          <w:szCs w:val="24"/>
        </w:rPr>
        <w:t xml:space="preserve">Таблица </w:t>
      </w:r>
      <w:r w:rsidR="00BA1BDD">
        <w:rPr>
          <w:rFonts w:ascii="Times New Roman" w:hAnsi="Times New Roman" w:cs="Times New Roman"/>
          <w:sz w:val="24"/>
          <w:szCs w:val="24"/>
        </w:rPr>
        <w:t>3</w:t>
      </w:r>
    </w:p>
    <w:p w14:paraId="1BE6D6F7" w14:textId="77777777" w:rsidR="00F3674E" w:rsidRDefault="008053B3" w:rsidP="00640134">
      <w:pPr>
        <w:spacing w:after="0" w:line="240" w:lineRule="auto"/>
        <w:ind w:firstLine="709"/>
        <w:jc w:val="center"/>
        <w:rPr>
          <w:rFonts w:ascii="Times New Roman" w:hAnsi="Times New Roman" w:cs="Times New Roman"/>
          <w:sz w:val="24"/>
          <w:szCs w:val="24"/>
        </w:rPr>
      </w:pPr>
      <w:r w:rsidRPr="00F3674E">
        <w:rPr>
          <w:rFonts w:ascii="Times New Roman" w:hAnsi="Times New Roman" w:cs="Times New Roman"/>
          <w:sz w:val="24"/>
          <w:szCs w:val="24"/>
        </w:rPr>
        <w:lastRenderedPageBreak/>
        <w:t>Объёмы финансирования проекта «Народный бюджет ТОС»</w:t>
      </w:r>
    </w:p>
    <w:p w14:paraId="382D44B5" w14:textId="131EB3DD" w:rsidR="008053B3" w:rsidRPr="00F3674E" w:rsidRDefault="008053B3" w:rsidP="00640134">
      <w:pPr>
        <w:spacing w:after="0" w:line="240" w:lineRule="auto"/>
        <w:ind w:firstLine="709"/>
        <w:jc w:val="center"/>
        <w:rPr>
          <w:rFonts w:ascii="Times New Roman" w:hAnsi="Times New Roman" w:cs="Times New Roman"/>
          <w:sz w:val="24"/>
          <w:szCs w:val="24"/>
        </w:rPr>
      </w:pPr>
      <w:r w:rsidRPr="00F3674E">
        <w:rPr>
          <w:rFonts w:ascii="Times New Roman" w:hAnsi="Times New Roman" w:cs="Times New Roman"/>
          <w:sz w:val="24"/>
          <w:szCs w:val="24"/>
        </w:rPr>
        <w:t xml:space="preserve"> г. Вологда за 2020–2024 гг.</w:t>
      </w:r>
    </w:p>
    <w:tbl>
      <w:tblPr>
        <w:tblW w:w="8217" w:type="dxa"/>
        <w:jc w:val="center"/>
        <w:tblLook w:val="04A0" w:firstRow="1" w:lastRow="0" w:firstColumn="1" w:lastColumn="0" w:noHBand="0" w:noVBand="1"/>
      </w:tblPr>
      <w:tblGrid>
        <w:gridCol w:w="3681"/>
        <w:gridCol w:w="709"/>
        <w:gridCol w:w="850"/>
        <w:gridCol w:w="851"/>
        <w:gridCol w:w="835"/>
        <w:gridCol w:w="1291"/>
      </w:tblGrid>
      <w:tr w:rsidR="008053B3" w:rsidRPr="00E83B9C" w14:paraId="58D0A29A" w14:textId="77777777" w:rsidTr="00BA1BDD">
        <w:trPr>
          <w:trHeight w:val="357"/>
          <w:jc w:val="center"/>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B1A13B"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Год</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2883273B"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4A84D142"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2021</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645CAE1C"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2023</w:t>
            </w:r>
          </w:p>
        </w:tc>
        <w:tc>
          <w:tcPr>
            <w:tcW w:w="835" w:type="dxa"/>
            <w:tcBorders>
              <w:top w:val="single" w:sz="4" w:space="0" w:color="auto"/>
              <w:left w:val="nil"/>
              <w:bottom w:val="single" w:sz="4" w:space="0" w:color="auto"/>
              <w:right w:val="single" w:sz="4" w:space="0" w:color="auto"/>
            </w:tcBorders>
            <w:shd w:val="clear" w:color="auto" w:fill="auto"/>
            <w:vAlign w:val="center"/>
            <w:hideMark/>
          </w:tcPr>
          <w:p w14:paraId="52905FE8"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2024</w:t>
            </w:r>
          </w:p>
        </w:tc>
        <w:tc>
          <w:tcPr>
            <w:tcW w:w="1291" w:type="dxa"/>
            <w:tcBorders>
              <w:top w:val="single" w:sz="4" w:space="0" w:color="auto"/>
              <w:left w:val="nil"/>
              <w:bottom w:val="single" w:sz="4" w:space="0" w:color="auto"/>
              <w:right w:val="single" w:sz="4" w:space="0" w:color="auto"/>
            </w:tcBorders>
            <w:shd w:val="clear" w:color="auto" w:fill="auto"/>
            <w:vAlign w:val="center"/>
            <w:hideMark/>
          </w:tcPr>
          <w:p w14:paraId="07BC2B2A"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 xml:space="preserve">Увеличение, в раз </w:t>
            </w:r>
          </w:p>
        </w:tc>
      </w:tr>
      <w:tr w:rsidR="008053B3" w:rsidRPr="00E83B9C" w14:paraId="10015A09" w14:textId="77777777" w:rsidTr="00BA1BDD">
        <w:trPr>
          <w:trHeight w:val="230"/>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56FADE90"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Количество задействованных ТОС, шт.</w:t>
            </w:r>
          </w:p>
        </w:tc>
        <w:tc>
          <w:tcPr>
            <w:tcW w:w="709" w:type="dxa"/>
            <w:tcBorders>
              <w:top w:val="nil"/>
              <w:left w:val="nil"/>
              <w:bottom w:val="single" w:sz="4" w:space="0" w:color="auto"/>
              <w:right w:val="single" w:sz="4" w:space="0" w:color="auto"/>
            </w:tcBorders>
            <w:shd w:val="clear" w:color="auto" w:fill="auto"/>
            <w:vAlign w:val="center"/>
            <w:hideMark/>
          </w:tcPr>
          <w:p w14:paraId="7139146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30</w:t>
            </w:r>
          </w:p>
        </w:tc>
        <w:tc>
          <w:tcPr>
            <w:tcW w:w="850" w:type="dxa"/>
            <w:tcBorders>
              <w:top w:val="nil"/>
              <w:left w:val="nil"/>
              <w:bottom w:val="single" w:sz="4" w:space="0" w:color="auto"/>
              <w:right w:val="single" w:sz="4" w:space="0" w:color="auto"/>
            </w:tcBorders>
            <w:shd w:val="clear" w:color="auto" w:fill="auto"/>
            <w:vAlign w:val="center"/>
            <w:hideMark/>
          </w:tcPr>
          <w:p w14:paraId="35CF8D74"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34</w:t>
            </w:r>
          </w:p>
        </w:tc>
        <w:tc>
          <w:tcPr>
            <w:tcW w:w="851" w:type="dxa"/>
            <w:tcBorders>
              <w:top w:val="nil"/>
              <w:left w:val="nil"/>
              <w:bottom w:val="single" w:sz="4" w:space="0" w:color="auto"/>
              <w:right w:val="single" w:sz="4" w:space="0" w:color="auto"/>
            </w:tcBorders>
            <w:shd w:val="clear" w:color="auto" w:fill="auto"/>
            <w:vAlign w:val="center"/>
            <w:hideMark/>
          </w:tcPr>
          <w:p w14:paraId="7672683D"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28</w:t>
            </w:r>
          </w:p>
        </w:tc>
        <w:tc>
          <w:tcPr>
            <w:tcW w:w="835" w:type="dxa"/>
            <w:tcBorders>
              <w:top w:val="nil"/>
              <w:left w:val="nil"/>
              <w:bottom w:val="single" w:sz="4" w:space="0" w:color="auto"/>
              <w:right w:val="single" w:sz="4" w:space="0" w:color="auto"/>
            </w:tcBorders>
            <w:shd w:val="clear" w:color="auto" w:fill="auto"/>
            <w:vAlign w:val="center"/>
            <w:hideMark/>
          </w:tcPr>
          <w:p w14:paraId="1E15E8D8"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30</w:t>
            </w:r>
          </w:p>
        </w:tc>
        <w:tc>
          <w:tcPr>
            <w:tcW w:w="1291" w:type="dxa"/>
            <w:tcBorders>
              <w:top w:val="nil"/>
              <w:left w:val="nil"/>
              <w:bottom w:val="single" w:sz="4" w:space="0" w:color="auto"/>
              <w:right w:val="single" w:sz="4" w:space="0" w:color="auto"/>
            </w:tcBorders>
            <w:shd w:val="clear" w:color="auto" w:fill="auto"/>
            <w:vAlign w:val="center"/>
            <w:hideMark/>
          </w:tcPr>
          <w:p w14:paraId="49926389"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1,0</w:t>
            </w:r>
          </w:p>
        </w:tc>
      </w:tr>
      <w:tr w:rsidR="008053B3" w:rsidRPr="00E83B9C" w14:paraId="708E6BBD" w14:textId="77777777" w:rsidTr="00BA1BDD">
        <w:trPr>
          <w:trHeight w:val="277"/>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EE7C7E4" w14:textId="77777777" w:rsidR="008053B3" w:rsidRPr="00E83B9C" w:rsidRDefault="008053B3" w:rsidP="00640134">
            <w:pPr>
              <w:spacing w:after="0" w:line="240" w:lineRule="auto"/>
              <w:jc w:val="both"/>
              <w:rPr>
                <w:rFonts w:ascii="Times New Roman" w:eastAsia="Times New Roman" w:hAnsi="Times New Roman" w:cs="Times New Roman"/>
                <w:color w:val="FF0000"/>
                <w:sz w:val="20"/>
                <w:szCs w:val="20"/>
                <w:lang w:eastAsia="ru-RU"/>
              </w:rPr>
            </w:pPr>
            <w:r w:rsidRPr="00E83B9C">
              <w:rPr>
                <w:rFonts w:ascii="Times New Roman" w:eastAsia="Times New Roman" w:hAnsi="Times New Roman" w:cs="Times New Roman"/>
                <w:sz w:val="20"/>
                <w:szCs w:val="20"/>
                <w:lang w:eastAsia="ru-RU"/>
              </w:rPr>
              <w:t>Количество поддержанных проектов, шт.</w:t>
            </w:r>
          </w:p>
        </w:tc>
        <w:tc>
          <w:tcPr>
            <w:tcW w:w="709" w:type="dxa"/>
            <w:tcBorders>
              <w:top w:val="nil"/>
              <w:left w:val="nil"/>
              <w:bottom w:val="single" w:sz="4" w:space="0" w:color="auto"/>
              <w:right w:val="single" w:sz="4" w:space="0" w:color="auto"/>
            </w:tcBorders>
            <w:shd w:val="clear" w:color="auto" w:fill="auto"/>
            <w:vAlign w:val="center"/>
            <w:hideMark/>
          </w:tcPr>
          <w:p w14:paraId="3CEC2748"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36</w:t>
            </w:r>
          </w:p>
        </w:tc>
        <w:tc>
          <w:tcPr>
            <w:tcW w:w="850" w:type="dxa"/>
            <w:tcBorders>
              <w:top w:val="nil"/>
              <w:left w:val="nil"/>
              <w:bottom w:val="single" w:sz="4" w:space="0" w:color="auto"/>
              <w:right w:val="single" w:sz="4" w:space="0" w:color="auto"/>
            </w:tcBorders>
            <w:shd w:val="clear" w:color="auto" w:fill="auto"/>
            <w:vAlign w:val="center"/>
            <w:hideMark/>
          </w:tcPr>
          <w:p w14:paraId="4AABCA8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34</w:t>
            </w:r>
          </w:p>
        </w:tc>
        <w:tc>
          <w:tcPr>
            <w:tcW w:w="851" w:type="dxa"/>
            <w:tcBorders>
              <w:top w:val="nil"/>
              <w:left w:val="nil"/>
              <w:bottom w:val="single" w:sz="4" w:space="0" w:color="auto"/>
              <w:right w:val="single" w:sz="4" w:space="0" w:color="auto"/>
            </w:tcBorders>
            <w:shd w:val="clear" w:color="auto" w:fill="auto"/>
            <w:vAlign w:val="center"/>
            <w:hideMark/>
          </w:tcPr>
          <w:p w14:paraId="3B846612"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36</w:t>
            </w:r>
          </w:p>
        </w:tc>
        <w:tc>
          <w:tcPr>
            <w:tcW w:w="835" w:type="dxa"/>
            <w:tcBorders>
              <w:top w:val="nil"/>
              <w:left w:val="nil"/>
              <w:bottom w:val="single" w:sz="4" w:space="0" w:color="auto"/>
              <w:right w:val="single" w:sz="4" w:space="0" w:color="auto"/>
            </w:tcBorders>
            <w:shd w:val="clear" w:color="auto" w:fill="auto"/>
            <w:vAlign w:val="center"/>
            <w:hideMark/>
          </w:tcPr>
          <w:p w14:paraId="614C84A6"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30</w:t>
            </w:r>
          </w:p>
        </w:tc>
        <w:tc>
          <w:tcPr>
            <w:tcW w:w="1291" w:type="dxa"/>
            <w:tcBorders>
              <w:top w:val="nil"/>
              <w:left w:val="nil"/>
              <w:bottom w:val="single" w:sz="4" w:space="0" w:color="auto"/>
              <w:right w:val="single" w:sz="4" w:space="0" w:color="auto"/>
            </w:tcBorders>
            <w:shd w:val="clear" w:color="auto" w:fill="auto"/>
            <w:vAlign w:val="center"/>
            <w:hideMark/>
          </w:tcPr>
          <w:p w14:paraId="4F89B26A"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0,8</w:t>
            </w:r>
          </w:p>
        </w:tc>
      </w:tr>
      <w:tr w:rsidR="008053B3" w:rsidRPr="00E83B9C" w14:paraId="2881D264" w14:textId="77777777" w:rsidTr="00BA1BDD">
        <w:trPr>
          <w:trHeight w:val="228"/>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22C82CB2"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Объёмы финансирования, млн. руб.</w:t>
            </w:r>
          </w:p>
        </w:tc>
        <w:tc>
          <w:tcPr>
            <w:tcW w:w="709" w:type="dxa"/>
            <w:tcBorders>
              <w:top w:val="nil"/>
              <w:left w:val="nil"/>
              <w:bottom w:val="single" w:sz="4" w:space="0" w:color="auto"/>
              <w:right w:val="single" w:sz="4" w:space="0" w:color="auto"/>
            </w:tcBorders>
            <w:shd w:val="clear" w:color="auto" w:fill="auto"/>
            <w:vAlign w:val="center"/>
            <w:hideMark/>
          </w:tcPr>
          <w:p w14:paraId="74676607"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43,7</w:t>
            </w:r>
          </w:p>
        </w:tc>
        <w:tc>
          <w:tcPr>
            <w:tcW w:w="850" w:type="dxa"/>
            <w:tcBorders>
              <w:top w:val="nil"/>
              <w:left w:val="nil"/>
              <w:bottom w:val="single" w:sz="4" w:space="0" w:color="auto"/>
              <w:right w:val="single" w:sz="4" w:space="0" w:color="auto"/>
            </w:tcBorders>
            <w:shd w:val="clear" w:color="auto" w:fill="auto"/>
            <w:vAlign w:val="center"/>
            <w:hideMark/>
          </w:tcPr>
          <w:p w14:paraId="3DC211AE"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38,2</w:t>
            </w:r>
          </w:p>
        </w:tc>
        <w:tc>
          <w:tcPr>
            <w:tcW w:w="851" w:type="dxa"/>
            <w:tcBorders>
              <w:top w:val="nil"/>
              <w:left w:val="nil"/>
              <w:bottom w:val="single" w:sz="4" w:space="0" w:color="auto"/>
              <w:right w:val="single" w:sz="4" w:space="0" w:color="auto"/>
            </w:tcBorders>
            <w:shd w:val="clear" w:color="auto" w:fill="auto"/>
            <w:vAlign w:val="center"/>
            <w:hideMark/>
          </w:tcPr>
          <w:p w14:paraId="592D12DB"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74,9</w:t>
            </w:r>
          </w:p>
        </w:tc>
        <w:tc>
          <w:tcPr>
            <w:tcW w:w="835" w:type="dxa"/>
            <w:tcBorders>
              <w:top w:val="nil"/>
              <w:left w:val="nil"/>
              <w:bottom w:val="single" w:sz="4" w:space="0" w:color="auto"/>
              <w:right w:val="single" w:sz="4" w:space="0" w:color="auto"/>
            </w:tcBorders>
            <w:shd w:val="clear" w:color="auto" w:fill="auto"/>
            <w:vAlign w:val="center"/>
            <w:hideMark/>
          </w:tcPr>
          <w:p w14:paraId="313942D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39,4</w:t>
            </w:r>
          </w:p>
        </w:tc>
        <w:tc>
          <w:tcPr>
            <w:tcW w:w="1291" w:type="dxa"/>
            <w:tcBorders>
              <w:top w:val="nil"/>
              <w:left w:val="nil"/>
              <w:bottom w:val="single" w:sz="4" w:space="0" w:color="auto"/>
              <w:right w:val="single" w:sz="4" w:space="0" w:color="auto"/>
            </w:tcBorders>
            <w:shd w:val="clear" w:color="auto" w:fill="auto"/>
            <w:vAlign w:val="center"/>
            <w:hideMark/>
          </w:tcPr>
          <w:p w14:paraId="7CC4E493"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0,9</w:t>
            </w:r>
          </w:p>
        </w:tc>
      </w:tr>
      <w:tr w:rsidR="008053B3" w:rsidRPr="00E83B9C" w14:paraId="4F53F094" w14:textId="77777777" w:rsidTr="00BA1BDD">
        <w:trPr>
          <w:trHeight w:val="289"/>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7710AE4"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Средняя сумма на один поддержанный проект, тыс. руб.</w:t>
            </w:r>
          </w:p>
        </w:tc>
        <w:tc>
          <w:tcPr>
            <w:tcW w:w="709" w:type="dxa"/>
            <w:tcBorders>
              <w:top w:val="nil"/>
              <w:left w:val="nil"/>
              <w:bottom w:val="single" w:sz="4" w:space="0" w:color="auto"/>
              <w:right w:val="single" w:sz="4" w:space="0" w:color="auto"/>
            </w:tcBorders>
            <w:shd w:val="clear" w:color="auto" w:fill="auto"/>
            <w:vAlign w:val="center"/>
            <w:hideMark/>
          </w:tcPr>
          <w:p w14:paraId="66BB8805"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1214</w:t>
            </w:r>
          </w:p>
        </w:tc>
        <w:tc>
          <w:tcPr>
            <w:tcW w:w="850" w:type="dxa"/>
            <w:tcBorders>
              <w:top w:val="nil"/>
              <w:left w:val="nil"/>
              <w:bottom w:val="single" w:sz="4" w:space="0" w:color="auto"/>
              <w:right w:val="single" w:sz="4" w:space="0" w:color="auto"/>
            </w:tcBorders>
            <w:shd w:val="clear" w:color="auto" w:fill="auto"/>
            <w:vAlign w:val="center"/>
            <w:hideMark/>
          </w:tcPr>
          <w:p w14:paraId="435E14B0"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1124</w:t>
            </w:r>
          </w:p>
        </w:tc>
        <w:tc>
          <w:tcPr>
            <w:tcW w:w="851" w:type="dxa"/>
            <w:tcBorders>
              <w:top w:val="nil"/>
              <w:left w:val="nil"/>
              <w:bottom w:val="single" w:sz="4" w:space="0" w:color="auto"/>
              <w:right w:val="single" w:sz="4" w:space="0" w:color="auto"/>
            </w:tcBorders>
            <w:shd w:val="clear" w:color="auto" w:fill="auto"/>
            <w:vAlign w:val="center"/>
            <w:hideMark/>
          </w:tcPr>
          <w:p w14:paraId="0B4C7ADC"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2081</w:t>
            </w:r>
          </w:p>
        </w:tc>
        <w:tc>
          <w:tcPr>
            <w:tcW w:w="835" w:type="dxa"/>
            <w:tcBorders>
              <w:top w:val="nil"/>
              <w:left w:val="nil"/>
              <w:bottom w:val="single" w:sz="4" w:space="0" w:color="auto"/>
              <w:right w:val="single" w:sz="4" w:space="0" w:color="auto"/>
            </w:tcBorders>
            <w:shd w:val="clear" w:color="auto" w:fill="auto"/>
            <w:vAlign w:val="center"/>
            <w:hideMark/>
          </w:tcPr>
          <w:p w14:paraId="1011F203"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1313</w:t>
            </w:r>
          </w:p>
        </w:tc>
        <w:tc>
          <w:tcPr>
            <w:tcW w:w="1291" w:type="dxa"/>
            <w:tcBorders>
              <w:top w:val="nil"/>
              <w:left w:val="nil"/>
              <w:bottom w:val="single" w:sz="4" w:space="0" w:color="auto"/>
              <w:right w:val="single" w:sz="4" w:space="0" w:color="auto"/>
            </w:tcBorders>
            <w:shd w:val="clear" w:color="auto" w:fill="auto"/>
            <w:vAlign w:val="center"/>
            <w:hideMark/>
          </w:tcPr>
          <w:p w14:paraId="1B7E1763" w14:textId="77777777" w:rsidR="008053B3" w:rsidRPr="00E83B9C" w:rsidRDefault="008053B3" w:rsidP="00640134">
            <w:pPr>
              <w:spacing w:after="0" w:line="240" w:lineRule="auto"/>
              <w:jc w:val="center"/>
              <w:rPr>
                <w:rFonts w:ascii="Times New Roman" w:eastAsia="Times New Roman" w:hAnsi="Times New Roman" w:cs="Times New Roman"/>
                <w:color w:val="000000"/>
                <w:sz w:val="20"/>
                <w:szCs w:val="20"/>
                <w:lang w:eastAsia="ru-RU"/>
              </w:rPr>
            </w:pPr>
            <w:r w:rsidRPr="00E83B9C">
              <w:rPr>
                <w:rFonts w:ascii="Times New Roman" w:hAnsi="Times New Roman" w:cs="Times New Roman"/>
                <w:color w:val="000000"/>
                <w:sz w:val="20"/>
                <w:szCs w:val="20"/>
              </w:rPr>
              <w:t>1,1</w:t>
            </w:r>
          </w:p>
        </w:tc>
      </w:tr>
      <w:tr w:rsidR="008053B3" w:rsidRPr="00E83B9C" w14:paraId="7C3858E1" w14:textId="77777777" w:rsidTr="00BA1BDD">
        <w:trPr>
          <w:trHeight w:val="635"/>
          <w:jc w:val="center"/>
        </w:trPr>
        <w:tc>
          <w:tcPr>
            <w:tcW w:w="8217"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62413FC5" w14:textId="77777777" w:rsidR="008053B3" w:rsidRPr="00E83B9C" w:rsidRDefault="008053B3" w:rsidP="00640134">
            <w:pPr>
              <w:spacing w:after="0" w:line="240" w:lineRule="auto"/>
              <w:jc w:val="both"/>
              <w:rPr>
                <w:rFonts w:ascii="Times New Roman" w:eastAsia="Times New Roman" w:hAnsi="Times New Roman" w:cs="Times New Roman"/>
                <w:color w:val="000000"/>
                <w:sz w:val="20"/>
                <w:szCs w:val="20"/>
                <w:lang w:eastAsia="ru-RU"/>
              </w:rPr>
            </w:pPr>
            <w:r w:rsidRPr="00E83B9C">
              <w:rPr>
                <w:rFonts w:ascii="Times New Roman" w:eastAsia="Times New Roman" w:hAnsi="Times New Roman" w:cs="Times New Roman"/>
                <w:color w:val="000000"/>
                <w:sz w:val="20"/>
                <w:szCs w:val="20"/>
                <w:lang w:eastAsia="ru-RU"/>
              </w:rPr>
              <w:t xml:space="preserve">Источник: Составлено автором на основе данных официального сайта администрации города Вологды </w:t>
            </w:r>
            <w:r w:rsidRPr="00E83B9C">
              <w:rPr>
                <w:rFonts w:ascii="Times New Roman" w:eastAsia="Times New Roman" w:hAnsi="Times New Roman" w:cs="Times New Roman"/>
                <w:color w:val="000000"/>
                <w:sz w:val="20"/>
                <w:szCs w:val="20"/>
                <w:lang w:val="en-US" w:eastAsia="ru-RU"/>
              </w:rPr>
              <w:t>URL</w:t>
            </w:r>
            <w:r w:rsidRPr="00E83B9C">
              <w:rPr>
                <w:rFonts w:ascii="Times New Roman" w:eastAsia="Times New Roman" w:hAnsi="Times New Roman" w:cs="Times New Roman"/>
                <w:color w:val="000000"/>
                <w:sz w:val="20"/>
                <w:szCs w:val="20"/>
                <w:lang w:eastAsia="ru-RU"/>
              </w:rPr>
              <w:t>: https://vologda.gosuslugi.ru/ofitsialno/statistika/otkrytyy-byudzhet/tos/</w:t>
            </w:r>
          </w:p>
        </w:tc>
      </w:tr>
    </w:tbl>
    <w:p w14:paraId="18B6BAA8" w14:textId="77777777" w:rsidR="008053B3" w:rsidRPr="00640134" w:rsidRDefault="008053B3" w:rsidP="00BA1BDD">
      <w:pPr>
        <w:spacing w:after="0" w:line="240" w:lineRule="auto"/>
        <w:jc w:val="both"/>
        <w:rPr>
          <w:rFonts w:ascii="Times New Roman" w:hAnsi="Times New Roman" w:cs="Times New Roman"/>
          <w:sz w:val="24"/>
          <w:szCs w:val="24"/>
        </w:rPr>
      </w:pPr>
    </w:p>
    <w:p w14:paraId="35238FE1" w14:textId="220997B6" w:rsidR="008053B3" w:rsidRDefault="00BA1BDD" w:rsidP="00640134">
      <w:pPr>
        <w:spacing w:after="0" w:line="240" w:lineRule="auto"/>
        <w:ind w:firstLine="709"/>
        <w:jc w:val="both"/>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595D74FF" wp14:editId="7149875C">
            <wp:simplePos x="0" y="0"/>
            <wp:positionH relativeFrom="margin">
              <wp:align>right</wp:align>
            </wp:positionH>
            <wp:positionV relativeFrom="paragraph">
              <wp:posOffset>1929765</wp:posOffset>
            </wp:positionV>
            <wp:extent cx="6106160" cy="2281555"/>
            <wp:effectExtent l="0" t="0" r="8890" b="4445"/>
            <wp:wrapTopAndBottom/>
            <wp:docPr id="2" name="Диаграмма 2">
              <a:extLst xmlns:a="http://schemas.openxmlformats.org/drawingml/2006/main">
                <a:ext uri="{FF2B5EF4-FFF2-40B4-BE49-F238E27FC236}">
                  <a16:creationId xmlns:a16="http://schemas.microsoft.com/office/drawing/2014/main" id="{C0CE0EA2-A570-4E00-AEBF-48A77C7AB8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anchor>
        </w:drawing>
      </w:r>
      <w:r w:rsidR="008053B3" w:rsidRPr="00640134">
        <w:rPr>
          <w:rFonts w:ascii="Times New Roman" w:hAnsi="Times New Roman" w:cs="Times New Roman"/>
          <w:sz w:val="24"/>
          <w:szCs w:val="24"/>
        </w:rPr>
        <w:t>Представленные проекты не единственные, которые реализуются в Вологодской области. Например, в Вологодском районе с 2023 года так же реализуется проект «Народный бюджет» (Общий объем финансирования на 2024 год: 331 млн. руб.)</w:t>
      </w:r>
      <w:r w:rsidR="008053B3" w:rsidRPr="00640134">
        <w:rPr>
          <w:rStyle w:val="a9"/>
          <w:rFonts w:ascii="Times New Roman" w:hAnsi="Times New Roman" w:cs="Times New Roman"/>
          <w:sz w:val="24"/>
          <w:szCs w:val="24"/>
        </w:rPr>
        <w:footnoteReference w:id="4"/>
      </w:r>
      <w:r w:rsidR="008053B3" w:rsidRPr="00640134">
        <w:rPr>
          <w:rFonts w:ascii="Times New Roman" w:hAnsi="Times New Roman" w:cs="Times New Roman"/>
          <w:sz w:val="24"/>
          <w:szCs w:val="24"/>
        </w:rPr>
        <w:t>, в Великом Устюге и Шекснинском районе проект реализуется с 2015 года (Общие объемы финансирования на 2024 год: 96 и 13 млн. руб. соответственно), в Грязовецком районе программа стартовала в 2020 году (Объем финансирования на 2024 год: 12 млн. руб.) и т.д.</w:t>
      </w:r>
      <w:r w:rsidR="007D0997">
        <w:rPr>
          <w:rFonts w:ascii="Times New Roman" w:hAnsi="Times New Roman" w:cs="Times New Roman"/>
          <w:sz w:val="24"/>
          <w:szCs w:val="24"/>
        </w:rPr>
        <w:t xml:space="preserve"> На 2024 год Кадуйский муниципальный округ единственный, кто не реализует практику ИБ</w:t>
      </w:r>
      <w:r>
        <w:rPr>
          <w:rFonts w:ascii="Times New Roman" w:hAnsi="Times New Roman" w:cs="Times New Roman"/>
          <w:sz w:val="24"/>
          <w:szCs w:val="24"/>
        </w:rPr>
        <w:t xml:space="preserve"> (о</w:t>
      </w:r>
      <w:r w:rsidR="007D0997">
        <w:rPr>
          <w:rFonts w:ascii="Times New Roman" w:hAnsi="Times New Roman" w:cs="Times New Roman"/>
          <w:sz w:val="24"/>
          <w:szCs w:val="24"/>
        </w:rPr>
        <w:t>днако на 2025 год уже планируется ряд проектов</w:t>
      </w:r>
      <w:r>
        <w:rPr>
          <w:rFonts w:ascii="Times New Roman" w:hAnsi="Times New Roman" w:cs="Times New Roman"/>
          <w:sz w:val="24"/>
          <w:szCs w:val="24"/>
        </w:rPr>
        <w:t>)</w:t>
      </w:r>
      <w:r w:rsidR="007D0997">
        <w:rPr>
          <w:rFonts w:ascii="Times New Roman" w:hAnsi="Times New Roman" w:cs="Times New Roman"/>
          <w:sz w:val="24"/>
          <w:szCs w:val="24"/>
        </w:rPr>
        <w:t>.</w:t>
      </w:r>
      <w:r w:rsidR="008053B3" w:rsidRPr="00640134">
        <w:rPr>
          <w:rFonts w:ascii="Times New Roman" w:hAnsi="Times New Roman" w:cs="Times New Roman"/>
          <w:sz w:val="24"/>
          <w:szCs w:val="24"/>
        </w:rPr>
        <w:t xml:space="preserve"> </w:t>
      </w:r>
      <w:r w:rsidR="007D0997">
        <w:rPr>
          <w:rFonts w:ascii="Times New Roman" w:hAnsi="Times New Roman" w:cs="Times New Roman"/>
          <w:sz w:val="24"/>
          <w:szCs w:val="24"/>
        </w:rPr>
        <w:t>Стоит отметить, что согласно рисунку 2 инициативное бюджетирования в Вологодской области имеет сильную дифференциацию. Так,</w:t>
      </w:r>
      <w:r>
        <w:rPr>
          <w:rFonts w:ascii="Times New Roman" w:hAnsi="Times New Roman" w:cs="Times New Roman"/>
          <w:sz w:val="24"/>
          <w:szCs w:val="24"/>
        </w:rPr>
        <w:t xml:space="preserve"> например,</w:t>
      </w:r>
      <w:r w:rsidR="007D0997">
        <w:rPr>
          <w:rFonts w:ascii="Times New Roman" w:hAnsi="Times New Roman" w:cs="Times New Roman"/>
          <w:sz w:val="24"/>
          <w:szCs w:val="24"/>
        </w:rPr>
        <w:t xml:space="preserve"> Вологодский</w:t>
      </w:r>
      <w:r>
        <w:rPr>
          <w:rFonts w:ascii="Times New Roman" w:hAnsi="Times New Roman" w:cs="Times New Roman"/>
          <w:sz w:val="24"/>
          <w:szCs w:val="24"/>
        </w:rPr>
        <w:t xml:space="preserve">, Никольский, Великоустюгский и Череповецкий округа/районы реализуют куда большие объемы средств, чем другие. </w:t>
      </w:r>
    </w:p>
    <w:p w14:paraId="3DD29B5D" w14:textId="3731A589" w:rsidR="00013A0F" w:rsidRDefault="00013A0F" w:rsidP="00013A0F">
      <w:pPr>
        <w:spacing w:after="0" w:line="240" w:lineRule="auto"/>
        <w:ind w:firstLine="709"/>
        <w:jc w:val="both"/>
        <w:rPr>
          <w:rFonts w:ascii="Times New Roman" w:hAnsi="Times New Roman" w:cs="Times New Roman"/>
          <w:sz w:val="24"/>
          <w:szCs w:val="24"/>
        </w:rPr>
      </w:pPr>
    </w:p>
    <w:p w14:paraId="2FED07C0" w14:textId="5E1AD704" w:rsidR="007D0997" w:rsidRPr="00EF7425" w:rsidRDefault="007D0997" w:rsidP="007D0997">
      <w:pPr>
        <w:spacing w:after="0" w:line="240" w:lineRule="auto"/>
        <w:ind w:firstLine="709"/>
        <w:jc w:val="center"/>
        <w:rPr>
          <w:rFonts w:ascii="Times New Roman" w:hAnsi="Times New Roman" w:cs="Times New Roman"/>
          <w:sz w:val="24"/>
          <w:szCs w:val="24"/>
        </w:rPr>
      </w:pPr>
      <w:r w:rsidRPr="00EF7425">
        <w:rPr>
          <w:rFonts w:ascii="Times New Roman" w:hAnsi="Times New Roman" w:cs="Times New Roman"/>
          <w:sz w:val="24"/>
          <w:szCs w:val="24"/>
        </w:rPr>
        <w:t xml:space="preserve">Рисунок </w:t>
      </w:r>
      <w:r>
        <w:rPr>
          <w:rFonts w:ascii="Times New Roman" w:hAnsi="Times New Roman" w:cs="Times New Roman"/>
          <w:sz w:val="24"/>
          <w:szCs w:val="24"/>
        </w:rPr>
        <w:t>2</w:t>
      </w:r>
      <w:r w:rsidRPr="00EF7425">
        <w:rPr>
          <w:rFonts w:ascii="Times New Roman" w:hAnsi="Times New Roman" w:cs="Times New Roman"/>
          <w:sz w:val="24"/>
          <w:szCs w:val="24"/>
        </w:rPr>
        <w:t xml:space="preserve">. </w:t>
      </w:r>
      <w:r>
        <w:rPr>
          <w:rFonts w:ascii="Times New Roman" w:hAnsi="Times New Roman" w:cs="Times New Roman"/>
          <w:sz w:val="24"/>
          <w:szCs w:val="24"/>
        </w:rPr>
        <w:t>Ф</w:t>
      </w:r>
      <w:r w:rsidRPr="00EF7425">
        <w:rPr>
          <w:rFonts w:ascii="Times New Roman" w:hAnsi="Times New Roman" w:cs="Times New Roman"/>
          <w:sz w:val="24"/>
          <w:szCs w:val="24"/>
        </w:rPr>
        <w:t>инансово</w:t>
      </w:r>
      <w:r>
        <w:rPr>
          <w:rFonts w:ascii="Times New Roman" w:hAnsi="Times New Roman" w:cs="Times New Roman"/>
          <w:sz w:val="24"/>
          <w:szCs w:val="24"/>
        </w:rPr>
        <w:t>е</w:t>
      </w:r>
      <w:r w:rsidRPr="00EF7425">
        <w:rPr>
          <w:rFonts w:ascii="Times New Roman" w:hAnsi="Times New Roman" w:cs="Times New Roman"/>
          <w:sz w:val="24"/>
          <w:szCs w:val="24"/>
        </w:rPr>
        <w:t xml:space="preserve"> обеспечени</w:t>
      </w:r>
      <w:r w:rsidR="00904017">
        <w:rPr>
          <w:rFonts w:ascii="Times New Roman" w:hAnsi="Times New Roman" w:cs="Times New Roman"/>
          <w:sz w:val="24"/>
          <w:szCs w:val="24"/>
        </w:rPr>
        <w:t>е</w:t>
      </w:r>
      <w:r w:rsidRPr="00EF7425">
        <w:rPr>
          <w:rFonts w:ascii="Times New Roman" w:hAnsi="Times New Roman" w:cs="Times New Roman"/>
          <w:sz w:val="24"/>
          <w:szCs w:val="24"/>
        </w:rPr>
        <w:t xml:space="preserve"> проектов инициативного бюджетирования в </w:t>
      </w:r>
      <w:r>
        <w:rPr>
          <w:rFonts w:ascii="Times New Roman" w:hAnsi="Times New Roman" w:cs="Times New Roman"/>
          <w:sz w:val="24"/>
          <w:szCs w:val="24"/>
        </w:rPr>
        <w:t>муниципальных округах/районах Вологодской области за</w:t>
      </w:r>
      <w:r w:rsidRPr="00EF7425">
        <w:rPr>
          <w:rFonts w:ascii="Times New Roman" w:hAnsi="Times New Roman" w:cs="Times New Roman"/>
          <w:sz w:val="24"/>
          <w:szCs w:val="24"/>
        </w:rPr>
        <w:t xml:space="preserve"> </w:t>
      </w:r>
      <w:r>
        <w:rPr>
          <w:rFonts w:ascii="Times New Roman" w:hAnsi="Times New Roman" w:cs="Times New Roman"/>
          <w:sz w:val="24"/>
          <w:szCs w:val="24"/>
        </w:rPr>
        <w:t>2024</w:t>
      </w:r>
      <w:r w:rsidR="00904017">
        <w:rPr>
          <w:rFonts w:ascii="Times New Roman" w:hAnsi="Times New Roman" w:cs="Times New Roman"/>
          <w:sz w:val="24"/>
          <w:szCs w:val="24"/>
        </w:rPr>
        <w:t xml:space="preserve"> </w:t>
      </w:r>
      <w:r w:rsidRPr="00EF7425">
        <w:rPr>
          <w:rFonts w:ascii="Times New Roman" w:hAnsi="Times New Roman" w:cs="Times New Roman"/>
          <w:sz w:val="24"/>
          <w:szCs w:val="24"/>
        </w:rPr>
        <w:t>г.</w:t>
      </w:r>
      <w:r>
        <w:rPr>
          <w:rFonts w:ascii="Times New Roman" w:hAnsi="Times New Roman" w:cs="Times New Roman"/>
          <w:sz w:val="24"/>
          <w:szCs w:val="24"/>
        </w:rPr>
        <w:t>, в млн руб.</w:t>
      </w:r>
    </w:p>
    <w:p w14:paraId="60F8DC36" w14:textId="458F774C" w:rsidR="00013A0F" w:rsidRPr="007D0997" w:rsidRDefault="007D0997" w:rsidP="007D0997">
      <w:pPr>
        <w:spacing w:after="0" w:line="240" w:lineRule="auto"/>
        <w:ind w:firstLine="709"/>
        <w:jc w:val="both"/>
        <w:rPr>
          <w:rFonts w:ascii="Times New Roman" w:hAnsi="Times New Roman" w:cs="Times New Roman"/>
          <w:sz w:val="20"/>
          <w:szCs w:val="20"/>
        </w:rPr>
      </w:pPr>
      <w:r w:rsidRPr="00021D01">
        <w:rPr>
          <w:rFonts w:ascii="Times New Roman" w:hAnsi="Times New Roman" w:cs="Times New Roman"/>
          <w:sz w:val="20"/>
          <w:szCs w:val="20"/>
        </w:rPr>
        <w:t>Источник:</w:t>
      </w:r>
      <w:r>
        <w:rPr>
          <w:rFonts w:ascii="Times New Roman" w:hAnsi="Times New Roman" w:cs="Times New Roman"/>
          <w:sz w:val="20"/>
          <w:szCs w:val="20"/>
        </w:rPr>
        <w:t xml:space="preserve"> составлено автором на основе</w:t>
      </w:r>
      <w:r w:rsidRPr="00021D01">
        <w:rPr>
          <w:rFonts w:ascii="Times New Roman" w:hAnsi="Times New Roman" w:cs="Times New Roman"/>
          <w:sz w:val="20"/>
          <w:szCs w:val="20"/>
        </w:rPr>
        <w:t xml:space="preserve"> </w:t>
      </w:r>
      <w:r>
        <w:rPr>
          <w:rFonts w:ascii="Times New Roman" w:eastAsia="Times New Roman" w:hAnsi="Times New Roman" w:cs="Times New Roman"/>
          <w:color w:val="000000"/>
          <w:sz w:val="20"/>
          <w:szCs w:val="20"/>
          <w:lang w:eastAsia="ru-RU"/>
        </w:rPr>
        <w:t>данных официальных сайтов органов местного самоуправления Вологодской области</w:t>
      </w:r>
      <w:r w:rsidR="00BA1BDD">
        <w:rPr>
          <w:rFonts w:ascii="Times New Roman" w:eastAsia="Times New Roman" w:hAnsi="Times New Roman" w:cs="Times New Roman"/>
          <w:color w:val="000000"/>
          <w:sz w:val="20"/>
          <w:szCs w:val="20"/>
          <w:lang w:eastAsia="ru-RU"/>
        </w:rPr>
        <w:t>.</w:t>
      </w:r>
    </w:p>
    <w:p w14:paraId="4A36E2AE" w14:textId="016E773D" w:rsidR="008053B3" w:rsidRPr="00640134" w:rsidRDefault="008053B3" w:rsidP="00F3589D">
      <w:pPr>
        <w:spacing w:after="0" w:line="240" w:lineRule="auto"/>
        <w:ind w:firstLine="709"/>
        <w:jc w:val="both"/>
        <w:rPr>
          <w:rFonts w:ascii="Times New Roman" w:hAnsi="Times New Roman" w:cs="Times New Roman"/>
          <w:sz w:val="24"/>
          <w:szCs w:val="24"/>
        </w:rPr>
      </w:pPr>
      <w:r w:rsidRPr="00640134">
        <w:rPr>
          <w:rFonts w:ascii="Times New Roman" w:hAnsi="Times New Roman" w:cs="Times New Roman"/>
          <w:sz w:val="24"/>
          <w:szCs w:val="24"/>
        </w:rPr>
        <w:t xml:space="preserve">Подводя итоги, можно сделать вывод о том, что инициативное бюджетирование – это эффективный механизм как решения местных проблем и задач, так и поддержки различных инициатив. Однако и в правовой, и в научной сфере нет единого подхода к пониманию данного процесса. Тем не менее </w:t>
      </w:r>
      <w:r w:rsidR="00C00DAA">
        <w:rPr>
          <w:rFonts w:ascii="Times New Roman" w:hAnsi="Times New Roman" w:cs="Times New Roman"/>
          <w:sz w:val="24"/>
          <w:szCs w:val="24"/>
        </w:rPr>
        <w:t>выделяются основные черты</w:t>
      </w:r>
      <w:r w:rsidRPr="00640134">
        <w:rPr>
          <w:rFonts w:ascii="Times New Roman" w:hAnsi="Times New Roman" w:cs="Times New Roman"/>
          <w:sz w:val="24"/>
          <w:szCs w:val="24"/>
        </w:rPr>
        <w:t>: участие населения, софинансирование, конкурсная основа и т.д.</w:t>
      </w:r>
      <w:r w:rsidR="00F3589D" w:rsidRPr="00F3589D">
        <w:rPr>
          <w:rFonts w:ascii="Times New Roman" w:hAnsi="Times New Roman" w:cs="Times New Roman"/>
          <w:sz w:val="24"/>
          <w:szCs w:val="24"/>
        </w:rPr>
        <w:t xml:space="preserve"> </w:t>
      </w:r>
      <w:r w:rsidRPr="00640134">
        <w:rPr>
          <w:rFonts w:ascii="Times New Roman" w:hAnsi="Times New Roman" w:cs="Times New Roman"/>
          <w:sz w:val="24"/>
          <w:szCs w:val="24"/>
        </w:rPr>
        <w:t xml:space="preserve">В свою очередь, история инициативного бюджетирования в России показывает, что в начале своего становления </w:t>
      </w:r>
      <w:r w:rsidR="000E765D">
        <w:rPr>
          <w:rFonts w:ascii="Times New Roman" w:hAnsi="Times New Roman" w:cs="Times New Roman"/>
          <w:sz w:val="24"/>
          <w:szCs w:val="24"/>
        </w:rPr>
        <w:t>механизмы ИБ распростронялись на регионы</w:t>
      </w:r>
      <w:r w:rsidRPr="00640134">
        <w:rPr>
          <w:rFonts w:ascii="Times New Roman" w:hAnsi="Times New Roman" w:cs="Times New Roman"/>
          <w:sz w:val="24"/>
          <w:szCs w:val="24"/>
        </w:rPr>
        <w:t xml:space="preserve">, однако начиная с 2018 года начинается активное развитие нового направления – муниципальное инициативное бюджетирование. За весь рассмотренный период показатели по </w:t>
      </w:r>
      <w:r w:rsidRPr="00640134">
        <w:rPr>
          <w:rFonts w:ascii="Times New Roman" w:hAnsi="Times New Roman" w:cs="Times New Roman"/>
          <w:sz w:val="24"/>
          <w:szCs w:val="24"/>
        </w:rPr>
        <w:lastRenderedPageBreak/>
        <w:t xml:space="preserve">количеству практик и проектов только растут. В соответствии с ними наблюдается рост финансирования данных проектов. Общероссийские тенденции предполагают дальнейшее развитие всех направлений инициативного бюджетирования </w:t>
      </w:r>
      <w:r w:rsidR="000E765D">
        <w:rPr>
          <w:rFonts w:ascii="Times New Roman" w:hAnsi="Times New Roman" w:cs="Times New Roman"/>
          <w:sz w:val="24"/>
          <w:szCs w:val="24"/>
        </w:rPr>
        <w:t>с акцентом</w:t>
      </w:r>
      <w:r w:rsidRPr="00640134">
        <w:rPr>
          <w:rFonts w:ascii="Times New Roman" w:hAnsi="Times New Roman" w:cs="Times New Roman"/>
          <w:sz w:val="24"/>
          <w:szCs w:val="24"/>
        </w:rPr>
        <w:t xml:space="preserve"> на местн</w:t>
      </w:r>
      <w:r w:rsidR="000E765D">
        <w:rPr>
          <w:rFonts w:ascii="Times New Roman" w:hAnsi="Times New Roman" w:cs="Times New Roman"/>
          <w:sz w:val="24"/>
          <w:szCs w:val="24"/>
        </w:rPr>
        <w:t>ый</w:t>
      </w:r>
      <w:r w:rsidRPr="00640134">
        <w:rPr>
          <w:rFonts w:ascii="Times New Roman" w:hAnsi="Times New Roman" w:cs="Times New Roman"/>
          <w:sz w:val="24"/>
          <w:szCs w:val="24"/>
        </w:rPr>
        <w:t xml:space="preserve"> уровн</w:t>
      </w:r>
      <w:r w:rsidR="000E765D">
        <w:rPr>
          <w:rFonts w:ascii="Times New Roman" w:hAnsi="Times New Roman" w:cs="Times New Roman"/>
          <w:sz w:val="24"/>
          <w:szCs w:val="24"/>
        </w:rPr>
        <w:t>ь</w:t>
      </w:r>
      <w:r w:rsidRPr="00640134">
        <w:rPr>
          <w:rFonts w:ascii="Times New Roman" w:hAnsi="Times New Roman" w:cs="Times New Roman"/>
          <w:sz w:val="24"/>
          <w:szCs w:val="24"/>
        </w:rPr>
        <w:t>.</w:t>
      </w:r>
      <w:r w:rsidR="00C00DAA">
        <w:rPr>
          <w:rFonts w:ascii="Times New Roman" w:hAnsi="Times New Roman" w:cs="Times New Roman"/>
          <w:sz w:val="24"/>
          <w:szCs w:val="24"/>
        </w:rPr>
        <w:t xml:space="preserve"> </w:t>
      </w:r>
      <w:r w:rsidRPr="00640134">
        <w:rPr>
          <w:rFonts w:ascii="Times New Roman" w:hAnsi="Times New Roman" w:cs="Times New Roman"/>
          <w:sz w:val="24"/>
          <w:szCs w:val="24"/>
        </w:rPr>
        <w:t>Вологодская область так же следует данным тенденциям. Все большее количество муниципальных округов принимают программ</w:t>
      </w:r>
      <w:r w:rsidR="000E765D">
        <w:rPr>
          <w:rFonts w:ascii="Times New Roman" w:hAnsi="Times New Roman" w:cs="Times New Roman"/>
          <w:sz w:val="24"/>
          <w:szCs w:val="24"/>
        </w:rPr>
        <w:t>ы инициативного бюджетирования</w:t>
      </w:r>
      <w:r w:rsidRPr="00640134">
        <w:rPr>
          <w:rFonts w:ascii="Times New Roman" w:hAnsi="Times New Roman" w:cs="Times New Roman"/>
          <w:sz w:val="24"/>
          <w:szCs w:val="24"/>
        </w:rPr>
        <w:t xml:space="preserve"> наряду с областью.</w:t>
      </w:r>
    </w:p>
    <w:p w14:paraId="36A3137D" w14:textId="77777777" w:rsidR="008053B3" w:rsidRPr="00640134" w:rsidRDefault="008053B3" w:rsidP="00640134">
      <w:pPr>
        <w:spacing w:after="0" w:line="240" w:lineRule="auto"/>
        <w:ind w:firstLine="709"/>
        <w:jc w:val="center"/>
        <w:rPr>
          <w:rFonts w:ascii="Times New Roman" w:hAnsi="Times New Roman" w:cs="Times New Roman"/>
          <w:b/>
          <w:bCs/>
          <w:sz w:val="24"/>
          <w:szCs w:val="24"/>
        </w:rPr>
      </w:pPr>
    </w:p>
    <w:p w14:paraId="1D6558EF" w14:textId="66EBBCD8" w:rsidR="008053B3" w:rsidRPr="00640134" w:rsidRDefault="00C00DAA" w:rsidP="00C00DAA">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4CAEE228" w14:textId="38701862" w:rsidR="008053B3" w:rsidRPr="00640134" w:rsidRDefault="008053B3" w:rsidP="00640134">
      <w:pPr>
        <w:pStyle w:val="a4"/>
        <w:numPr>
          <w:ilvl w:val="0"/>
          <w:numId w:val="2"/>
        </w:numPr>
        <w:spacing w:after="0" w:line="240" w:lineRule="auto"/>
        <w:ind w:left="0" w:firstLine="709"/>
        <w:jc w:val="both"/>
        <w:rPr>
          <w:rFonts w:ascii="Times New Roman" w:hAnsi="Times New Roman" w:cs="Times New Roman"/>
          <w:sz w:val="24"/>
          <w:szCs w:val="24"/>
        </w:rPr>
      </w:pPr>
      <w:r w:rsidRPr="00640134">
        <w:rPr>
          <w:rFonts w:ascii="Times New Roman" w:hAnsi="Times New Roman" w:cs="Times New Roman"/>
          <w:sz w:val="24"/>
          <w:szCs w:val="24"/>
        </w:rPr>
        <w:t>Вагин В. В., Шаповалова Н. А. Инициативное бюджетирование и смежные практики //</w:t>
      </w:r>
      <w:r w:rsidR="00F3674E">
        <w:rPr>
          <w:rFonts w:ascii="Times New Roman" w:hAnsi="Times New Roman" w:cs="Times New Roman"/>
          <w:sz w:val="24"/>
          <w:szCs w:val="24"/>
        </w:rPr>
        <w:t xml:space="preserve"> </w:t>
      </w:r>
      <w:r w:rsidRPr="00640134">
        <w:rPr>
          <w:rFonts w:ascii="Times New Roman" w:hAnsi="Times New Roman" w:cs="Times New Roman"/>
          <w:sz w:val="24"/>
          <w:szCs w:val="24"/>
        </w:rPr>
        <w:t>Финансовая аналитика: проблемы и решения. – 2016. – №. 38 (320). – С. 2-19.</w:t>
      </w:r>
    </w:p>
    <w:p w14:paraId="6C26E5B4" w14:textId="1F166010" w:rsidR="008053B3" w:rsidRPr="00640134" w:rsidRDefault="008053B3" w:rsidP="00640134">
      <w:pPr>
        <w:pStyle w:val="a4"/>
        <w:numPr>
          <w:ilvl w:val="0"/>
          <w:numId w:val="2"/>
        </w:numPr>
        <w:spacing w:after="0" w:line="240" w:lineRule="auto"/>
        <w:ind w:left="0" w:firstLine="709"/>
        <w:jc w:val="both"/>
        <w:rPr>
          <w:rFonts w:ascii="Times New Roman" w:hAnsi="Times New Roman" w:cs="Times New Roman"/>
          <w:sz w:val="24"/>
          <w:szCs w:val="24"/>
        </w:rPr>
      </w:pPr>
      <w:r w:rsidRPr="00640134">
        <w:rPr>
          <w:rFonts w:ascii="Times New Roman" w:hAnsi="Times New Roman" w:cs="Times New Roman"/>
          <w:sz w:val="24"/>
          <w:szCs w:val="24"/>
        </w:rPr>
        <w:t>Вагин В. В., Шаповалова Н. А. Состояние инициативного бюджетирования в Российской Федерации: новые тренды и возможности развития //</w:t>
      </w:r>
      <w:r w:rsidR="00F3674E">
        <w:rPr>
          <w:rFonts w:ascii="Times New Roman" w:hAnsi="Times New Roman" w:cs="Times New Roman"/>
          <w:sz w:val="24"/>
          <w:szCs w:val="24"/>
        </w:rPr>
        <w:t xml:space="preserve"> </w:t>
      </w:r>
      <w:r w:rsidRPr="00640134">
        <w:rPr>
          <w:rFonts w:ascii="Times New Roman" w:hAnsi="Times New Roman" w:cs="Times New Roman"/>
          <w:sz w:val="24"/>
          <w:szCs w:val="24"/>
        </w:rPr>
        <w:t>Финансовый журнал. – 2018. – №. 1 (41). – С. 110-122.</w:t>
      </w:r>
    </w:p>
    <w:p w14:paraId="7C1DB6B1" w14:textId="3F6447E3" w:rsidR="008053B3" w:rsidRPr="00640134" w:rsidRDefault="008053B3" w:rsidP="00640134">
      <w:pPr>
        <w:pStyle w:val="a4"/>
        <w:numPr>
          <w:ilvl w:val="0"/>
          <w:numId w:val="2"/>
        </w:numPr>
        <w:spacing w:after="0" w:line="240" w:lineRule="auto"/>
        <w:ind w:left="0" w:firstLine="709"/>
        <w:jc w:val="both"/>
        <w:rPr>
          <w:rFonts w:ascii="Times New Roman" w:hAnsi="Times New Roman" w:cs="Times New Roman"/>
          <w:sz w:val="24"/>
          <w:szCs w:val="24"/>
        </w:rPr>
      </w:pPr>
      <w:r w:rsidRPr="00640134">
        <w:rPr>
          <w:rFonts w:ascii="Times New Roman" w:hAnsi="Times New Roman" w:cs="Times New Roman"/>
          <w:sz w:val="24"/>
          <w:szCs w:val="24"/>
        </w:rPr>
        <w:t>Рыбакова С. В. Инициативное бюджетирование как новая категория бюджетного права //</w:t>
      </w:r>
      <w:r w:rsidR="00F3674E">
        <w:rPr>
          <w:rFonts w:ascii="Times New Roman" w:hAnsi="Times New Roman" w:cs="Times New Roman"/>
          <w:sz w:val="24"/>
          <w:szCs w:val="24"/>
        </w:rPr>
        <w:t xml:space="preserve"> </w:t>
      </w:r>
      <w:r w:rsidRPr="00640134">
        <w:rPr>
          <w:rFonts w:ascii="Times New Roman" w:hAnsi="Times New Roman" w:cs="Times New Roman"/>
          <w:sz w:val="24"/>
          <w:szCs w:val="24"/>
        </w:rPr>
        <w:t>Финансовое право. – 2022. – №. 5. – С. 12-18.</w:t>
      </w:r>
    </w:p>
    <w:p w14:paraId="1AF69D03" w14:textId="3E08BC3F" w:rsidR="008053B3" w:rsidRPr="00640134" w:rsidRDefault="008053B3" w:rsidP="00640134">
      <w:pPr>
        <w:pStyle w:val="a4"/>
        <w:numPr>
          <w:ilvl w:val="0"/>
          <w:numId w:val="2"/>
        </w:numPr>
        <w:spacing w:after="0" w:line="240" w:lineRule="auto"/>
        <w:ind w:left="0" w:firstLine="709"/>
        <w:jc w:val="both"/>
        <w:rPr>
          <w:rFonts w:ascii="Times New Roman" w:hAnsi="Times New Roman" w:cs="Times New Roman"/>
          <w:sz w:val="24"/>
          <w:szCs w:val="24"/>
        </w:rPr>
      </w:pPr>
      <w:r w:rsidRPr="00640134">
        <w:rPr>
          <w:rFonts w:ascii="Times New Roman" w:hAnsi="Times New Roman" w:cs="Times New Roman"/>
          <w:sz w:val="24"/>
          <w:szCs w:val="24"/>
        </w:rPr>
        <w:t>Смирнов Д. А. Финансово-правовое регулирование инициативного бюджетирования в субъектах РФ //</w:t>
      </w:r>
      <w:r w:rsidR="00F3674E">
        <w:rPr>
          <w:rFonts w:ascii="Times New Roman" w:hAnsi="Times New Roman" w:cs="Times New Roman"/>
          <w:sz w:val="24"/>
          <w:szCs w:val="24"/>
        </w:rPr>
        <w:t xml:space="preserve"> </w:t>
      </w:r>
      <w:r w:rsidRPr="00640134">
        <w:rPr>
          <w:rFonts w:ascii="Times New Roman" w:hAnsi="Times New Roman" w:cs="Times New Roman"/>
          <w:sz w:val="24"/>
          <w:szCs w:val="24"/>
        </w:rPr>
        <w:t>Правовая политика и правовая жизнь. – 2021. – №. 1. – С. 148-155.</w:t>
      </w:r>
    </w:p>
    <w:p w14:paraId="2FBD4E57" w14:textId="545132FC" w:rsidR="005903C5" w:rsidRDefault="008053B3" w:rsidP="00640134">
      <w:pPr>
        <w:pStyle w:val="a4"/>
        <w:numPr>
          <w:ilvl w:val="0"/>
          <w:numId w:val="2"/>
        </w:numPr>
        <w:spacing w:after="0" w:line="240" w:lineRule="auto"/>
        <w:ind w:left="0" w:firstLine="709"/>
        <w:jc w:val="both"/>
        <w:rPr>
          <w:rFonts w:ascii="Times New Roman" w:hAnsi="Times New Roman" w:cs="Times New Roman"/>
          <w:sz w:val="24"/>
          <w:szCs w:val="24"/>
        </w:rPr>
      </w:pPr>
      <w:r w:rsidRPr="00640134">
        <w:rPr>
          <w:rFonts w:ascii="Times New Roman" w:hAnsi="Times New Roman" w:cs="Times New Roman"/>
          <w:sz w:val="24"/>
          <w:szCs w:val="24"/>
        </w:rPr>
        <w:t>Шаповалова Н. А. Муниципальные практики инициативного бюджетирования: характеристика и механизмы поддержки //</w:t>
      </w:r>
      <w:r w:rsidR="00B46375">
        <w:rPr>
          <w:rFonts w:ascii="Times New Roman" w:hAnsi="Times New Roman" w:cs="Times New Roman"/>
          <w:sz w:val="24"/>
          <w:szCs w:val="24"/>
        </w:rPr>
        <w:t xml:space="preserve"> </w:t>
      </w:r>
      <w:r w:rsidRPr="00640134">
        <w:rPr>
          <w:rFonts w:ascii="Times New Roman" w:hAnsi="Times New Roman" w:cs="Times New Roman"/>
          <w:sz w:val="24"/>
          <w:szCs w:val="24"/>
        </w:rPr>
        <w:t>Вестник Московского университета имени СЮ Витте. Серия 1: Экономика и управление.</w:t>
      </w:r>
      <w:r w:rsidR="00B46375">
        <w:rPr>
          <w:rFonts w:ascii="Times New Roman" w:hAnsi="Times New Roman" w:cs="Times New Roman"/>
          <w:sz w:val="24"/>
          <w:szCs w:val="24"/>
        </w:rPr>
        <w:t xml:space="preserve"> –</w:t>
      </w:r>
      <w:r w:rsidRPr="00640134">
        <w:rPr>
          <w:rFonts w:ascii="Times New Roman" w:hAnsi="Times New Roman" w:cs="Times New Roman"/>
          <w:sz w:val="24"/>
          <w:szCs w:val="24"/>
        </w:rPr>
        <w:t xml:space="preserve"> </w:t>
      </w:r>
      <w:r w:rsidR="00B46375">
        <w:rPr>
          <w:rFonts w:ascii="Times New Roman" w:hAnsi="Times New Roman" w:cs="Times New Roman"/>
          <w:sz w:val="24"/>
          <w:szCs w:val="24"/>
        </w:rPr>
        <w:t>2020 –</w:t>
      </w:r>
      <w:r w:rsidRPr="00640134">
        <w:rPr>
          <w:rFonts w:ascii="Times New Roman" w:hAnsi="Times New Roman" w:cs="Times New Roman"/>
          <w:sz w:val="24"/>
          <w:szCs w:val="24"/>
        </w:rPr>
        <w:t xml:space="preserve"> №. 4 (35).</w:t>
      </w:r>
      <w:r w:rsidR="00B46375">
        <w:rPr>
          <w:rFonts w:ascii="Times New Roman" w:hAnsi="Times New Roman" w:cs="Times New Roman"/>
          <w:sz w:val="24"/>
          <w:szCs w:val="24"/>
        </w:rPr>
        <w:t xml:space="preserve"> –</w:t>
      </w:r>
      <w:r w:rsidRPr="00640134">
        <w:rPr>
          <w:rFonts w:ascii="Times New Roman" w:hAnsi="Times New Roman" w:cs="Times New Roman"/>
          <w:sz w:val="24"/>
          <w:szCs w:val="24"/>
        </w:rPr>
        <w:t xml:space="preserve"> С. 24-38.</w:t>
      </w:r>
    </w:p>
    <w:p w14:paraId="1EABF2D7" w14:textId="6ACEACF1" w:rsidR="00C00DAA" w:rsidRDefault="00C00DAA" w:rsidP="00C00DAA">
      <w:pPr>
        <w:spacing w:after="0" w:line="240" w:lineRule="auto"/>
        <w:jc w:val="both"/>
        <w:rPr>
          <w:rFonts w:ascii="Times New Roman" w:hAnsi="Times New Roman" w:cs="Times New Roman"/>
          <w:sz w:val="24"/>
          <w:szCs w:val="24"/>
        </w:rPr>
      </w:pPr>
    </w:p>
    <w:p w14:paraId="4940A5BC" w14:textId="77777777" w:rsidR="00C00DAA" w:rsidRPr="00C00DAA" w:rsidRDefault="00C00DAA" w:rsidP="00C00DAA">
      <w:pPr>
        <w:spacing w:after="0" w:line="240" w:lineRule="auto"/>
        <w:jc w:val="center"/>
        <w:rPr>
          <w:rFonts w:ascii="Times New Roman" w:hAnsi="Times New Roman" w:cs="Times New Roman"/>
          <w:b/>
          <w:bCs/>
          <w:sz w:val="24"/>
          <w:szCs w:val="24"/>
        </w:rPr>
      </w:pPr>
      <w:r w:rsidRPr="00C00DAA">
        <w:rPr>
          <w:rFonts w:ascii="Times New Roman" w:hAnsi="Times New Roman" w:cs="Times New Roman"/>
          <w:b/>
          <w:bCs/>
          <w:sz w:val="24"/>
          <w:szCs w:val="24"/>
        </w:rPr>
        <w:t>Информация об авторе</w:t>
      </w:r>
    </w:p>
    <w:p w14:paraId="15CD9B2E" w14:textId="211881E8" w:rsidR="00C00DAA" w:rsidRPr="009E29D5" w:rsidRDefault="00C00DAA" w:rsidP="00C00DAA">
      <w:pPr>
        <w:spacing w:after="0" w:line="240" w:lineRule="auto"/>
        <w:jc w:val="both"/>
        <w:rPr>
          <w:rFonts w:ascii="Times New Roman" w:hAnsi="Times New Roman" w:cs="Times New Roman"/>
          <w:sz w:val="24"/>
          <w:szCs w:val="24"/>
          <w:lang w:val="en-US"/>
        </w:rPr>
      </w:pPr>
      <w:r w:rsidRPr="00C00DAA">
        <w:rPr>
          <w:rFonts w:ascii="Times New Roman" w:hAnsi="Times New Roman" w:cs="Times New Roman"/>
          <w:sz w:val="24"/>
          <w:szCs w:val="24"/>
        </w:rPr>
        <w:t>Михалко Николай Николаевич (Россия, Вологда) – инженер-исследователь, Вологодский научный центр Российской академии наук (г. Вологда, ул. Горького</w:t>
      </w:r>
      <w:r w:rsidRPr="009E29D5">
        <w:rPr>
          <w:rFonts w:ascii="Times New Roman" w:hAnsi="Times New Roman" w:cs="Times New Roman"/>
          <w:sz w:val="24"/>
          <w:szCs w:val="24"/>
          <w:lang w:val="en-US"/>
        </w:rPr>
        <w:t xml:space="preserve"> 56</w:t>
      </w:r>
      <w:r w:rsidRPr="00C00DAA">
        <w:rPr>
          <w:rFonts w:ascii="Times New Roman" w:hAnsi="Times New Roman" w:cs="Times New Roman"/>
          <w:sz w:val="24"/>
          <w:szCs w:val="24"/>
        </w:rPr>
        <w:t>а</w:t>
      </w:r>
      <w:r w:rsidRPr="009E29D5">
        <w:rPr>
          <w:rFonts w:ascii="Times New Roman" w:hAnsi="Times New Roman" w:cs="Times New Roman"/>
          <w:sz w:val="24"/>
          <w:szCs w:val="24"/>
          <w:lang w:val="en-US"/>
        </w:rPr>
        <w:t>. E-mail: mihalcko.kolya@yandex.ru)</w:t>
      </w:r>
    </w:p>
    <w:p w14:paraId="17058AAC" w14:textId="77777777" w:rsidR="00F3589D" w:rsidRDefault="00F3589D" w:rsidP="00C00DAA">
      <w:pPr>
        <w:spacing w:after="0" w:line="240" w:lineRule="auto"/>
        <w:jc w:val="both"/>
        <w:rPr>
          <w:rFonts w:ascii="Times New Roman" w:hAnsi="Times New Roman" w:cs="Times New Roman"/>
          <w:sz w:val="24"/>
          <w:szCs w:val="24"/>
          <w:lang w:val="en-US"/>
        </w:rPr>
      </w:pPr>
    </w:p>
    <w:p w14:paraId="7E3A1273" w14:textId="0AFC95A5" w:rsidR="00C00DAA" w:rsidRPr="00F3589D" w:rsidRDefault="00C00DAA" w:rsidP="00F3589D">
      <w:pPr>
        <w:spacing w:after="0" w:line="240" w:lineRule="auto"/>
        <w:jc w:val="right"/>
        <w:rPr>
          <w:rFonts w:ascii="Times New Roman" w:hAnsi="Times New Roman" w:cs="Times New Roman"/>
          <w:b/>
          <w:bCs/>
          <w:sz w:val="24"/>
          <w:szCs w:val="24"/>
          <w:lang w:val="en-US"/>
        </w:rPr>
      </w:pPr>
      <w:r w:rsidRPr="00F3589D">
        <w:rPr>
          <w:rFonts w:ascii="Times New Roman" w:hAnsi="Times New Roman" w:cs="Times New Roman"/>
          <w:b/>
          <w:bCs/>
          <w:sz w:val="24"/>
          <w:szCs w:val="24"/>
          <w:lang w:val="en-US"/>
        </w:rPr>
        <w:t>Mikhalko N.N.</w:t>
      </w:r>
    </w:p>
    <w:p w14:paraId="443C5CED" w14:textId="3B3DCB8C" w:rsidR="00C00DAA" w:rsidRPr="00F3589D" w:rsidRDefault="00C00DAA" w:rsidP="00F3589D">
      <w:pPr>
        <w:spacing w:after="0" w:line="240" w:lineRule="auto"/>
        <w:jc w:val="center"/>
        <w:rPr>
          <w:rFonts w:ascii="Times New Roman" w:hAnsi="Times New Roman" w:cs="Times New Roman"/>
          <w:b/>
          <w:bCs/>
          <w:sz w:val="24"/>
          <w:szCs w:val="24"/>
          <w:lang w:val="en-US"/>
        </w:rPr>
      </w:pPr>
      <w:r w:rsidRPr="00F3589D">
        <w:rPr>
          <w:rFonts w:ascii="Times New Roman" w:hAnsi="Times New Roman" w:cs="Times New Roman"/>
          <w:b/>
          <w:bCs/>
          <w:sz w:val="24"/>
          <w:szCs w:val="24"/>
          <w:lang w:val="en-US"/>
        </w:rPr>
        <w:t>Initiative budgeting in the Russian Federation at the regional and local government levels (on the example of the Vologda Oblast)</w:t>
      </w:r>
    </w:p>
    <w:p w14:paraId="48BDDA23" w14:textId="77777777" w:rsidR="00F3589D" w:rsidRPr="00F3589D" w:rsidRDefault="00F3589D" w:rsidP="00F3589D">
      <w:pPr>
        <w:spacing w:after="0" w:line="240" w:lineRule="auto"/>
        <w:ind w:firstLine="709"/>
        <w:jc w:val="both"/>
        <w:rPr>
          <w:rFonts w:ascii="Times New Roman" w:hAnsi="Times New Roman" w:cs="Times New Roman"/>
          <w:sz w:val="24"/>
          <w:szCs w:val="24"/>
          <w:lang w:val="en-US"/>
        </w:rPr>
      </w:pPr>
      <w:r w:rsidRPr="00F3589D">
        <w:rPr>
          <w:rFonts w:ascii="Times New Roman" w:hAnsi="Times New Roman" w:cs="Times New Roman"/>
          <w:sz w:val="24"/>
          <w:szCs w:val="24"/>
          <w:lang w:val="en-US"/>
        </w:rPr>
        <w:t>The key trend in the field of initiative budgeting since 2018 remains the active development of this mechanism at the local government level. The results of the study showed that the Vologda Oblast follows all-Russian trends, but there are regional peculiarities.</w:t>
      </w:r>
    </w:p>
    <w:p w14:paraId="4CB698AE" w14:textId="36663B45" w:rsidR="00F3589D" w:rsidRDefault="00F3589D" w:rsidP="00F3589D">
      <w:pPr>
        <w:spacing w:after="0" w:line="240" w:lineRule="auto"/>
        <w:ind w:firstLine="709"/>
        <w:jc w:val="both"/>
        <w:rPr>
          <w:rFonts w:ascii="Times New Roman" w:hAnsi="Times New Roman" w:cs="Times New Roman"/>
          <w:sz w:val="24"/>
          <w:szCs w:val="24"/>
          <w:lang w:val="en-US"/>
        </w:rPr>
      </w:pPr>
      <w:r w:rsidRPr="00F3589D">
        <w:rPr>
          <w:rFonts w:ascii="Times New Roman" w:hAnsi="Times New Roman" w:cs="Times New Roman"/>
          <w:b/>
          <w:bCs/>
          <w:sz w:val="24"/>
          <w:szCs w:val="24"/>
          <w:lang w:val="en-US"/>
        </w:rPr>
        <w:t>Keywords:</w:t>
      </w:r>
      <w:r w:rsidRPr="00F3589D">
        <w:rPr>
          <w:rFonts w:ascii="Times New Roman" w:hAnsi="Times New Roman" w:cs="Times New Roman"/>
          <w:sz w:val="24"/>
          <w:szCs w:val="24"/>
          <w:lang w:val="en-US"/>
        </w:rPr>
        <w:t xml:space="preserve"> initiative budgeting, participatory budget, national budget</w:t>
      </w:r>
    </w:p>
    <w:p w14:paraId="2EFE770C" w14:textId="62B745B8" w:rsidR="00C00DAA" w:rsidRDefault="00C00DAA" w:rsidP="00C00DAA">
      <w:pPr>
        <w:spacing w:after="0" w:line="240" w:lineRule="auto"/>
        <w:jc w:val="both"/>
        <w:rPr>
          <w:rFonts w:ascii="Times New Roman" w:hAnsi="Times New Roman" w:cs="Times New Roman"/>
          <w:sz w:val="24"/>
          <w:szCs w:val="24"/>
          <w:lang w:val="en-US"/>
        </w:rPr>
      </w:pPr>
    </w:p>
    <w:p w14:paraId="7A8B0338" w14:textId="6CA488CA" w:rsidR="00C00DAA" w:rsidRPr="00F3589D" w:rsidRDefault="00C00DAA" w:rsidP="00F3589D">
      <w:pPr>
        <w:spacing w:after="0" w:line="240" w:lineRule="auto"/>
        <w:jc w:val="center"/>
        <w:rPr>
          <w:rFonts w:ascii="Times New Roman" w:hAnsi="Times New Roman" w:cs="Times New Roman"/>
          <w:b/>
          <w:bCs/>
          <w:sz w:val="24"/>
          <w:szCs w:val="24"/>
          <w:lang w:val="en-US"/>
        </w:rPr>
      </w:pPr>
      <w:r w:rsidRPr="00F3589D">
        <w:rPr>
          <w:rFonts w:ascii="Times New Roman" w:hAnsi="Times New Roman" w:cs="Times New Roman"/>
          <w:b/>
          <w:bCs/>
          <w:sz w:val="24"/>
          <w:szCs w:val="24"/>
          <w:lang w:val="en-US"/>
        </w:rPr>
        <w:t>References</w:t>
      </w:r>
    </w:p>
    <w:p w14:paraId="42C79E0D" w14:textId="32ABA134" w:rsidR="00C00DAA" w:rsidRPr="001D6E66" w:rsidRDefault="00C00DAA" w:rsidP="001D6E66">
      <w:pPr>
        <w:pStyle w:val="a4"/>
        <w:numPr>
          <w:ilvl w:val="0"/>
          <w:numId w:val="3"/>
        </w:numPr>
        <w:spacing w:after="0" w:line="240" w:lineRule="auto"/>
        <w:ind w:left="0" w:firstLine="709"/>
        <w:jc w:val="both"/>
        <w:rPr>
          <w:rFonts w:ascii="Times New Roman" w:hAnsi="Times New Roman" w:cs="Times New Roman"/>
          <w:sz w:val="24"/>
          <w:szCs w:val="24"/>
          <w:lang w:val="en-US"/>
        </w:rPr>
      </w:pPr>
      <w:r w:rsidRPr="001D6E66">
        <w:rPr>
          <w:rFonts w:ascii="Times New Roman" w:hAnsi="Times New Roman" w:cs="Times New Roman"/>
          <w:sz w:val="24"/>
          <w:szCs w:val="24"/>
          <w:lang w:val="en-US"/>
        </w:rPr>
        <w:t>Vagin V. V., Shapovalova N. A. Initiative budgeting and related practices // Financial analytics: problems and solutions. – 2016. – №. 38 (320). – p. 2-19.</w:t>
      </w:r>
    </w:p>
    <w:p w14:paraId="7F073EEC" w14:textId="7D541630" w:rsidR="00C00DAA" w:rsidRPr="001D6E66" w:rsidRDefault="00C00DAA" w:rsidP="001D6E66">
      <w:pPr>
        <w:pStyle w:val="a4"/>
        <w:numPr>
          <w:ilvl w:val="0"/>
          <w:numId w:val="3"/>
        </w:numPr>
        <w:spacing w:after="0" w:line="240" w:lineRule="auto"/>
        <w:ind w:left="0" w:firstLine="709"/>
        <w:jc w:val="both"/>
        <w:rPr>
          <w:rFonts w:ascii="Times New Roman" w:hAnsi="Times New Roman" w:cs="Times New Roman"/>
          <w:sz w:val="24"/>
          <w:szCs w:val="24"/>
          <w:lang w:val="en-US"/>
        </w:rPr>
      </w:pPr>
      <w:r w:rsidRPr="001D6E66">
        <w:rPr>
          <w:rFonts w:ascii="Times New Roman" w:hAnsi="Times New Roman" w:cs="Times New Roman"/>
          <w:sz w:val="24"/>
          <w:szCs w:val="24"/>
          <w:lang w:val="en-US"/>
        </w:rPr>
        <w:t>Vagin V. V., Shapovalova N. A. The state of initiative budgeting in the Russian Federation: new trends and development opportunities // Financial Journal. – 2018. – №. 1 (41). – Pp. 110-122.</w:t>
      </w:r>
    </w:p>
    <w:p w14:paraId="5405DAA5" w14:textId="1DE42886" w:rsidR="00C00DAA" w:rsidRPr="001D6E66" w:rsidRDefault="00C00DAA" w:rsidP="001D6E66">
      <w:pPr>
        <w:pStyle w:val="a4"/>
        <w:numPr>
          <w:ilvl w:val="0"/>
          <w:numId w:val="3"/>
        </w:numPr>
        <w:spacing w:after="0" w:line="240" w:lineRule="auto"/>
        <w:ind w:left="0" w:firstLine="709"/>
        <w:jc w:val="both"/>
        <w:rPr>
          <w:rFonts w:ascii="Times New Roman" w:hAnsi="Times New Roman" w:cs="Times New Roman"/>
          <w:sz w:val="24"/>
          <w:szCs w:val="24"/>
          <w:lang w:val="en-US"/>
        </w:rPr>
      </w:pPr>
      <w:r w:rsidRPr="001D6E66">
        <w:rPr>
          <w:rFonts w:ascii="Times New Roman" w:hAnsi="Times New Roman" w:cs="Times New Roman"/>
          <w:sz w:val="24"/>
          <w:szCs w:val="24"/>
          <w:lang w:val="en-US"/>
        </w:rPr>
        <w:t xml:space="preserve">Rybakova S. V. Initiative budgeting as a new category of budget law //Financial law. – 2022. – №. </w:t>
      </w:r>
      <w:r w:rsidR="00F3589D" w:rsidRPr="001D6E66">
        <w:rPr>
          <w:rFonts w:ascii="Times New Roman" w:hAnsi="Times New Roman" w:cs="Times New Roman"/>
          <w:sz w:val="24"/>
          <w:szCs w:val="24"/>
          <w:lang w:val="en-US"/>
        </w:rPr>
        <w:t>5</w:t>
      </w:r>
      <w:r w:rsidRPr="001D6E66">
        <w:rPr>
          <w:rFonts w:ascii="Times New Roman" w:hAnsi="Times New Roman" w:cs="Times New Roman"/>
          <w:sz w:val="24"/>
          <w:szCs w:val="24"/>
          <w:lang w:val="en-US"/>
        </w:rPr>
        <w:t xml:space="preserve"> – p. 12-18.</w:t>
      </w:r>
    </w:p>
    <w:p w14:paraId="7FA1CFF8" w14:textId="54F36489" w:rsidR="00C00DAA" w:rsidRPr="001D6E66" w:rsidRDefault="00C00DAA" w:rsidP="001D6E66">
      <w:pPr>
        <w:pStyle w:val="a4"/>
        <w:numPr>
          <w:ilvl w:val="0"/>
          <w:numId w:val="3"/>
        </w:numPr>
        <w:spacing w:after="0" w:line="240" w:lineRule="auto"/>
        <w:ind w:left="0" w:firstLine="709"/>
        <w:jc w:val="both"/>
        <w:rPr>
          <w:rFonts w:ascii="Times New Roman" w:hAnsi="Times New Roman" w:cs="Times New Roman"/>
          <w:sz w:val="24"/>
          <w:szCs w:val="24"/>
          <w:lang w:val="en-US"/>
        </w:rPr>
      </w:pPr>
      <w:r w:rsidRPr="001D6E66">
        <w:rPr>
          <w:rFonts w:ascii="Times New Roman" w:hAnsi="Times New Roman" w:cs="Times New Roman"/>
          <w:sz w:val="24"/>
          <w:szCs w:val="24"/>
          <w:lang w:val="en-US"/>
        </w:rPr>
        <w:t>Smirnov D. A. Financial and legal regulation of initiative budgeting in the subjects of the Russian Federation //Legal policy and legal life. – 2021. – No. 1. – p. 148-155.</w:t>
      </w:r>
    </w:p>
    <w:p w14:paraId="7DB449BD" w14:textId="1864BD07" w:rsidR="00C00DAA" w:rsidRPr="001D6E66" w:rsidRDefault="00C00DAA" w:rsidP="001D6E66">
      <w:pPr>
        <w:pStyle w:val="a4"/>
        <w:numPr>
          <w:ilvl w:val="0"/>
          <w:numId w:val="3"/>
        </w:numPr>
        <w:spacing w:after="0" w:line="240" w:lineRule="auto"/>
        <w:ind w:left="0" w:firstLine="709"/>
        <w:jc w:val="both"/>
        <w:rPr>
          <w:rFonts w:ascii="Times New Roman" w:hAnsi="Times New Roman" w:cs="Times New Roman"/>
          <w:sz w:val="24"/>
          <w:szCs w:val="24"/>
          <w:lang w:val="en-US"/>
        </w:rPr>
      </w:pPr>
      <w:r w:rsidRPr="001D6E66">
        <w:rPr>
          <w:rFonts w:ascii="Times New Roman" w:hAnsi="Times New Roman" w:cs="Times New Roman"/>
          <w:sz w:val="24"/>
          <w:szCs w:val="24"/>
          <w:lang w:val="en-US"/>
        </w:rPr>
        <w:t>Shapovalova N. A.</w:t>
      </w:r>
      <w:r w:rsidR="00F3589D" w:rsidRPr="001D6E66">
        <w:rPr>
          <w:rFonts w:ascii="Times New Roman" w:hAnsi="Times New Roman" w:cs="Times New Roman"/>
          <w:sz w:val="24"/>
          <w:szCs w:val="24"/>
          <w:lang w:val="en-US"/>
        </w:rPr>
        <w:t xml:space="preserve"> </w:t>
      </w:r>
      <w:r w:rsidRPr="001D6E66">
        <w:rPr>
          <w:rFonts w:ascii="Times New Roman" w:hAnsi="Times New Roman" w:cs="Times New Roman"/>
          <w:sz w:val="24"/>
          <w:szCs w:val="24"/>
          <w:lang w:val="en-US"/>
        </w:rPr>
        <w:t>Municipal practices of initiative budgeting: characteristics and support mechanisms //</w:t>
      </w:r>
      <w:r w:rsidR="00F3589D" w:rsidRPr="001D6E66">
        <w:rPr>
          <w:rFonts w:ascii="Times New Roman" w:hAnsi="Times New Roman" w:cs="Times New Roman"/>
          <w:sz w:val="24"/>
          <w:szCs w:val="24"/>
          <w:lang w:val="en-US"/>
        </w:rPr>
        <w:t xml:space="preserve"> </w:t>
      </w:r>
      <w:r w:rsidRPr="001D6E66">
        <w:rPr>
          <w:rFonts w:ascii="Times New Roman" w:hAnsi="Times New Roman" w:cs="Times New Roman"/>
          <w:sz w:val="24"/>
          <w:szCs w:val="24"/>
          <w:lang w:val="en-US"/>
        </w:rPr>
        <w:t xml:space="preserve">Bulletin of the SUE Witte Moscow University. Series 1: Economics and Management.  </w:t>
      </w:r>
      <w:r w:rsidR="00F3589D" w:rsidRPr="001D6E66">
        <w:rPr>
          <w:rFonts w:ascii="Times New Roman" w:hAnsi="Times New Roman" w:cs="Times New Roman"/>
          <w:sz w:val="24"/>
          <w:szCs w:val="24"/>
          <w:lang w:val="en-US"/>
        </w:rPr>
        <w:t xml:space="preserve">– 2020. – </w:t>
      </w:r>
      <w:r w:rsidRPr="001D6E66">
        <w:rPr>
          <w:rFonts w:ascii="Times New Roman" w:hAnsi="Times New Roman" w:cs="Times New Roman"/>
          <w:sz w:val="24"/>
          <w:szCs w:val="24"/>
          <w:lang w:val="en-US"/>
        </w:rPr>
        <w:t>No. 4 (35).</w:t>
      </w:r>
      <w:r w:rsidR="00F3589D" w:rsidRPr="001D6E66">
        <w:rPr>
          <w:rFonts w:ascii="Times New Roman" w:hAnsi="Times New Roman" w:cs="Times New Roman"/>
          <w:sz w:val="24"/>
          <w:szCs w:val="24"/>
          <w:lang w:val="en-US"/>
        </w:rPr>
        <w:t xml:space="preserve"> –</w:t>
      </w:r>
      <w:r w:rsidRPr="001D6E66">
        <w:rPr>
          <w:rFonts w:ascii="Times New Roman" w:hAnsi="Times New Roman" w:cs="Times New Roman"/>
          <w:sz w:val="24"/>
          <w:szCs w:val="24"/>
          <w:lang w:val="en-US"/>
        </w:rPr>
        <w:t xml:space="preserve"> p. 24-38.</w:t>
      </w:r>
    </w:p>
    <w:p w14:paraId="087DC030" w14:textId="77777777" w:rsidR="00C00DAA" w:rsidRPr="00C00DAA" w:rsidRDefault="00C00DAA" w:rsidP="00C00DAA">
      <w:pPr>
        <w:spacing w:after="0" w:line="240" w:lineRule="auto"/>
        <w:jc w:val="both"/>
        <w:rPr>
          <w:rFonts w:ascii="Times New Roman" w:hAnsi="Times New Roman" w:cs="Times New Roman"/>
          <w:sz w:val="24"/>
          <w:szCs w:val="24"/>
          <w:lang w:val="en-US"/>
        </w:rPr>
      </w:pPr>
    </w:p>
    <w:p w14:paraId="5B42B3E6" w14:textId="77777777" w:rsidR="00C00DAA" w:rsidRPr="001D6E66" w:rsidRDefault="00C00DAA" w:rsidP="001D6E66">
      <w:pPr>
        <w:spacing w:after="0" w:line="240" w:lineRule="auto"/>
        <w:jc w:val="center"/>
        <w:rPr>
          <w:rFonts w:ascii="Times New Roman" w:hAnsi="Times New Roman" w:cs="Times New Roman"/>
          <w:b/>
          <w:bCs/>
          <w:sz w:val="24"/>
          <w:szCs w:val="24"/>
          <w:lang w:val="en-US"/>
        </w:rPr>
      </w:pPr>
      <w:r w:rsidRPr="001D6E66">
        <w:rPr>
          <w:rFonts w:ascii="Times New Roman" w:hAnsi="Times New Roman" w:cs="Times New Roman"/>
          <w:b/>
          <w:bCs/>
          <w:sz w:val="24"/>
          <w:szCs w:val="24"/>
          <w:lang w:val="en-US"/>
        </w:rPr>
        <w:t>Information about the author</w:t>
      </w:r>
    </w:p>
    <w:p w14:paraId="2BFA8ED8" w14:textId="28FC5CD1" w:rsidR="00C00DAA" w:rsidRPr="00C00DAA" w:rsidRDefault="00C00DAA" w:rsidP="00C00DAA">
      <w:pPr>
        <w:spacing w:after="0" w:line="240" w:lineRule="auto"/>
        <w:jc w:val="both"/>
        <w:rPr>
          <w:rFonts w:ascii="Times New Roman" w:hAnsi="Times New Roman" w:cs="Times New Roman"/>
          <w:sz w:val="24"/>
          <w:szCs w:val="24"/>
          <w:lang w:val="en-US"/>
        </w:rPr>
      </w:pPr>
      <w:r w:rsidRPr="00C00DAA">
        <w:rPr>
          <w:rFonts w:ascii="Times New Roman" w:hAnsi="Times New Roman" w:cs="Times New Roman"/>
          <w:sz w:val="24"/>
          <w:szCs w:val="24"/>
          <w:lang w:val="en-US"/>
        </w:rPr>
        <w:t>Mikhalko Nikolay Nikolaevich (Vologda, Russia) – Research engineer, Vologda Scientific Center of the Russian Academy of Sciences (Vologda, Gorky St. 56a. E-mail: mihalcko.kolya@yandex.ru)</w:t>
      </w:r>
    </w:p>
    <w:sectPr w:rsidR="00C00DAA" w:rsidRPr="00C00DAA" w:rsidSect="0059793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1B1E9B" w14:textId="77777777" w:rsidR="00DE1D44" w:rsidRDefault="00DE1D44" w:rsidP="008053B3">
      <w:pPr>
        <w:spacing w:after="0" w:line="240" w:lineRule="auto"/>
      </w:pPr>
      <w:r>
        <w:separator/>
      </w:r>
    </w:p>
  </w:endnote>
  <w:endnote w:type="continuationSeparator" w:id="0">
    <w:p w14:paraId="0E8261E5" w14:textId="77777777" w:rsidR="00DE1D44" w:rsidRDefault="00DE1D44" w:rsidP="008053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ADC89F" w14:textId="77777777" w:rsidR="00DE1D44" w:rsidRDefault="00DE1D44" w:rsidP="008053B3">
      <w:pPr>
        <w:spacing w:after="0" w:line="240" w:lineRule="auto"/>
      </w:pPr>
      <w:r>
        <w:separator/>
      </w:r>
    </w:p>
  </w:footnote>
  <w:footnote w:type="continuationSeparator" w:id="0">
    <w:p w14:paraId="43A2DFA3" w14:textId="77777777" w:rsidR="00DE1D44" w:rsidRDefault="00DE1D44" w:rsidP="008053B3">
      <w:pPr>
        <w:spacing w:after="0" w:line="240" w:lineRule="auto"/>
      </w:pPr>
      <w:r>
        <w:continuationSeparator/>
      </w:r>
    </w:p>
  </w:footnote>
  <w:footnote w:id="1">
    <w:p w14:paraId="33816C64" w14:textId="77777777" w:rsidR="008053B3" w:rsidRPr="00904017" w:rsidRDefault="008053B3" w:rsidP="008053B3">
      <w:pPr>
        <w:pStyle w:val="a7"/>
        <w:rPr>
          <w:rFonts w:ascii="Times New Roman" w:hAnsi="Times New Roman" w:cs="Times New Roman"/>
        </w:rPr>
      </w:pPr>
      <w:r w:rsidRPr="00904017">
        <w:rPr>
          <w:rStyle w:val="a9"/>
          <w:rFonts w:ascii="Times New Roman" w:hAnsi="Times New Roman" w:cs="Times New Roman"/>
        </w:rPr>
        <w:footnoteRef/>
      </w:r>
      <w:r w:rsidRPr="00904017">
        <w:rPr>
          <w:rFonts w:ascii="Times New Roman" w:hAnsi="Times New Roman" w:cs="Times New Roman"/>
        </w:rPr>
        <w:t xml:space="preserve"> </w:t>
      </w:r>
      <w:r w:rsidRPr="00904017">
        <w:rPr>
          <w:rFonts w:ascii="Times New Roman" w:eastAsia="Times New Roman" w:hAnsi="Times New Roman" w:cs="Times New Roman"/>
          <w:color w:val="000000"/>
          <w:lang w:eastAsia="ru-RU"/>
        </w:rPr>
        <w:t xml:space="preserve">Официальный портал правительства Вологодской области </w:t>
      </w:r>
      <w:r w:rsidRPr="00904017">
        <w:rPr>
          <w:rFonts w:ascii="Times New Roman" w:eastAsia="Times New Roman" w:hAnsi="Times New Roman" w:cs="Times New Roman"/>
          <w:color w:val="000000"/>
          <w:lang w:val="en-US" w:eastAsia="ru-RU"/>
        </w:rPr>
        <w:t>URL</w:t>
      </w:r>
      <w:r w:rsidRPr="00904017">
        <w:rPr>
          <w:rFonts w:ascii="Times New Roman" w:eastAsia="Times New Roman" w:hAnsi="Times New Roman" w:cs="Times New Roman"/>
          <w:color w:val="000000"/>
          <w:lang w:eastAsia="ru-RU"/>
        </w:rPr>
        <w:t>: https://vologda-oblast.ru/narodnyy-byudzhet/</w:t>
      </w:r>
    </w:p>
  </w:footnote>
  <w:footnote w:id="2">
    <w:p w14:paraId="072804D5" w14:textId="77777777" w:rsidR="008053B3" w:rsidRPr="00904017" w:rsidRDefault="008053B3" w:rsidP="008053B3">
      <w:pPr>
        <w:pStyle w:val="a7"/>
        <w:rPr>
          <w:rFonts w:ascii="Times New Roman" w:hAnsi="Times New Roman" w:cs="Times New Roman"/>
        </w:rPr>
      </w:pPr>
      <w:r w:rsidRPr="00904017">
        <w:rPr>
          <w:rStyle w:val="a9"/>
          <w:rFonts w:ascii="Times New Roman" w:hAnsi="Times New Roman" w:cs="Times New Roman"/>
        </w:rPr>
        <w:footnoteRef/>
      </w:r>
      <w:r w:rsidRPr="00904017">
        <w:rPr>
          <w:rFonts w:ascii="Times New Roman" w:hAnsi="Times New Roman" w:cs="Times New Roman"/>
        </w:rPr>
        <w:t xml:space="preserve"> </w:t>
      </w:r>
      <w:r w:rsidRPr="00904017">
        <w:rPr>
          <w:rFonts w:ascii="Times New Roman" w:eastAsia="Times New Roman" w:hAnsi="Times New Roman" w:cs="Times New Roman"/>
          <w:color w:val="000000"/>
          <w:lang w:eastAsia="ru-RU"/>
        </w:rPr>
        <w:t>Доклад о лучших практиках развития инициативного бюджетирования в субъектах Российской Федерации и муниципальных образованиях МинФина России за 2024 г.</w:t>
      </w:r>
    </w:p>
  </w:footnote>
  <w:footnote w:id="3">
    <w:p w14:paraId="254E2451" w14:textId="77777777" w:rsidR="008053B3" w:rsidRPr="00904017" w:rsidRDefault="008053B3" w:rsidP="008053B3">
      <w:pPr>
        <w:pStyle w:val="a7"/>
        <w:rPr>
          <w:rFonts w:ascii="Times New Roman" w:hAnsi="Times New Roman" w:cs="Times New Roman"/>
        </w:rPr>
      </w:pPr>
      <w:r w:rsidRPr="00904017">
        <w:rPr>
          <w:rStyle w:val="a9"/>
          <w:rFonts w:ascii="Times New Roman" w:hAnsi="Times New Roman" w:cs="Times New Roman"/>
        </w:rPr>
        <w:footnoteRef/>
      </w:r>
      <w:r w:rsidRPr="00904017">
        <w:rPr>
          <w:rFonts w:ascii="Times New Roman" w:hAnsi="Times New Roman" w:cs="Times New Roman"/>
        </w:rPr>
        <w:t xml:space="preserve"> </w:t>
      </w:r>
      <w:r w:rsidRPr="00904017">
        <w:rPr>
          <w:rFonts w:ascii="Times New Roman" w:eastAsia="Times New Roman" w:hAnsi="Times New Roman" w:cs="Times New Roman"/>
          <w:color w:val="000000"/>
          <w:lang w:eastAsia="ru-RU"/>
        </w:rPr>
        <w:t>Доклад о лучших практиках развития инициативного бюджетирования в субъектах Российской Федерации и муниципальных образованиях МинФина России за 2024 г.</w:t>
      </w:r>
    </w:p>
  </w:footnote>
  <w:footnote w:id="4">
    <w:p w14:paraId="5E64B11F" w14:textId="0E10BFEF" w:rsidR="008053B3" w:rsidRPr="00904017" w:rsidRDefault="008053B3" w:rsidP="00904017">
      <w:pPr>
        <w:pStyle w:val="a7"/>
        <w:jc w:val="both"/>
        <w:rPr>
          <w:rFonts w:ascii="Times New Roman" w:hAnsi="Times New Roman" w:cs="Times New Roman"/>
        </w:rPr>
      </w:pPr>
      <w:r w:rsidRPr="00904017">
        <w:rPr>
          <w:rStyle w:val="a9"/>
          <w:rFonts w:ascii="Times New Roman" w:hAnsi="Times New Roman" w:cs="Times New Roman"/>
        </w:rPr>
        <w:footnoteRef/>
      </w:r>
      <w:r w:rsidRPr="00904017">
        <w:rPr>
          <w:rFonts w:ascii="Times New Roman" w:hAnsi="Times New Roman" w:cs="Times New Roman"/>
        </w:rPr>
        <w:t xml:space="preserve"> Портал органов местного самоуправления Вологодского муниципального округа </w:t>
      </w:r>
      <w:r w:rsidRPr="00904017">
        <w:rPr>
          <w:rFonts w:ascii="Times New Roman" w:hAnsi="Times New Roman" w:cs="Times New Roman"/>
          <w:lang w:val="en-US"/>
        </w:rPr>
        <w:t>URL</w:t>
      </w:r>
      <w:r w:rsidRPr="00904017">
        <w:rPr>
          <w:rFonts w:ascii="Times New Roman" w:hAnsi="Times New Roman" w:cs="Times New Roman"/>
        </w:rPr>
        <w:t>:</w:t>
      </w:r>
      <w:r w:rsidR="00904017" w:rsidRPr="00904017">
        <w:rPr>
          <w:rFonts w:ascii="Times New Roman" w:hAnsi="Times New Roman" w:cs="Times New Roman"/>
        </w:rPr>
        <w:t xml:space="preserve"> </w:t>
      </w:r>
      <w:r w:rsidRPr="00904017">
        <w:rPr>
          <w:rFonts w:ascii="Times New Roman" w:hAnsi="Times New Roman" w:cs="Times New Roman"/>
        </w:rPr>
        <w:t>https://35vologodskij.gosuslugi.ru/deyatelnost/napravleniya-deyatelnosti/otkrytyy-byudzhet/narodnyy-byudzhet/?ysclid=m6eovyk2ab76290597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9015D68"/>
    <w:multiLevelType w:val="hybridMultilevel"/>
    <w:tmpl w:val="D7660F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E7B419D"/>
    <w:multiLevelType w:val="hybridMultilevel"/>
    <w:tmpl w:val="DB8C385E"/>
    <w:lvl w:ilvl="0" w:tplc="9D4015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55E6CAD"/>
    <w:multiLevelType w:val="hybridMultilevel"/>
    <w:tmpl w:val="D7660F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8DA"/>
    <w:rsid w:val="00013A0F"/>
    <w:rsid w:val="00021D01"/>
    <w:rsid w:val="000E765D"/>
    <w:rsid w:val="00136975"/>
    <w:rsid w:val="001D6E66"/>
    <w:rsid w:val="00220E24"/>
    <w:rsid w:val="00432B72"/>
    <w:rsid w:val="00551D19"/>
    <w:rsid w:val="005903C5"/>
    <w:rsid w:val="00592926"/>
    <w:rsid w:val="00594EEE"/>
    <w:rsid w:val="0059793E"/>
    <w:rsid w:val="00640134"/>
    <w:rsid w:val="00660B16"/>
    <w:rsid w:val="00667459"/>
    <w:rsid w:val="0073139B"/>
    <w:rsid w:val="007338DA"/>
    <w:rsid w:val="007462C9"/>
    <w:rsid w:val="007D0997"/>
    <w:rsid w:val="008053B3"/>
    <w:rsid w:val="008469D8"/>
    <w:rsid w:val="008D74AF"/>
    <w:rsid w:val="00904017"/>
    <w:rsid w:val="009B67E8"/>
    <w:rsid w:val="009E29D5"/>
    <w:rsid w:val="00B46375"/>
    <w:rsid w:val="00BA1BDD"/>
    <w:rsid w:val="00BD69FB"/>
    <w:rsid w:val="00C00DAA"/>
    <w:rsid w:val="00CF5B81"/>
    <w:rsid w:val="00D877AF"/>
    <w:rsid w:val="00DA4C72"/>
    <w:rsid w:val="00DE1D44"/>
    <w:rsid w:val="00E456DF"/>
    <w:rsid w:val="00E83B9C"/>
    <w:rsid w:val="00EF7425"/>
    <w:rsid w:val="00F3589D"/>
    <w:rsid w:val="00F3674E"/>
    <w:rsid w:val="00FC3F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E8AA4"/>
  <w15:chartTrackingRefBased/>
  <w15:docId w15:val="{FCBF54E0-28E5-4F7B-B4F5-BFA718540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053B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053B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053B3"/>
    <w:pPr>
      <w:ind w:left="720"/>
      <w:contextualSpacing/>
    </w:pPr>
  </w:style>
  <w:style w:type="character" w:styleId="a5">
    <w:name w:val="Hyperlink"/>
    <w:basedOn w:val="a0"/>
    <w:uiPriority w:val="99"/>
    <w:unhideWhenUsed/>
    <w:rsid w:val="008053B3"/>
    <w:rPr>
      <w:color w:val="0563C1" w:themeColor="hyperlink"/>
      <w:u w:val="single"/>
    </w:rPr>
  </w:style>
  <w:style w:type="character" w:styleId="a6">
    <w:name w:val="Unresolved Mention"/>
    <w:basedOn w:val="a0"/>
    <w:uiPriority w:val="99"/>
    <w:semiHidden/>
    <w:unhideWhenUsed/>
    <w:rsid w:val="008053B3"/>
    <w:rPr>
      <w:color w:val="605E5C"/>
      <w:shd w:val="clear" w:color="auto" w:fill="E1DFDD"/>
    </w:rPr>
  </w:style>
  <w:style w:type="paragraph" w:styleId="a7">
    <w:name w:val="footnote text"/>
    <w:basedOn w:val="a"/>
    <w:link w:val="a8"/>
    <w:uiPriority w:val="99"/>
    <w:semiHidden/>
    <w:unhideWhenUsed/>
    <w:rsid w:val="008053B3"/>
    <w:pPr>
      <w:spacing w:after="0" w:line="240" w:lineRule="auto"/>
    </w:pPr>
    <w:rPr>
      <w:sz w:val="20"/>
      <w:szCs w:val="20"/>
    </w:rPr>
  </w:style>
  <w:style w:type="character" w:customStyle="1" w:styleId="a8">
    <w:name w:val="Текст сноски Знак"/>
    <w:basedOn w:val="a0"/>
    <w:link w:val="a7"/>
    <w:uiPriority w:val="99"/>
    <w:semiHidden/>
    <w:rsid w:val="008053B3"/>
    <w:rPr>
      <w:sz w:val="20"/>
      <w:szCs w:val="20"/>
    </w:rPr>
  </w:style>
  <w:style w:type="character" w:styleId="a9">
    <w:name w:val="footnote reference"/>
    <w:basedOn w:val="a0"/>
    <w:uiPriority w:val="99"/>
    <w:semiHidden/>
    <w:unhideWhenUsed/>
    <w:rsid w:val="008053B3"/>
    <w:rPr>
      <w:vertAlign w:val="superscript"/>
    </w:rPr>
  </w:style>
  <w:style w:type="paragraph" w:styleId="aa">
    <w:name w:val="Balloon Text"/>
    <w:basedOn w:val="a"/>
    <w:link w:val="ab"/>
    <w:uiPriority w:val="99"/>
    <w:semiHidden/>
    <w:unhideWhenUsed/>
    <w:rsid w:val="008053B3"/>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8053B3"/>
    <w:rPr>
      <w:rFonts w:ascii="Segoe UI" w:hAnsi="Segoe UI" w:cs="Segoe UI"/>
      <w:sz w:val="18"/>
      <w:szCs w:val="18"/>
    </w:rPr>
  </w:style>
  <w:style w:type="character" w:customStyle="1" w:styleId="ac">
    <w:name w:val="Подпись к таблице_"/>
    <w:basedOn w:val="a0"/>
    <w:link w:val="ad"/>
    <w:rsid w:val="008053B3"/>
    <w:rPr>
      <w:rFonts w:ascii="Times New Roman" w:eastAsia="Times New Roman" w:hAnsi="Times New Roman" w:cs="Times New Roman"/>
      <w:sz w:val="26"/>
      <w:szCs w:val="26"/>
    </w:rPr>
  </w:style>
  <w:style w:type="character" w:customStyle="1" w:styleId="ae">
    <w:name w:val="Другое_"/>
    <w:basedOn w:val="a0"/>
    <w:link w:val="af"/>
    <w:rsid w:val="008053B3"/>
    <w:rPr>
      <w:rFonts w:ascii="Times New Roman" w:eastAsia="Times New Roman" w:hAnsi="Times New Roman" w:cs="Times New Roman"/>
      <w:sz w:val="26"/>
      <w:szCs w:val="26"/>
    </w:rPr>
  </w:style>
  <w:style w:type="paragraph" w:customStyle="1" w:styleId="ad">
    <w:name w:val="Подпись к таблице"/>
    <w:basedOn w:val="a"/>
    <w:link w:val="ac"/>
    <w:rsid w:val="008053B3"/>
    <w:pPr>
      <w:widowControl w:val="0"/>
      <w:spacing w:after="0" w:line="240" w:lineRule="auto"/>
    </w:pPr>
    <w:rPr>
      <w:rFonts w:ascii="Times New Roman" w:eastAsia="Times New Roman" w:hAnsi="Times New Roman" w:cs="Times New Roman"/>
      <w:sz w:val="26"/>
      <w:szCs w:val="26"/>
    </w:rPr>
  </w:style>
  <w:style w:type="paragraph" w:customStyle="1" w:styleId="af">
    <w:name w:val="Другое"/>
    <w:basedOn w:val="a"/>
    <w:link w:val="ae"/>
    <w:rsid w:val="008053B3"/>
    <w:pPr>
      <w:widowControl w:val="0"/>
      <w:spacing w:after="0" w:line="360" w:lineRule="auto"/>
    </w:pPr>
    <w:rPr>
      <w:rFonts w:ascii="Times New Roman" w:eastAsia="Times New Roman" w:hAnsi="Times New Roman" w:cs="Times New Roman"/>
      <w:sz w:val="26"/>
      <w:szCs w:val="26"/>
    </w:rPr>
  </w:style>
  <w:style w:type="character" w:styleId="af0">
    <w:name w:val="Strong"/>
    <w:uiPriority w:val="99"/>
    <w:qFormat/>
    <w:rsid w:val="008053B3"/>
    <w:rPr>
      <w:rFonts w:cs="Times New Roman"/>
      <w:b/>
      <w:bCs/>
    </w:rPr>
  </w:style>
  <w:style w:type="paragraph" w:styleId="af1">
    <w:name w:val="header"/>
    <w:basedOn w:val="a"/>
    <w:link w:val="af2"/>
    <w:uiPriority w:val="99"/>
    <w:unhideWhenUsed/>
    <w:rsid w:val="008053B3"/>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053B3"/>
  </w:style>
  <w:style w:type="paragraph" w:styleId="af3">
    <w:name w:val="footer"/>
    <w:basedOn w:val="a"/>
    <w:link w:val="af4"/>
    <w:uiPriority w:val="99"/>
    <w:unhideWhenUsed/>
    <w:rsid w:val="008053B3"/>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8053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nn\Desktop\&#1055;&#1086;&#1083;&#1077;&#1074;&#1086;&#1081;%20&#1077;&#1082;&#1089;&#1077;&#1083;&#110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nn\Desktop\&#1055;&#1086;&#1083;&#1077;&#1074;&#1086;&#1081;%20&#1077;&#1082;&#1089;&#1077;&#1083;&#1100;.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Финансовое обеспечение всего</c:v>
          </c:tx>
          <c:spPr>
            <a:ln w="28575" cap="rnd">
              <a:solidFill>
                <a:schemeClr val="accent1"/>
              </a:solidFill>
              <a:round/>
            </a:ln>
            <a:effectLst/>
          </c:spPr>
          <c:marker>
            <c:symbol val="none"/>
          </c:marker>
          <c:dLbls>
            <c:delete val="1"/>
          </c:dLbls>
          <c:cat>
            <c:numRef>
              <c:f>'ИБ график'!$E$6:$M$6</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'ИБ график'!$E$15:$M$15</c:f>
              <c:numCache>
                <c:formatCode>General</c:formatCode>
                <c:ptCount val="9"/>
                <c:pt idx="0">
                  <c:v>2.39</c:v>
                </c:pt>
                <c:pt idx="1">
                  <c:v>7</c:v>
                </c:pt>
                <c:pt idx="2">
                  <c:v>14.5</c:v>
                </c:pt>
                <c:pt idx="3">
                  <c:v>19.309999999999999</c:v>
                </c:pt>
                <c:pt idx="4">
                  <c:v>24.06</c:v>
                </c:pt>
                <c:pt idx="5">
                  <c:v>31.81</c:v>
                </c:pt>
                <c:pt idx="6">
                  <c:v>39.46</c:v>
                </c:pt>
                <c:pt idx="7">
                  <c:v>44.67</c:v>
                </c:pt>
                <c:pt idx="8">
                  <c:v>58.48</c:v>
                </c:pt>
              </c:numCache>
            </c:numRef>
          </c:val>
          <c:smooth val="0"/>
          <c:extLst>
            <c:ext xmlns:c16="http://schemas.microsoft.com/office/drawing/2014/chart" uri="{C3380CC4-5D6E-409C-BE32-E72D297353CC}">
              <c16:uniqueId val="{00000000-F1DE-452A-9B26-31A888704E86}"/>
            </c:ext>
          </c:extLst>
        </c:ser>
        <c:dLbls>
          <c:dLblPos val="t"/>
          <c:showLegendKey val="0"/>
          <c:showVal val="1"/>
          <c:showCatName val="0"/>
          <c:showSerName val="0"/>
          <c:showPercent val="0"/>
          <c:showBubbleSize val="0"/>
        </c:dLbls>
        <c:marker val="1"/>
        <c:smooth val="0"/>
        <c:axId val="677132495"/>
        <c:axId val="580855119"/>
      </c:lineChart>
      <c:lineChart>
        <c:grouping val="standard"/>
        <c:varyColors val="0"/>
        <c:ser>
          <c:idx val="1"/>
          <c:order val="1"/>
          <c:tx>
            <c:v>Релевантные практики всего</c:v>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'ИБ график'!$I$36:$Q$36</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'ИБ график'!$E$9:$M$9</c:f>
              <c:numCache>
                <c:formatCode>General</c:formatCode>
                <c:ptCount val="9"/>
                <c:pt idx="0">
                  <c:v>31</c:v>
                </c:pt>
                <c:pt idx="1">
                  <c:v>40</c:v>
                </c:pt>
                <c:pt idx="2">
                  <c:v>112</c:v>
                </c:pt>
                <c:pt idx="3">
                  <c:v>193</c:v>
                </c:pt>
                <c:pt idx="4">
                  <c:v>249</c:v>
                </c:pt>
                <c:pt idx="5">
                  <c:v>290</c:v>
                </c:pt>
                <c:pt idx="6">
                  <c:v>406</c:v>
                </c:pt>
                <c:pt idx="7">
                  <c:v>439</c:v>
                </c:pt>
                <c:pt idx="8">
                  <c:v>548</c:v>
                </c:pt>
              </c:numCache>
            </c:numRef>
          </c:val>
          <c:smooth val="0"/>
          <c:extLst>
            <c:ext xmlns:c16="http://schemas.microsoft.com/office/drawing/2014/chart" uri="{C3380CC4-5D6E-409C-BE32-E72D297353CC}">
              <c16:uniqueId val="{00000001-F1DE-452A-9B26-31A888704E86}"/>
            </c:ext>
          </c:extLst>
        </c:ser>
        <c:ser>
          <c:idx val="2"/>
          <c:order val="2"/>
          <c:tx>
            <c:v>Муниципальные практики всего</c:v>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'ИБ график'!$I$36:$Q$36</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'ИБ график'!$I$37:$Q$37</c:f>
              <c:numCache>
                <c:formatCode>General</c:formatCode>
                <c:ptCount val="9"/>
                <c:pt idx="3">
                  <c:v>91</c:v>
                </c:pt>
                <c:pt idx="4">
                  <c:v>147</c:v>
                </c:pt>
                <c:pt idx="5">
                  <c:v>175</c:v>
                </c:pt>
                <c:pt idx="6">
                  <c:v>274</c:v>
                </c:pt>
                <c:pt idx="7">
                  <c:v>298</c:v>
                </c:pt>
                <c:pt idx="8">
                  <c:v>392</c:v>
                </c:pt>
              </c:numCache>
            </c:numRef>
          </c:val>
          <c:smooth val="0"/>
          <c:extLst>
            <c:ext xmlns:c16="http://schemas.microsoft.com/office/drawing/2014/chart" uri="{C3380CC4-5D6E-409C-BE32-E72D297353CC}">
              <c16:uniqueId val="{00000002-F1DE-452A-9B26-31A888704E86}"/>
            </c:ext>
          </c:extLst>
        </c:ser>
        <c:ser>
          <c:idx val="3"/>
          <c:order val="3"/>
          <c:tx>
            <c:v>Региональные практики всего</c:v>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'ИБ график'!$I$36:$Q$36</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'ИБ график'!$I$38:$Q$38</c:f>
              <c:numCache>
                <c:formatCode>General</c:formatCode>
                <c:ptCount val="9"/>
                <c:pt idx="3">
                  <c:v>102</c:v>
                </c:pt>
                <c:pt idx="4">
                  <c:v>102</c:v>
                </c:pt>
                <c:pt idx="5">
                  <c:v>115</c:v>
                </c:pt>
                <c:pt idx="6">
                  <c:v>132</c:v>
                </c:pt>
                <c:pt idx="7">
                  <c:v>141</c:v>
                </c:pt>
                <c:pt idx="8">
                  <c:v>156</c:v>
                </c:pt>
              </c:numCache>
            </c:numRef>
          </c:val>
          <c:smooth val="0"/>
          <c:extLst>
            <c:ext xmlns:c16="http://schemas.microsoft.com/office/drawing/2014/chart" uri="{C3380CC4-5D6E-409C-BE32-E72D297353CC}">
              <c16:uniqueId val="{00000003-F1DE-452A-9B26-31A888704E86}"/>
            </c:ext>
          </c:extLst>
        </c:ser>
        <c:dLbls>
          <c:showLegendKey val="0"/>
          <c:showVal val="0"/>
          <c:showCatName val="0"/>
          <c:showSerName val="0"/>
          <c:showPercent val="0"/>
          <c:showBubbleSize val="0"/>
        </c:dLbls>
        <c:marker val="1"/>
        <c:smooth val="0"/>
        <c:axId val="682495887"/>
        <c:axId val="577892575"/>
      </c:lineChart>
      <c:catAx>
        <c:axId val="677132495"/>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Год</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80855119"/>
        <c:crosses val="autoZero"/>
        <c:auto val="1"/>
        <c:lblAlgn val="ctr"/>
        <c:lblOffset val="100"/>
        <c:noMultiLvlLbl val="0"/>
      </c:catAx>
      <c:valAx>
        <c:axId val="580855119"/>
        <c:scaling>
          <c:orientation val="minMax"/>
          <c:max val="6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a:t>
                </a:r>
                <a:r>
                  <a:rPr lang="ru-RU" baseline="0"/>
                  <a:t> руб.</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77132495"/>
        <c:crosses val="autoZero"/>
        <c:crossBetween val="between"/>
      </c:valAx>
      <c:valAx>
        <c:axId val="577892575"/>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82495887"/>
        <c:crosses val="max"/>
        <c:crossBetween val="between"/>
      </c:valAx>
      <c:catAx>
        <c:axId val="682495887"/>
        <c:scaling>
          <c:orientation val="minMax"/>
        </c:scaling>
        <c:delete val="1"/>
        <c:axPos val="b"/>
        <c:numFmt formatCode="General" sourceLinked="1"/>
        <c:majorTickMark val="out"/>
        <c:minorTickMark val="none"/>
        <c:tickLblPos val="nextTo"/>
        <c:crossAx val="577892575"/>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'ИБ график'!$D$18</c:f>
              <c:strCache>
                <c:ptCount val="1"/>
                <c:pt idx="0">
                  <c:v>Объемы финансирования, млн. руб.</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'ИБ график'!$E$17:$AD$17</c:f>
              <c:strCache>
                <c:ptCount val="26"/>
                <c:pt idx="0">
                  <c:v>Бабаевский</c:v>
                </c:pt>
                <c:pt idx="1">
                  <c:v>Бабушкинский</c:v>
                </c:pt>
                <c:pt idx="2">
                  <c:v>Белозерский</c:v>
                </c:pt>
                <c:pt idx="3">
                  <c:v>Вашкинский</c:v>
                </c:pt>
                <c:pt idx="4">
                  <c:v>Великоустюгский</c:v>
                </c:pt>
                <c:pt idx="5">
                  <c:v>Верховажский</c:v>
                </c:pt>
                <c:pt idx="6">
                  <c:v>Вожегодский</c:v>
                </c:pt>
                <c:pt idx="7">
                  <c:v>Вологодский</c:v>
                </c:pt>
                <c:pt idx="8">
                  <c:v>Вытегорский</c:v>
                </c:pt>
                <c:pt idx="9">
                  <c:v>Грязовецкий</c:v>
                </c:pt>
                <c:pt idx="10">
                  <c:v>Кадуйский</c:v>
                </c:pt>
                <c:pt idx="11">
                  <c:v>Кирилловский</c:v>
                </c:pt>
                <c:pt idx="12">
                  <c:v>Кичменгско-Городецкий</c:v>
                </c:pt>
                <c:pt idx="13">
                  <c:v>Междуреченский</c:v>
                </c:pt>
                <c:pt idx="14">
                  <c:v>Никольский</c:v>
                </c:pt>
                <c:pt idx="15">
                  <c:v>Нюксенский</c:v>
                </c:pt>
                <c:pt idx="16">
                  <c:v>Сокольский</c:v>
                </c:pt>
                <c:pt idx="17">
                  <c:v>Сямженский</c:v>
                </c:pt>
                <c:pt idx="18">
                  <c:v>Тарногский</c:v>
                </c:pt>
                <c:pt idx="19">
                  <c:v>Тотемский</c:v>
                </c:pt>
                <c:pt idx="20">
                  <c:v>Усть-кубенский</c:v>
                </c:pt>
                <c:pt idx="21">
                  <c:v>Устюженский</c:v>
                </c:pt>
                <c:pt idx="22">
                  <c:v>Харовский</c:v>
                </c:pt>
                <c:pt idx="23">
                  <c:v>Чагодощенский</c:v>
                </c:pt>
                <c:pt idx="24">
                  <c:v>Череповецкий</c:v>
                </c:pt>
                <c:pt idx="25">
                  <c:v>Шекснинский</c:v>
                </c:pt>
              </c:strCache>
            </c:strRef>
          </c:cat>
          <c:val>
            <c:numRef>
              <c:f>'ИБ график'!$E$18:$AD$18</c:f>
              <c:numCache>
                <c:formatCode>General</c:formatCode>
                <c:ptCount val="26"/>
                <c:pt idx="0">
                  <c:v>31.1</c:v>
                </c:pt>
                <c:pt idx="1">
                  <c:v>16.899999999999999</c:v>
                </c:pt>
                <c:pt idx="2">
                  <c:v>25.8</c:v>
                </c:pt>
                <c:pt idx="3">
                  <c:v>6.1</c:v>
                </c:pt>
                <c:pt idx="4">
                  <c:v>95.6</c:v>
                </c:pt>
                <c:pt idx="5">
                  <c:v>25.4</c:v>
                </c:pt>
                <c:pt idx="6">
                  <c:v>9.1</c:v>
                </c:pt>
                <c:pt idx="7">
                  <c:v>331</c:v>
                </c:pt>
                <c:pt idx="8">
                  <c:v>42.3</c:v>
                </c:pt>
                <c:pt idx="9">
                  <c:v>11.7</c:v>
                </c:pt>
                <c:pt idx="10">
                  <c:v>0</c:v>
                </c:pt>
                <c:pt idx="11">
                  <c:v>18.399999999999999</c:v>
                </c:pt>
                <c:pt idx="12">
                  <c:v>14.6</c:v>
                </c:pt>
                <c:pt idx="13">
                  <c:v>13.3</c:v>
                </c:pt>
                <c:pt idx="14">
                  <c:v>136.6</c:v>
                </c:pt>
                <c:pt idx="15">
                  <c:v>11.3</c:v>
                </c:pt>
                <c:pt idx="16">
                  <c:v>34.9</c:v>
                </c:pt>
                <c:pt idx="17">
                  <c:v>13.5</c:v>
                </c:pt>
                <c:pt idx="18">
                  <c:v>22.8</c:v>
                </c:pt>
                <c:pt idx="19">
                  <c:v>24</c:v>
                </c:pt>
                <c:pt idx="20">
                  <c:v>11.7</c:v>
                </c:pt>
                <c:pt idx="21">
                  <c:v>24.8</c:v>
                </c:pt>
                <c:pt idx="22">
                  <c:v>43</c:v>
                </c:pt>
                <c:pt idx="23">
                  <c:v>17.100000000000001</c:v>
                </c:pt>
                <c:pt idx="24">
                  <c:v>81.7</c:v>
                </c:pt>
                <c:pt idx="25">
                  <c:v>12.7</c:v>
                </c:pt>
              </c:numCache>
            </c:numRef>
          </c:val>
          <c:extLst>
            <c:ext xmlns:c16="http://schemas.microsoft.com/office/drawing/2014/chart" uri="{C3380CC4-5D6E-409C-BE32-E72D297353CC}">
              <c16:uniqueId val="{00000000-9878-4A5B-98BB-479B8902ED3C}"/>
            </c:ext>
          </c:extLst>
        </c:ser>
        <c:dLbls>
          <c:showLegendKey val="0"/>
          <c:showVal val="0"/>
          <c:showCatName val="0"/>
          <c:showSerName val="0"/>
          <c:showPercent val="0"/>
          <c:showBubbleSize val="0"/>
        </c:dLbls>
        <c:gapWidth val="219"/>
        <c:overlap val="-27"/>
        <c:axId val="687895935"/>
        <c:axId val="685055791"/>
      </c:barChart>
      <c:catAx>
        <c:axId val="687895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85055791"/>
        <c:crosses val="autoZero"/>
        <c:auto val="1"/>
        <c:lblAlgn val="ctr"/>
        <c:lblOffset val="100"/>
        <c:noMultiLvlLbl val="0"/>
      </c:catAx>
      <c:valAx>
        <c:axId val="6850557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878959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1350</TotalTime>
  <Pages>5</Pages>
  <Words>1996</Words>
  <Characters>11378</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Михалко Николай Николаевич</dc:creator>
  <cp:keywords/>
  <dc:description/>
  <cp:lastModifiedBy>Михалко Николай Николаевич</cp:lastModifiedBy>
  <cp:revision>11</cp:revision>
  <cp:lastPrinted>2025-03-06T10:13:00Z</cp:lastPrinted>
  <dcterms:created xsi:type="dcterms:W3CDTF">2025-03-04T06:45:00Z</dcterms:created>
  <dcterms:modified xsi:type="dcterms:W3CDTF">2025-03-10T11:34:00Z</dcterms:modified>
</cp:coreProperties>
</file>