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B83C8B" w14:textId="77777777" w:rsidR="00FA3CA3" w:rsidRDefault="002E1784" w:rsidP="00FA3CA3">
      <w:pPr>
        <w:spacing w:after="0" w:line="240" w:lineRule="auto"/>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FA3CA3">
        <w:rPr>
          <w:rFonts w:ascii="Times New Roman" w:eastAsia="Times New Roman" w:hAnsi="Times New Roman" w:cs="Times New Roman"/>
          <w:b/>
          <w:sz w:val="24"/>
          <w:lang w:eastAsia="ru-RU"/>
        </w:rPr>
        <w:t xml:space="preserve"> 330.341</w:t>
      </w:r>
    </w:p>
    <w:p w14:paraId="69F782E0" w14:textId="77777777" w:rsidR="002E1784" w:rsidRPr="002E1784" w:rsidRDefault="002E1784" w:rsidP="00FA3CA3">
      <w:pPr>
        <w:spacing w:after="0" w:line="240" w:lineRule="auto"/>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ББК</w:t>
      </w:r>
      <w:r w:rsidR="00FA3CA3">
        <w:rPr>
          <w:rFonts w:ascii="Times New Roman" w:eastAsia="Times New Roman" w:hAnsi="Times New Roman" w:cs="Times New Roman"/>
          <w:b/>
          <w:sz w:val="24"/>
          <w:lang w:eastAsia="ru-RU"/>
        </w:rPr>
        <w:t xml:space="preserve"> 65.9-962</w:t>
      </w:r>
    </w:p>
    <w:p w14:paraId="5764B82B" w14:textId="77777777" w:rsidR="002E1784" w:rsidRPr="002E1784" w:rsidRDefault="00FA3CA3" w:rsidP="00FA3CA3">
      <w:pPr>
        <w:spacing w:after="0" w:line="240" w:lineRule="auto"/>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Гусева Е.П.</w:t>
      </w:r>
    </w:p>
    <w:p w14:paraId="4DFA3FEF" w14:textId="77777777" w:rsidR="002E1784" w:rsidRPr="002E1784" w:rsidRDefault="00FA3CA3" w:rsidP="00FA3CA3">
      <w:pPr>
        <w:spacing w:after="0" w:line="240" w:lineRule="auto"/>
        <w:jc w:val="center"/>
        <w:rPr>
          <w:rFonts w:ascii="Times New Roman" w:eastAsia="Times New Roman" w:hAnsi="Times New Roman" w:cs="Times New Roman"/>
          <w:b/>
          <w:sz w:val="24"/>
          <w:lang w:eastAsia="ru-RU"/>
        </w:rPr>
      </w:pPr>
      <w:r w:rsidRPr="00FA3CA3">
        <w:rPr>
          <w:rFonts w:ascii="Times New Roman" w:eastAsia="Times New Roman" w:hAnsi="Times New Roman" w:cs="Times New Roman"/>
          <w:b/>
          <w:sz w:val="24"/>
          <w:lang w:eastAsia="ru-RU"/>
        </w:rPr>
        <w:t>ПРОБЛЕМЫ И НАПРАВЛЕНИЯ РАЗВИТИЯ АГРАРНОГО СЕКТОРА</w:t>
      </w:r>
      <w:r>
        <w:rPr>
          <w:rFonts w:ascii="Times New Roman" w:eastAsia="Times New Roman" w:hAnsi="Times New Roman" w:cs="Times New Roman"/>
          <w:b/>
          <w:sz w:val="24"/>
          <w:lang w:eastAsia="ru-RU"/>
        </w:rPr>
        <w:br/>
      </w:r>
      <w:r w:rsidRPr="00FA3CA3">
        <w:rPr>
          <w:rFonts w:ascii="Times New Roman" w:eastAsia="Times New Roman" w:hAnsi="Times New Roman" w:cs="Times New Roman"/>
          <w:b/>
          <w:sz w:val="24"/>
          <w:lang w:eastAsia="ru-RU"/>
        </w:rPr>
        <w:t xml:space="preserve"> ЭКОНОМИКИ РЕГИОНА</w:t>
      </w:r>
    </w:p>
    <w:p w14:paraId="14738666" w14:textId="77777777" w:rsidR="002E1784" w:rsidRPr="002E1784" w:rsidRDefault="002E1784" w:rsidP="00FA3CA3">
      <w:pPr>
        <w:spacing w:after="0" w:line="240" w:lineRule="auto"/>
        <w:jc w:val="both"/>
        <w:rPr>
          <w:rFonts w:ascii="Times New Roman" w:eastAsia="Times New Roman" w:hAnsi="Times New Roman" w:cs="Times New Roman"/>
          <w:sz w:val="24"/>
          <w:u w:val="single"/>
          <w:lang w:eastAsia="ru-RU"/>
        </w:rPr>
      </w:pPr>
    </w:p>
    <w:p w14:paraId="2EF7B0FA" w14:textId="77777777" w:rsidR="002E1784" w:rsidRPr="002E1784" w:rsidRDefault="002E1784" w:rsidP="00FA3CA3">
      <w:pPr>
        <w:spacing w:after="0" w:line="240" w:lineRule="auto"/>
        <w:ind w:firstLine="709"/>
        <w:jc w:val="both"/>
        <w:rPr>
          <w:rFonts w:ascii="Times New Roman" w:eastAsia="Times New Roman" w:hAnsi="Times New Roman" w:cs="Times New Roman"/>
          <w:iCs/>
          <w:sz w:val="24"/>
          <w:lang w:eastAsia="ru-RU"/>
        </w:rPr>
      </w:pPr>
      <w:proofErr w:type="spellStart"/>
      <w:r w:rsidRPr="002E1784">
        <w:rPr>
          <w:rFonts w:ascii="Times New Roman" w:eastAsia="Times New Roman" w:hAnsi="Times New Roman" w:cs="Times New Roman"/>
          <w:b/>
          <w:sz w:val="24"/>
          <w:lang w:eastAsia="ru-RU"/>
        </w:rPr>
        <w:t>Аннотация</w:t>
      </w:r>
      <w:r w:rsidR="00FA3CA3">
        <w:rPr>
          <w:rFonts w:ascii="Times New Roman" w:eastAsia="Times New Roman" w:hAnsi="Times New Roman" w:cs="Times New Roman"/>
          <w:b/>
          <w:sz w:val="24"/>
          <w:lang w:eastAsia="ru-RU"/>
        </w:rPr>
        <w:t>.</w:t>
      </w:r>
      <w:commentRangeStart w:id="0"/>
      <w:r w:rsidR="00FA3CA3">
        <w:rPr>
          <w:rFonts w:ascii="Times New Roman" w:eastAsia="Calibri" w:hAnsi="Times New Roman" w:cs="Times New Roman"/>
          <w:kern w:val="20"/>
          <w:sz w:val="20"/>
          <w:szCs w:val="20"/>
        </w:rPr>
        <w:t>Выявляются</w:t>
      </w:r>
      <w:commentRangeEnd w:id="0"/>
      <w:proofErr w:type="spellEnd"/>
      <w:r w:rsidR="00FA3CA3">
        <w:rPr>
          <w:rStyle w:val="a5"/>
        </w:rPr>
        <w:commentReference w:id="0"/>
      </w:r>
      <w:r w:rsidR="00FA3CA3">
        <w:rPr>
          <w:rFonts w:ascii="Times New Roman" w:eastAsia="Calibri" w:hAnsi="Times New Roman" w:cs="Times New Roman"/>
          <w:kern w:val="20"/>
          <w:sz w:val="20"/>
          <w:szCs w:val="20"/>
        </w:rPr>
        <w:t xml:space="preserve"> проблемы развития аграрного сектора экономики региона на базе анализа текущих тенденций. Рассматриваются основные факторы, влияющие на динамику сельскохозяйственного производства. Особое внимание уделяется результативным показателям и идентификации на этой основе потенциальных направлений развития.</w:t>
      </w:r>
    </w:p>
    <w:p w14:paraId="6F4D29F4" w14:textId="77777777" w:rsidR="002E1784" w:rsidRPr="002E1784" w:rsidRDefault="002E1784" w:rsidP="00FA3CA3">
      <w:pPr>
        <w:spacing w:after="0" w:line="240" w:lineRule="auto"/>
        <w:ind w:firstLine="709"/>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 xml:space="preserve">Ключевые </w:t>
      </w:r>
      <w:proofErr w:type="spellStart"/>
      <w:r w:rsidRPr="002E1784">
        <w:rPr>
          <w:rFonts w:ascii="Times New Roman" w:eastAsia="Times New Roman" w:hAnsi="Times New Roman" w:cs="Times New Roman"/>
          <w:b/>
          <w:sz w:val="24"/>
          <w:lang w:eastAsia="ru-RU"/>
        </w:rPr>
        <w:t>слова</w:t>
      </w:r>
      <w:r w:rsidR="00FA3CA3" w:rsidRPr="0031038B">
        <w:rPr>
          <w:rFonts w:ascii="Times New Roman" w:eastAsia="Calibri" w:hAnsi="Times New Roman" w:cs="Times New Roman"/>
          <w:bCs/>
          <w:kern w:val="20"/>
          <w:sz w:val="20"/>
          <w:szCs w:val="20"/>
        </w:rPr>
        <w:t>аграрный</w:t>
      </w:r>
      <w:proofErr w:type="spellEnd"/>
      <w:r w:rsidR="00FA3CA3" w:rsidRPr="0031038B">
        <w:rPr>
          <w:rFonts w:ascii="Times New Roman" w:eastAsia="Calibri" w:hAnsi="Times New Roman" w:cs="Times New Roman"/>
          <w:bCs/>
          <w:kern w:val="20"/>
          <w:sz w:val="20"/>
          <w:szCs w:val="20"/>
        </w:rPr>
        <w:t xml:space="preserve"> сектор, </w:t>
      </w:r>
      <w:r w:rsidR="00FA3CA3">
        <w:rPr>
          <w:rFonts w:ascii="Times New Roman" w:eastAsia="Calibri" w:hAnsi="Times New Roman" w:cs="Times New Roman"/>
          <w:bCs/>
          <w:kern w:val="20"/>
          <w:sz w:val="20"/>
          <w:szCs w:val="20"/>
        </w:rPr>
        <w:t xml:space="preserve">сельскохозяйственное </w:t>
      </w:r>
      <w:proofErr w:type="spellStart"/>
      <w:proofErr w:type="gramStart"/>
      <w:r w:rsidR="00FA3CA3" w:rsidRPr="0031038B">
        <w:rPr>
          <w:rFonts w:ascii="Times New Roman" w:eastAsia="Calibri" w:hAnsi="Times New Roman" w:cs="Times New Roman"/>
          <w:bCs/>
          <w:kern w:val="20"/>
          <w:sz w:val="20"/>
          <w:szCs w:val="20"/>
        </w:rPr>
        <w:t>производство</w:t>
      </w:r>
      <w:r w:rsidR="00FA3CA3">
        <w:rPr>
          <w:rFonts w:ascii="Times New Roman" w:eastAsia="Calibri" w:hAnsi="Times New Roman" w:cs="Times New Roman"/>
          <w:bCs/>
          <w:kern w:val="20"/>
          <w:sz w:val="20"/>
          <w:szCs w:val="20"/>
        </w:rPr>
        <w:t>,проблемы</w:t>
      </w:r>
      <w:proofErr w:type="spellEnd"/>
      <w:proofErr w:type="gramEnd"/>
      <w:r w:rsidR="00FA3CA3">
        <w:rPr>
          <w:rFonts w:ascii="Times New Roman" w:eastAsia="Calibri" w:hAnsi="Times New Roman" w:cs="Times New Roman"/>
          <w:bCs/>
          <w:kern w:val="20"/>
          <w:sz w:val="20"/>
          <w:szCs w:val="20"/>
        </w:rPr>
        <w:t xml:space="preserve"> развития, </w:t>
      </w:r>
      <w:r w:rsidR="00FA3CA3" w:rsidRPr="0031038B">
        <w:rPr>
          <w:rFonts w:ascii="Times New Roman" w:eastAsia="Calibri" w:hAnsi="Times New Roman" w:cs="Times New Roman"/>
          <w:bCs/>
          <w:kern w:val="20"/>
          <w:sz w:val="20"/>
          <w:szCs w:val="20"/>
        </w:rPr>
        <w:t xml:space="preserve">тенденции развития, </w:t>
      </w:r>
      <w:r w:rsidR="00FA3CA3">
        <w:rPr>
          <w:rFonts w:ascii="Times New Roman" w:eastAsia="Calibri" w:hAnsi="Times New Roman" w:cs="Times New Roman"/>
          <w:bCs/>
          <w:kern w:val="20"/>
          <w:sz w:val="20"/>
          <w:szCs w:val="20"/>
        </w:rPr>
        <w:t>направления развития</w:t>
      </w:r>
      <w:r w:rsidRPr="002E1784">
        <w:rPr>
          <w:rFonts w:ascii="Times New Roman" w:eastAsia="Times New Roman" w:hAnsi="Times New Roman" w:cs="Times New Roman"/>
          <w:iCs/>
          <w:sz w:val="24"/>
          <w:lang w:eastAsia="ru-RU"/>
        </w:rPr>
        <w:t>.</w:t>
      </w:r>
    </w:p>
    <w:p w14:paraId="7E4F6C40" w14:textId="77777777" w:rsidR="002E1784" w:rsidRDefault="002E1784" w:rsidP="00FA3CA3">
      <w:pPr>
        <w:spacing w:after="0" w:line="240" w:lineRule="auto"/>
        <w:ind w:firstLine="709"/>
        <w:jc w:val="both"/>
        <w:rPr>
          <w:rFonts w:ascii="Times New Roman" w:eastAsia="Times New Roman" w:hAnsi="Times New Roman" w:cs="Times New Roman"/>
          <w:sz w:val="24"/>
          <w:u w:val="single"/>
          <w:lang w:eastAsia="ru-RU"/>
        </w:rPr>
      </w:pPr>
    </w:p>
    <w:p w14:paraId="47F8C1C5" w14:textId="77777777" w:rsidR="00927F48" w:rsidRPr="00927F48" w:rsidRDefault="00927F48" w:rsidP="00927F48">
      <w:pPr>
        <w:spacing w:after="0" w:line="240" w:lineRule="auto"/>
        <w:ind w:firstLine="709"/>
        <w:jc w:val="both"/>
        <w:rPr>
          <w:rFonts w:ascii="Times New Roman" w:eastAsia="Calibri" w:hAnsi="Times New Roman" w:cs="Times New Roman"/>
          <w:kern w:val="20"/>
          <w:sz w:val="20"/>
          <w:szCs w:val="20"/>
        </w:rPr>
      </w:pPr>
      <w:r w:rsidRPr="00927F48">
        <w:rPr>
          <w:rFonts w:ascii="Times New Roman" w:eastAsia="Calibri" w:hAnsi="Times New Roman" w:cs="Times New Roman"/>
          <w:kern w:val="20"/>
          <w:sz w:val="20"/>
          <w:szCs w:val="20"/>
        </w:rPr>
        <w:t>Проблемы и направления развития аграрного сектора зависят от конкретного региона, учитывая климат, специализацию, доступ к ресурсам, инфраструктур</w:t>
      </w:r>
      <w:r w:rsidR="002826EF">
        <w:rPr>
          <w:rFonts w:ascii="Times New Roman" w:eastAsia="Calibri" w:hAnsi="Times New Roman" w:cs="Times New Roman"/>
          <w:kern w:val="20"/>
          <w:sz w:val="20"/>
          <w:szCs w:val="20"/>
        </w:rPr>
        <w:t>у</w:t>
      </w:r>
      <w:r w:rsidRPr="00927F48">
        <w:rPr>
          <w:rFonts w:ascii="Times New Roman" w:eastAsia="Calibri" w:hAnsi="Times New Roman" w:cs="Times New Roman"/>
          <w:kern w:val="20"/>
          <w:sz w:val="20"/>
          <w:szCs w:val="20"/>
        </w:rPr>
        <w:t xml:space="preserve"> и мног</w:t>
      </w:r>
      <w:r w:rsidR="002826EF">
        <w:rPr>
          <w:rFonts w:ascii="Times New Roman" w:eastAsia="Calibri" w:hAnsi="Times New Roman" w:cs="Times New Roman"/>
          <w:kern w:val="20"/>
          <w:sz w:val="20"/>
          <w:szCs w:val="20"/>
        </w:rPr>
        <w:t>ие</w:t>
      </w:r>
      <w:r w:rsidRPr="00927F48">
        <w:rPr>
          <w:rFonts w:ascii="Times New Roman" w:eastAsia="Calibri" w:hAnsi="Times New Roman" w:cs="Times New Roman"/>
          <w:kern w:val="20"/>
          <w:sz w:val="20"/>
          <w:szCs w:val="20"/>
        </w:rPr>
        <w:t xml:space="preserve"> други</w:t>
      </w:r>
      <w:r w:rsidR="002826EF">
        <w:rPr>
          <w:rFonts w:ascii="Times New Roman" w:eastAsia="Calibri" w:hAnsi="Times New Roman" w:cs="Times New Roman"/>
          <w:kern w:val="20"/>
          <w:sz w:val="20"/>
          <w:szCs w:val="20"/>
        </w:rPr>
        <w:t>е</w:t>
      </w:r>
      <w:r w:rsidRPr="00927F48">
        <w:rPr>
          <w:rFonts w:ascii="Times New Roman" w:eastAsia="Calibri" w:hAnsi="Times New Roman" w:cs="Times New Roman"/>
          <w:kern w:val="20"/>
          <w:sz w:val="20"/>
          <w:szCs w:val="20"/>
        </w:rPr>
        <w:t xml:space="preserve"> фактор</w:t>
      </w:r>
      <w:r w:rsidR="002826EF">
        <w:rPr>
          <w:rFonts w:ascii="Times New Roman" w:eastAsia="Calibri" w:hAnsi="Times New Roman" w:cs="Times New Roman"/>
          <w:kern w:val="20"/>
          <w:sz w:val="20"/>
          <w:szCs w:val="20"/>
        </w:rPr>
        <w:t>ы</w:t>
      </w:r>
      <w:r w:rsidRPr="00927F48">
        <w:rPr>
          <w:rFonts w:ascii="Times New Roman" w:eastAsia="Calibri" w:hAnsi="Times New Roman" w:cs="Times New Roman"/>
          <w:kern w:val="20"/>
          <w:sz w:val="20"/>
          <w:szCs w:val="20"/>
        </w:rPr>
        <w:t>. Уникальность Оренбургской области в сельском хозяйстве заключается в адаптации к сложным климатическим условиям, разнообразии почв и развитии как растениеводства, так и животноводства, с использованием традиций и опыта. Кроме того, отдельные уникальные продукты (например, твердые сорта яровой пшеницы, Соль-Илецкие арбузы</w:t>
      </w:r>
      <w:r w:rsidR="002826EF">
        <w:rPr>
          <w:rFonts w:ascii="Times New Roman" w:eastAsia="Calibri" w:hAnsi="Times New Roman" w:cs="Times New Roman"/>
          <w:kern w:val="20"/>
          <w:sz w:val="20"/>
          <w:szCs w:val="20"/>
        </w:rPr>
        <w:t>, конина и кумыс</w:t>
      </w:r>
      <w:r w:rsidRPr="00927F48">
        <w:rPr>
          <w:rFonts w:ascii="Times New Roman" w:eastAsia="Calibri" w:hAnsi="Times New Roman" w:cs="Times New Roman"/>
          <w:kern w:val="20"/>
          <w:sz w:val="20"/>
          <w:szCs w:val="20"/>
        </w:rPr>
        <w:t>) делают область узнаваемой на рынке сельскохозяйственной продукции</w:t>
      </w:r>
      <w:r w:rsidR="002D025D">
        <w:rPr>
          <w:rFonts w:ascii="Times New Roman" w:eastAsia="Calibri" w:hAnsi="Times New Roman" w:cs="Times New Roman"/>
          <w:kern w:val="20"/>
          <w:sz w:val="20"/>
          <w:szCs w:val="20"/>
        </w:rPr>
        <w:t xml:space="preserve"> </w:t>
      </w:r>
      <w:r w:rsidR="002D025D" w:rsidRPr="002D025D">
        <w:rPr>
          <w:rFonts w:ascii="Times New Roman" w:eastAsia="Calibri" w:hAnsi="Times New Roman" w:cs="Times New Roman"/>
          <w:kern w:val="20"/>
          <w:sz w:val="20"/>
          <w:szCs w:val="20"/>
        </w:rPr>
        <w:t>[1]</w:t>
      </w:r>
      <w:r w:rsidRPr="00927F48">
        <w:rPr>
          <w:rFonts w:ascii="Times New Roman" w:eastAsia="Calibri" w:hAnsi="Times New Roman" w:cs="Times New Roman"/>
          <w:kern w:val="20"/>
          <w:sz w:val="20"/>
          <w:szCs w:val="20"/>
        </w:rPr>
        <w:t>.</w:t>
      </w:r>
    </w:p>
    <w:p w14:paraId="2D2E7969" w14:textId="77777777" w:rsidR="00D76CD1" w:rsidRPr="00D76CD1" w:rsidRDefault="00D76CD1" w:rsidP="00D76CD1">
      <w:pPr>
        <w:spacing w:after="0" w:line="240" w:lineRule="auto"/>
        <w:ind w:firstLine="709"/>
        <w:jc w:val="both"/>
        <w:rPr>
          <w:rFonts w:ascii="Times New Roman" w:eastAsia="Calibri" w:hAnsi="Times New Roman" w:cs="Times New Roman"/>
          <w:kern w:val="20"/>
          <w:sz w:val="20"/>
          <w:szCs w:val="20"/>
        </w:rPr>
      </w:pPr>
      <w:bookmarkStart w:id="1" w:name="_Hlk198500870"/>
      <w:r w:rsidRPr="00D76CD1">
        <w:rPr>
          <w:rFonts w:ascii="Times New Roman" w:eastAsia="Calibri" w:hAnsi="Times New Roman" w:cs="Times New Roman"/>
          <w:color w:val="EE0000"/>
          <w:kern w:val="20"/>
          <w:sz w:val="20"/>
          <w:szCs w:val="20"/>
        </w:rPr>
        <w:t xml:space="preserve">Оренбуржье считается одним из основных поставщиков высококачественного зерна твердой пшеницы из России. На его долю приходится около сорока процентов производимой в России твердой пшеницы. </w:t>
      </w:r>
      <w:r w:rsidRPr="00D76CD1">
        <w:rPr>
          <w:rFonts w:ascii="Times New Roman" w:eastAsia="Calibri" w:hAnsi="Times New Roman" w:cs="Times New Roman"/>
          <w:kern w:val="20"/>
          <w:sz w:val="20"/>
          <w:szCs w:val="20"/>
        </w:rPr>
        <w:t xml:space="preserve">Выращивание требует особых технологий, направленных на сохранение влаги и борьбу с засухой, определяя структуру посевов и способы обработки почвы, а также необходимость использования засухоустойчивых сортов не только зерновых, но и </w:t>
      </w:r>
      <w:proofErr w:type="spellStart"/>
      <w:r w:rsidRPr="00D76CD1">
        <w:rPr>
          <w:rFonts w:ascii="Times New Roman" w:eastAsia="Calibri" w:hAnsi="Times New Roman" w:cs="Times New Roman"/>
          <w:kern w:val="20"/>
          <w:sz w:val="20"/>
          <w:szCs w:val="20"/>
        </w:rPr>
        <w:t>масляничных</w:t>
      </w:r>
      <w:proofErr w:type="spellEnd"/>
      <w:r w:rsidRPr="00D76CD1">
        <w:rPr>
          <w:rFonts w:ascii="Times New Roman" w:eastAsia="Calibri" w:hAnsi="Times New Roman" w:cs="Times New Roman"/>
          <w:kern w:val="20"/>
          <w:sz w:val="20"/>
          <w:szCs w:val="20"/>
        </w:rPr>
        <w:t xml:space="preserve"> и кормовых культур. </w:t>
      </w:r>
      <w:bookmarkEnd w:id="1"/>
      <w:r w:rsidRPr="00D76CD1">
        <w:rPr>
          <w:rFonts w:ascii="Times New Roman" w:eastAsia="Calibri" w:hAnsi="Times New Roman" w:cs="Times New Roman"/>
          <w:kern w:val="20"/>
          <w:sz w:val="20"/>
          <w:szCs w:val="20"/>
        </w:rPr>
        <w:t>В области встречаются как плодородные черноземы, так и менее благоприятные каштановые и солонцеватые почвы, что требует дифференцированного подхода к земледелию в разных районах. Разнообразие почв позволяет развивать как растениеводство, так и животноводство. Большие площади пастбищ создают благоприятные условия для развития животноводства, а выгодное географическое местоположение и логистика Оренбургской области как транспортного узла позволяет экспортировать сельскохозяйственную продукцию в разные регионы и страны</w:t>
      </w:r>
      <w:r w:rsidR="002D025D" w:rsidRPr="002D025D">
        <w:rPr>
          <w:rFonts w:ascii="Times New Roman" w:eastAsia="Calibri" w:hAnsi="Times New Roman" w:cs="Times New Roman"/>
          <w:kern w:val="20"/>
          <w:sz w:val="20"/>
          <w:szCs w:val="20"/>
        </w:rPr>
        <w:t xml:space="preserve"> [2]</w:t>
      </w:r>
      <w:r w:rsidRPr="00D76CD1">
        <w:rPr>
          <w:rFonts w:ascii="Times New Roman" w:eastAsia="Calibri" w:hAnsi="Times New Roman" w:cs="Times New Roman"/>
          <w:kern w:val="20"/>
          <w:sz w:val="20"/>
          <w:szCs w:val="20"/>
        </w:rPr>
        <w:t>.</w:t>
      </w:r>
    </w:p>
    <w:p w14:paraId="6AF478A0" w14:textId="77777777" w:rsidR="00C40843" w:rsidRDefault="00C40843" w:rsidP="00C40843">
      <w:pPr>
        <w:spacing w:after="0" w:line="240" w:lineRule="auto"/>
        <w:ind w:firstLine="709"/>
        <w:jc w:val="both"/>
        <w:rPr>
          <w:rFonts w:ascii="Times New Roman" w:hAnsi="Times New Roman" w:cs="Times New Roman"/>
          <w:sz w:val="20"/>
          <w:szCs w:val="20"/>
        </w:rPr>
      </w:pPr>
      <w:r w:rsidRPr="009D7DA4">
        <w:rPr>
          <w:rFonts w:ascii="Times New Roman" w:hAnsi="Times New Roman" w:cs="Times New Roman"/>
          <w:sz w:val="20"/>
          <w:szCs w:val="20"/>
        </w:rPr>
        <w:t xml:space="preserve">Оренбургская область – один из регионов Приволжского федерального округа, который расположен на стыке двух частей света – Европы и Азии. Приволжский федеральный округ (ПФО) находится в тройке регионов, вносящих основной вклад в экономику </w:t>
      </w:r>
      <w:proofErr w:type="spellStart"/>
      <w:proofErr w:type="gramStart"/>
      <w:r w:rsidRPr="009D7DA4">
        <w:rPr>
          <w:rFonts w:ascii="Times New Roman" w:hAnsi="Times New Roman" w:cs="Times New Roman"/>
          <w:sz w:val="20"/>
          <w:szCs w:val="20"/>
        </w:rPr>
        <w:t>страны.Среди</w:t>
      </w:r>
      <w:proofErr w:type="spellEnd"/>
      <w:proofErr w:type="gramEnd"/>
      <w:r w:rsidRPr="009D7DA4">
        <w:rPr>
          <w:rFonts w:ascii="Times New Roman" w:hAnsi="Times New Roman" w:cs="Times New Roman"/>
          <w:sz w:val="20"/>
          <w:szCs w:val="20"/>
        </w:rPr>
        <w:t xml:space="preserve"> 14 регионов, водящих в состав ПФО, в качестве основных производителей сельскохозяйственной продукции, можно назвать Республики Татарстан и Башкортостан, Саратовскую и Оренбургскую области</w:t>
      </w:r>
      <w:r w:rsidR="002D025D" w:rsidRPr="002D025D">
        <w:rPr>
          <w:rFonts w:ascii="Times New Roman" w:hAnsi="Times New Roman" w:cs="Times New Roman"/>
          <w:sz w:val="20"/>
          <w:szCs w:val="20"/>
        </w:rPr>
        <w:t xml:space="preserve"> [3]</w:t>
      </w:r>
      <w:r w:rsidRPr="009D7DA4">
        <w:rPr>
          <w:rFonts w:ascii="Times New Roman" w:hAnsi="Times New Roman" w:cs="Times New Roman"/>
          <w:sz w:val="20"/>
          <w:szCs w:val="20"/>
        </w:rPr>
        <w:t>.</w:t>
      </w:r>
      <w:r w:rsidR="002D025D" w:rsidRPr="002D025D">
        <w:rPr>
          <w:rFonts w:ascii="Times New Roman" w:hAnsi="Times New Roman" w:cs="Times New Roman"/>
          <w:sz w:val="20"/>
          <w:szCs w:val="20"/>
        </w:rPr>
        <w:t xml:space="preserve"> </w:t>
      </w:r>
      <w:r w:rsidR="001477B6">
        <w:rPr>
          <w:rFonts w:ascii="Times New Roman" w:hAnsi="Times New Roman" w:cs="Times New Roman"/>
          <w:sz w:val="20"/>
          <w:szCs w:val="20"/>
        </w:rPr>
        <w:t>О</w:t>
      </w:r>
      <w:r w:rsidR="00183620">
        <w:rPr>
          <w:rFonts w:ascii="Times New Roman" w:hAnsi="Times New Roman" w:cs="Times New Roman"/>
          <w:sz w:val="20"/>
          <w:szCs w:val="20"/>
        </w:rPr>
        <w:t>бъемы продукции сельского хозяйства Оренбургской области и индексы по РФ, ПФО и Оренбургской области за 2019-2023 гг.</w:t>
      </w:r>
      <w:r w:rsidR="001477B6">
        <w:rPr>
          <w:rFonts w:ascii="Times New Roman" w:hAnsi="Times New Roman" w:cs="Times New Roman"/>
          <w:sz w:val="20"/>
          <w:szCs w:val="20"/>
        </w:rPr>
        <w:t xml:space="preserve"> д</w:t>
      </w:r>
      <w:r w:rsidR="001477B6" w:rsidRPr="001477B6">
        <w:rPr>
          <w:rFonts w:ascii="Times New Roman" w:hAnsi="Times New Roman" w:cs="Times New Roman"/>
          <w:sz w:val="20"/>
          <w:szCs w:val="20"/>
        </w:rPr>
        <w:t>емонстрируют сложную неоднозначную картину развития отрасли</w:t>
      </w:r>
      <w:r w:rsidR="001477B6">
        <w:rPr>
          <w:rFonts w:ascii="Times New Roman" w:hAnsi="Times New Roman" w:cs="Times New Roman"/>
          <w:sz w:val="20"/>
          <w:szCs w:val="20"/>
        </w:rPr>
        <w:t>, как в сравнении по годам, так между регионами (рис. 1)</w:t>
      </w:r>
      <w:r w:rsidR="001477B6" w:rsidRPr="001477B6">
        <w:rPr>
          <w:rFonts w:ascii="Times New Roman" w:hAnsi="Times New Roman" w:cs="Times New Roman"/>
          <w:sz w:val="20"/>
          <w:szCs w:val="20"/>
        </w:rPr>
        <w:t>.</w:t>
      </w:r>
    </w:p>
    <w:p w14:paraId="3FC476E7" w14:textId="77777777" w:rsidR="001F5F4A" w:rsidRDefault="001F5F4A" w:rsidP="001F5F4A">
      <w:pPr>
        <w:spacing w:after="0" w:line="240" w:lineRule="auto"/>
        <w:jc w:val="center"/>
        <w:rPr>
          <w:rFonts w:ascii="Times New Roman" w:hAnsi="Times New Roman" w:cs="Times New Roman"/>
          <w:sz w:val="20"/>
          <w:szCs w:val="20"/>
        </w:rPr>
      </w:pPr>
      <w:r>
        <w:rPr>
          <w:noProof/>
          <w:lang w:eastAsia="ru-RU"/>
        </w:rPr>
        <w:drawing>
          <wp:inline distT="0" distB="0" distL="0" distR="0" wp14:anchorId="6B886F32" wp14:editId="6C1EB09F">
            <wp:extent cx="5570220" cy="3270523"/>
            <wp:effectExtent l="0" t="0" r="0" b="6350"/>
            <wp:docPr id="520914787" name="Диаграмма 1">
              <a:extLst xmlns:a="http://schemas.openxmlformats.org/drawingml/2006/main">
                <a:ext uri="{FF2B5EF4-FFF2-40B4-BE49-F238E27FC236}">
                  <a16:creationId xmlns:a16="http://schemas.microsoft.com/office/drawing/2014/main" id="{18B3F1B3-6108-858F-5AF6-2E567F5871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F126198" w14:textId="77777777" w:rsidR="007E0433" w:rsidRPr="009D7DA4" w:rsidRDefault="007E0433" w:rsidP="007E0433">
      <w:pPr>
        <w:spacing w:after="0" w:line="240" w:lineRule="auto"/>
        <w:ind w:firstLine="709"/>
        <w:jc w:val="center"/>
        <w:rPr>
          <w:rFonts w:ascii="Times New Roman" w:hAnsi="Times New Roman" w:cs="Times New Roman"/>
          <w:sz w:val="20"/>
          <w:szCs w:val="20"/>
        </w:rPr>
      </w:pPr>
      <w:r>
        <w:rPr>
          <w:rFonts w:ascii="Times New Roman" w:hAnsi="Times New Roman" w:cs="Times New Roman"/>
          <w:sz w:val="20"/>
          <w:szCs w:val="20"/>
        </w:rPr>
        <w:t>Рисунок 1. О</w:t>
      </w:r>
      <w:r w:rsidRPr="009D7DA4">
        <w:rPr>
          <w:rFonts w:ascii="Times New Roman" w:hAnsi="Times New Roman" w:cs="Times New Roman"/>
          <w:sz w:val="20"/>
          <w:szCs w:val="20"/>
        </w:rPr>
        <w:t xml:space="preserve">бъем </w:t>
      </w:r>
      <w:r w:rsidR="00183620">
        <w:rPr>
          <w:rFonts w:ascii="Times New Roman" w:hAnsi="Times New Roman" w:cs="Times New Roman"/>
          <w:sz w:val="20"/>
          <w:szCs w:val="20"/>
        </w:rPr>
        <w:t xml:space="preserve">продукции </w:t>
      </w:r>
      <w:r>
        <w:rPr>
          <w:rFonts w:ascii="Times New Roman" w:hAnsi="Times New Roman" w:cs="Times New Roman"/>
          <w:sz w:val="20"/>
          <w:szCs w:val="20"/>
        </w:rPr>
        <w:t>растениеводства и животноводства,</w:t>
      </w:r>
      <w:r w:rsidRPr="009D7DA4">
        <w:rPr>
          <w:rFonts w:ascii="Times New Roman" w:hAnsi="Times New Roman" w:cs="Times New Roman"/>
          <w:sz w:val="20"/>
          <w:szCs w:val="20"/>
        </w:rPr>
        <w:t xml:space="preserve"> индексы продукции сельского</w:t>
      </w:r>
      <w:r w:rsidR="00183620">
        <w:rPr>
          <w:rFonts w:ascii="Times New Roman" w:hAnsi="Times New Roman" w:cs="Times New Roman"/>
          <w:sz w:val="20"/>
          <w:szCs w:val="20"/>
        </w:rPr>
        <w:br/>
      </w:r>
      <w:r w:rsidRPr="009D7DA4">
        <w:rPr>
          <w:rFonts w:ascii="Times New Roman" w:hAnsi="Times New Roman" w:cs="Times New Roman"/>
          <w:sz w:val="20"/>
          <w:szCs w:val="20"/>
        </w:rPr>
        <w:t xml:space="preserve"> хозяйства за </w:t>
      </w:r>
      <w:r>
        <w:rPr>
          <w:rFonts w:ascii="Times New Roman" w:hAnsi="Times New Roman" w:cs="Times New Roman"/>
          <w:sz w:val="20"/>
          <w:szCs w:val="20"/>
        </w:rPr>
        <w:t>2019</w:t>
      </w:r>
      <w:r w:rsidRPr="009D7DA4">
        <w:rPr>
          <w:rFonts w:ascii="Times New Roman" w:hAnsi="Times New Roman" w:cs="Times New Roman"/>
          <w:sz w:val="20"/>
          <w:szCs w:val="20"/>
        </w:rPr>
        <w:t>-2023 гг.</w:t>
      </w:r>
    </w:p>
    <w:p w14:paraId="2F36F0B7" w14:textId="77777777" w:rsidR="00183620" w:rsidRPr="00183620" w:rsidRDefault="001477B6" w:rsidP="00183620">
      <w:pPr>
        <w:spacing w:after="0" w:line="240" w:lineRule="auto"/>
        <w:ind w:firstLine="709"/>
        <w:jc w:val="both"/>
        <w:rPr>
          <w:rFonts w:ascii="Times New Roman" w:eastAsia="Calibri" w:hAnsi="Times New Roman" w:cs="Times New Roman"/>
          <w:kern w:val="20"/>
          <w:sz w:val="20"/>
          <w:szCs w:val="20"/>
        </w:rPr>
      </w:pPr>
      <w:r w:rsidRPr="00183620">
        <w:rPr>
          <w:rFonts w:ascii="Times New Roman" w:eastAsia="Calibri" w:hAnsi="Times New Roman" w:cs="Times New Roman"/>
          <w:kern w:val="20"/>
          <w:sz w:val="20"/>
          <w:szCs w:val="20"/>
        </w:rPr>
        <w:lastRenderedPageBreak/>
        <w:t xml:space="preserve">Динамика </w:t>
      </w:r>
      <w:r w:rsidR="00183620" w:rsidRPr="00183620">
        <w:rPr>
          <w:rFonts w:ascii="Times New Roman" w:eastAsia="Calibri" w:hAnsi="Times New Roman" w:cs="Times New Roman"/>
          <w:kern w:val="20"/>
          <w:sz w:val="20"/>
          <w:szCs w:val="20"/>
        </w:rPr>
        <w:t xml:space="preserve">производства продукции сельского хозяйства в Оренбургской области, общероссийские и региональные показатели. В стоимостном выражении с 2019 по 2023 гг. наблюдается общий рост объемов продукции с 113 </w:t>
      </w:r>
      <w:proofErr w:type="spellStart"/>
      <w:r w:rsidR="00183620" w:rsidRPr="00183620">
        <w:rPr>
          <w:rFonts w:ascii="Times New Roman" w:eastAsia="Calibri" w:hAnsi="Times New Roman" w:cs="Times New Roman"/>
          <w:kern w:val="20"/>
          <w:sz w:val="20"/>
          <w:szCs w:val="20"/>
        </w:rPr>
        <w:t>млрд.руб</w:t>
      </w:r>
      <w:proofErr w:type="spellEnd"/>
      <w:r w:rsidR="00183620" w:rsidRPr="00183620">
        <w:rPr>
          <w:rFonts w:ascii="Times New Roman" w:eastAsia="Calibri" w:hAnsi="Times New Roman" w:cs="Times New Roman"/>
          <w:kern w:val="20"/>
          <w:sz w:val="20"/>
          <w:szCs w:val="20"/>
        </w:rPr>
        <w:t xml:space="preserve">. до 178 </w:t>
      </w:r>
      <w:proofErr w:type="spellStart"/>
      <w:r w:rsidR="00183620" w:rsidRPr="00183620">
        <w:rPr>
          <w:rFonts w:ascii="Times New Roman" w:eastAsia="Calibri" w:hAnsi="Times New Roman" w:cs="Times New Roman"/>
          <w:kern w:val="20"/>
          <w:sz w:val="20"/>
          <w:szCs w:val="20"/>
        </w:rPr>
        <w:t>млрд.руб</w:t>
      </w:r>
      <w:proofErr w:type="spellEnd"/>
      <w:r w:rsidR="00183620" w:rsidRPr="00183620">
        <w:rPr>
          <w:rFonts w:ascii="Times New Roman" w:eastAsia="Calibri" w:hAnsi="Times New Roman" w:cs="Times New Roman"/>
          <w:kern w:val="20"/>
          <w:sz w:val="20"/>
          <w:szCs w:val="20"/>
        </w:rPr>
        <w:t>., однако рост не является стабильным. Наиболее заметный скачок произошел в 2022 году, а в 2023 году произошло снижение относительно предыдущего года. Объем производства продукции растениеводства также увеличился в целом на период, но с более выраженными колебаниями, чем животноводства. Также наблюдается существенный рост в 2022 году, за которым последовал спад в 2023 году. Объемы продукции животноводства демонстрируют более стабильный рост на протяжении всего периода, это говорит о большей устойчивости этой отрасли к внешним факторам. Продукция растениеводства в области вносит больший вклад в общий объем, чем продукция животноводства. Индекс производства продукции сельского хозяйства по России показывает умеренный рост в 2019, 2020, 2022 года, а 2021 год был отмечен небольшим спадом. Динамика по ПФО в целом   схожа с общероссийской, но с более выраженными колебаниями, особенно заметный спад в 2021 году и рост в 2022 году.  Благоприятный 2022 год дает высокий индекс производства продукции Оренбургской области 144,1% и последующее падение в 2023 году до 95,7% в 2022 году, самый низкий индекс в 2021 году, который составил 82%</w:t>
      </w:r>
      <w:r w:rsidR="00512141">
        <w:rPr>
          <w:rFonts w:ascii="Times New Roman" w:eastAsia="Calibri" w:hAnsi="Times New Roman" w:cs="Times New Roman"/>
          <w:kern w:val="20"/>
          <w:sz w:val="20"/>
          <w:szCs w:val="20"/>
        </w:rPr>
        <w:t xml:space="preserve"> </w:t>
      </w:r>
      <w:r w:rsidR="00512141" w:rsidRPr="00512141">
        <w:rPr>
          <w:rFonts w:ascii="Times New Roman" w:eastAsia="Calibri" w:hAnsi="Times New Roman" w:cs="Times New Roman"/>
          <w:kern w:val="20"/>
          <w:sz w:val="20"/>
          <w:szCs w:val="20"/>
        </w:rPr>
        <w:t>[</w:t>
      </w:r>
      <w:r w:rsidR="00512141">
        <w:rPr>
          <w:rFonts w:ascii="Times New Roman" w:eastAsia="Calibri" w:hAnsi="Times New Roman" w:cs="Times New Roman"/>
          <w:kern w:val="20"/>
          <w:sz w:val="20"/>
          <w:szCs w:val="20"/>
        </w:rPr>
        <w:t>4</w:t>
      </w:r>
      <w:r w:rsidR="00512141" w:rsidRPr="00512141">
        <w:rPr>
          <w:rFonts w:ascii="Times New Roman" w:eastAsia="Calibri" w:hAnsi="Times New Roman" w:cs="Times New Roman"/>
          <w:kern w:val="20"/>
          <w:sz w:val="20"/>
          <w:szCs w:val="20"/>
        </w:rPr>
        <w:t>]</w:t>
      </w:r>
      <w:r w:rsidR="00183620" w:rsidRPr="00183620">
        <w:rPr>
          <w:rFonts w:ascii="Times New Roman" w:eastAsia="Calibri" w:hAnsi="Times New Roman" w:cs="Times New Roman"/>
          <w:kern w:val="20"/>
          <w:sz w:val="20"/>
          <w:szCs w:val="20"/>
        </w:rPr>
        <w:t>.</w:t>
      </w:r>
    </w:p>
    <w:p w14:paraId="69BD76EB" w14:textId="77777777" w:rsidR="00A56CAA" w:rsidRDefault="00A56CAA" w:rsidP="00A56CAA">
      <w:pPr>
        <w:spacing w:after="0" w:line="240" w:lineRule="auto"/>
        <w:ind w:firstLine="709"/>
        <w:jc w:val="both"/>
        <w:rPr>
          <w:rFonts w:ascii="Times New Roman" w:eastAsia="Calibri" w:hAnsi="Times New Roman" w:cs="Times New Roman"/>
          <w:kern w:val="20"/>
          <w:sz w:val="20"/>
          <w:szCs w:val="20"/>
        </w:rPr>
      </w:pPr>
      <w:r w:rsidRPr="00A56CAA">
        <w:rPr>
          <w:rFonts w:ascii="Times New Roman" w:eastAsia="Calibri" w:hAnsi="Times New Roman" w:cs="Times New Roman"/>
          <w:kern w:val="20"/>
          <w:sz w:val="20"/>
          <w:szCs w:val="20"/>
        </w:rPr>
        <w:t xml:space="preserve">Чтобы оценить эффективность сельскохозяйственного производства, необходимо учесть объемы производства продукции. </w:t>
      </w:r>
      <w:r w:rsidR="001477B6">
        <w:rPr>
          <w:rFonts w:ascii="Times New Roman" w:eastAsia="Calibri" w:hAnsi="Times New Roman" w:cs="Times New Roman"/>
          <w:kern w:val="20"/>
          <w:sz w:val="20"/>
          <w:szCs w:val="20"/>
        </w:rPr>
        <w:t>Т</w:t>
      </w:r>
      <w:r w:rsidRPr="00A56CAA">
        <w:rPr>
          <w:rFonts w:ascii="Times New Roman" w:eastAsia="Calibri" w:hAnsi="Times New Roman" w:cs="Times New Roman"/>
          <w:kern w:val="20"/>
          <w:sz w:val="20"/>
          <w:szCs w:val="20"/>
        </w:rPr>
        <w:t xml:space="preserve">емпы роста валового производства продукции сельского хозяйства </w:t>
      </w:r>
      <w:r w:rsidR="001477B6">
        <w:rPr>
          <w:rFonts w:ascii="Times New Roman" w:eastAsia="Calibri" w:hAnsi="Times New Roman" w:cs="Times New Roman"/>
          <w:kern w:val="20"/>
          <w:sz w:val="20"/>
          <w:szCs w:val="20"/>
        </w:rPr>
        <w:t xml:space="preserve">показаны </w:t>
      </w:r>
      <w:r w:rsidRPr="00A56CAA">
        <w:rPr>
          <w:rFonts w:ascii="Times New Roman" w:eastAsia="Calibri" w:hAnsi="Times New Roman" w:cs="Times New Roman"/>
          <w:kern w:val="20"/>
          <w:sz w:val="20"/>
          <w:szCs w:val="20"/>
        </w:rPr>
        <w:t>к 2018 году, так как в Росси начали внедряться национальные проекты</w:t>
      </w:r>
      <w:r w:rsidR="001477B6">
        <w:rPr>
          <w:rFonts w:ascii="Times New Roman" w:eastAsia="Calibri" w:hAnsi="Times New Roman" w:cs="Times New Roman"/>
          <w:kern w:val="20"/>
          <w:sz w:val="20"/>
          <w:szCs w:val="20"/>
        </w:rPr>
        <w:t xml:space="preserve"> (рис.2)</w:t>
      </w:r>
      <w:r w:rsidRPr="00A56CAA">
        <w:rPr>
          <w:rFonts w:ascii="Times New Roman" w:eastAsia="Calibri" w:hAnsi="Times New Roman" w:cs="Times New Roman"/>
          <w:kern w:val="20"/>
          <w:sz w:val="20"/>
          <w:szCs w:val="20"/>
        </w:rPr>
        <w:t>.</w:t>
      </w:r>
    </w:p>
    <w:p w14:paraId="2487F86E" w14:textId="77777777" w:rsidR="00A56CAA" w:rsidRDefault="00A56CAA" w:rsidP="00A56CAA">
      <w:pPr>
        <w:spacing w:after="0" w:line="240" w:lineRule="auto"/>
        <w:jc w:val="center"/>
        <w:rPr>
          <w:rFonts w:ascii="Times New Roman" w:eastAsia="Calibri" w:hAnsi="Times New Roman" w:cs="Times New Roman"/>
          <w:kern w:val="20"/>
          <w:sz w:val="20"/>
          <w:szCs w:val="20"/>
        </w:rPr>
      </w:pPr>
      <w:r>
        <w:rPr>
          <w:noProof/>
          <w:lang w:eastAsia="ru-RU"/>
        </w:rPr>
        <w:drawing>
          <wp:inline distT="0" distB="0" distL="0" distR="0" wp14:anchorId="706AAD7C" wp14:editId="478E5346">
            <wp:extent cx="5957625" cy="3460750"/>
            <wp:effectExtent l="0" t="0" r="0" b="0"/>
            <wp:docPr id="1974618398" name="Диаграмма 1">
              <a:extLst xmlns:a="http://schemas.openxmlformats.org/drawingml/2006/main">
                <a:ext uri="{FF2B5EF4-FFF2-40B4-BE49-F238E27FC236}">
                  <a16:creationId xmlns:a16="http://schemas.microsoft.com/office/drawing/2014/main" id="{0975C6EE-B72A-6697-8B25-8BF8C20669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F524C63" w14:textId="77777777" w:rsidR="00A56CAA" w:rsidRPr="00A56CAA" w:rsidRDefault="00A56CAA" w:rsidP="00A56CAA">
      <w:pPr>
        <w:spacing w:after="0" w:line="240" w:lineRule="auto"/>
        <w:ind w:firstLine="709"/>
        <w:jc w:val="both"/>
        <w:rPr>
          <w:rFonts w:ascii="Times New Roman" w:eastAsia="Calibri" w:hAnsi="Times New Roman" w:cs="Times New Roman"/>
          <w:kern w:val="20"/>
          <w:sz w:val="20"/>
          <w:szCs w:val="20"/>
        </w:rPr>
      </w:pPr>
      <w:r>
        <w:rPr>
          <w:rFonts w:ascii="Times New Roman" w:eastAsia="Calibri" w:hAnsi="Times New Roman" w:cs="Times New Roman"/>
          <w:kern w:val="20"/>
          <w:sz w:val="20"/>
          <w:szCs w:val="20"/>
        </w:rPr>
        <w:t xml:space="preserve">Рисунок 2. </w:t>
      </w:r>
      <w:r w:rsidRPr="00A56CAA">
        <w:rPr>
          <w:rFonts w:ascii="Times New Roman" w:eastAsia="Calibri" w:hAnsi="Times New Roman" w:cs="Times New Roman"/>
          <w:kern w:val="20"/>
          <w:sz w:val="20"/>
          <w:szCs w:val="20"/>
        </w:rPr>
        <w:t>Темпы роста валов</w:t>
      </w:r>
      <w:r>
        <w:rPr>
          <w:rFonts w:ascii="Times New Roman" w:eastAsia="Calibri" w:hAnsi="Times New Roman" w:cs="Times New Roman"/>
          <w:kern w:val="20"/>
          <w:sz w:val="20"/>
          <w:szCs w:val="20"/>
        </w:rPr>
        <w:t>о</w:t>
      </w:r>
      <w:r w:rsidRPr="00A56CAA">
        <w:rPr>
          <w:rFonts w:ascii="Times New Roman" w:eastAsia="Calibri" w:hAnsi="Times New Roman" w:cs="Times New Roman"/>
          <w:kern w:val="20"/>
          <w:sz w:val="20"/>
          <w:szCs w:val="20"/>
        </w:rPr>
        <w:t>го производства продукции сельского хозяйства к 2018 году</w:t>
      </w:r>
    </w:p>
    <w:p w14:paraId="63491CD2" w14:textId="77777777" w:rsidR="00A56CAA" w:rsidRDefault="00A56CAA" w:rsidP="00FA3CA3">
      <w:pPr>
        <w:spacing w:after="0" w:line="240" w:lineRule="auto"/>
        <w:ind w:firstLine="709"/>
        <w:jc w:val="both"/>
        <w:rPr>
          <w:rFonts w:ascii="Times New Roman" w:eastAsia="Calibri" w:hAnsi="Times New Roman" w:cs="Times New Roman"/>
          <w:kern w:val="20"/>
          <w:sz w:val="20"/>
          <w:szCs w:val="20"/>
        </w:rPr>
      </w:pPr>
    </w:p>
    <w:p w14:paraId="06E3A099" w14:textId="77777777" w:rsidR="00887948" w:rsidRPr="00887948" w:rsidRDefault="00887948" w:rsidP="00887948">
      <w:pPr>
        <w:spacing w:after="0" w:line="240" w:lineRule="auto"/>
        <w:ind w:firstLine="709"/>
        <w:jc w:val="both"/>
        <w:rPr>
          <w:rFonts w:ascii="Times New Roman" w:eastAsia="Calibri" w:hAnsi="Times New Roman" w:cs="Times New Roman"/>
          <w:kern w:val="20"/>
          <w:sz w:val="20"/>
          <w:szCs w:val="20"/>
        </w:rPr>
      </w:pPr>
      <w:r w:rsidRPr="00887948">
        <w:rPr>
          <w:rFonts w:ascii="Times New Roman" w:eastAsia="Calibri" w:hAnsi="Times New Roman" w:cs="Times New Roman"/>
          <w:kern w:val="20"/>
          <w:sz w:val="20"/>
          <w:szCs w:val="20"/>
        </w:rPr>
        <w:t>В всех регионах наблюдается значительный</w:t>
      </w:r>
      <w:r w:rsidR="001477B6">
        <w:rPr>
          <w:rFonts w:ascii="Times New Roman" w:eastAsia="Calibri" w:hAnsi="Times New Roman" w:cs="Times New Roman"/>
          <w:kern w:val="20"/>
          <w:sz w:val="20"/>
          <w:szCs w:val="20"/>
        </w:rPr>
        <w:t xml:space="preserve"> рост</w:t>
      </w:r>
      <w:r w:rsidRPr="00887948">
        <w:rPr>
          <w:rFonts w:ascii="Times New Roman" w:eastAsia="Calibri" w:hAnsi="Times New Roman" w:cs="Times New Roman"/>
          <w:kern w:val="20"/>
          <w:sz w:val="20"/>
          <w:szCs w:val="20"/>
        </w:rPr>
        <w:t xml:space="preserve"> валового сбора продукции сельского хозяйства на период с 2019 по 2023 гг. по сравнения с базовым 2018 годом, это говорит об общем позитивном развитии отрасли в стране. Наибольший темп роста наблюдается в 2022 году. В целом по России темпы роста валового сбора показывают устойчивую динамику, а самые высокие темпы демонстрирует Оренбургская область, особенно в 2022 году – 183,98%. Практически за весь анализируемый период, кроме 2019 года, темпы роста в Оренбургской области превышают средние показатели по РФ все годы. Сельское хозяйство в Росси в целом демонстрирует положительную динамику развития. </w:t>
      </w:r>
    </w:p>
    <w:p w14:paraId="6594CE2B" w14:textId="77777777" w:rsidR="00887948" w:rsidRPr="00887948" w:rsidRDefault="00887948" w:rsidP="00887948">
      <w:pPr>
        <w:spacing w:after="0" w:line="240" w:lineRule="auto"/>
        <w:ind w:firstLine="709"/>
        <w:jc w:val="both"/>
        <w:rPr>
          <w:rFonts w:ascii="Times New Roman" w:eastAsia="Calibri" w:hAnsi="Times New Roman" w:cs="Times New Roman"/>
          <w:kern w:val="20"/>
          <w:sz w:val="20"/>
          <w:szCs w:val="20"/>
        </w:rPr>
      </w:pPr>
      <w:r w:rsidRPr="00887948">
        <w:rPr>
          <w:rFonts w:ascii="Times New Roman" w:eastAsia="Calibri" w:hAnsi="Times New Roman" w:cs="Times New Roman"/>
          <w:kern w:val="20"/>
          <w:sz w:val="20"/>
          <w:szCs w:val="20"/>
        </w:rPr>
        <w:t>Данные изменения являются результатом сложного взаимодействия множества факторов, одним из которых является государственная политика, реализуемая в рамках национальных проектов, которые включают в себя мероприятия, направленные на поддержку и развитие агропромышленного комплекса. Среди наиболее значимых можно выделить: национальный проект «Малое и среднее предпринимательство и поддержка индивидуальной предпринимательской инициативы» (с акцентом на поддержку фермеров и малых хозяйств). Государственная программа «Комплексное развитие сельских территорий», а также другие важные направления господдержки. Мероприятия, реализуемые в рамках национальных проектов, направлены на создание благоприятных условий или развития сельского хозяйства, повышение его эффективности и конкурентоспособности</w:t>
      </w:r>
      <w:r w:rsidR="00512141">
        <w:rPr>
          <w:rFonts w:ascii="Times New Roman" w:eastAsia="Calibri" w:hAnsi="Times New Roman" w:cs="Times New Roman"/>
          <w:kern w:val="20"/>
          <w:sz w:val="20"/>
          <w:szCs w:val="20"/>
        </w:rPr>
        <w:t xml:space="preserve"> </w:t>
      </w:r>
      <w:r w:rsidR="00512141" w:rsidRPr="00512141">
        <w:rPr>
          <w:rFonts w:ascii="Times New Roman" w:eastAsia="Calibri" w:hAnsi="Times New Roman" w:cs="Times New Roman"/>
          <w:kern w:val="20"/>
          <w:sz w:val="20"/>
          <w:szCs w:val="20"/>
        </w:rPr>
        <w:t>[</w:t>
      </w:r>
      <w:r w:rsidR="00512141">
        <w:rPr>
          <w:rFonts w:ascii="Times New Roman" w:eastAsia="Calibri" w:hAnsi="Times New Roman" w:cs="Times New Roman"/>
          <w:kern w:val="20"/>
          <w:sz w:val="20"/>
          <w:szCs w:val="20"/>
        </w:rPr>
        <w:t>5</w:t>
      </w:r>
      <w:r w:rsidR="00512141" w:rsidRPr="00512141">
        <w:rPr>
          <w:rFonts w:ascii="Times New Roman" w:eastAsia="Calibri" w:hAnsi="Times New Roman" w:cs="Times New Roman"/>
          <w:kern w:val="20"/>
          <w:sz w:val="20"/>
          <w:szCs w:val="20"/>
        </w:rPr>
        <w:t>]</w:t>
      </w:r>
      <w:r w:rsidRPr="00887948">
        <w:rPr>
          <w:rFonts w:ascii="Times New Roman" w:eastAsia="Calibri" w:hAnsi="Times New Roman" w:cs="Times New Roman"/>
          <w:kern w:val="20"/>
          <w:sz w:val="20"/>
          <w:szCs w:val="20"/>
        </w:rPr>
        <w:t>.</w:t>
      </w:r>
    </w:p>
    <w:p w14:paraId="18B6377E" w14:textId="77777777" w:rsidR="00E80D7D" w:rsidRDefault="00E80D7D" w:rsidP="00E80D7D">
      <w:pPr>
        <w:spacing w:after="0" w:line="240" w:lineRule="auto"/>
        <w:ind w:firstLine="709"/>
        <w:jc w:val="both"/>
        <w:rPr>
          <w:rFonts w:ascii="Times New Roman" w:eastAsia="Calibri" w:hAnsi="Times New Roman" w:cs="Times New Roman"/>
          <w:kern w:val="20"/>
          <w:sz w:val="20"/>
          <w:szCs w:val="20"/>
        </w:rPr>
      </w:pPr>
      <w:r w:rsidRPr="00E80D7D">
        <w:rPr>
          <w:rFonts w:ascii="Times New Roman" w:eastAsia="Calibri" w:hAnsi="Times New Roman" w:cs="Times New Roman"/>
          <w:kern w:val="20"/>
          <w:sz w:val="20"/>
          <w:szCs w:val="20"/>
        </w:rPr>
        <w:t>В структуре производства сельскохозяйственной продукции важное место занимает распределение объемов производства между различными категориями хозяйств. Понимание структуры производства по категориям хозяйств необходимо для эффективного планирования, прогнозирования и разработки мер по повышению конкурентоспособности сельского хозяйства</w:t>
      </w:r>
      <w:r>
        <w:rPr>
          <w:rFonts w:ascii="Times New Roman" w:eastAsia="Calibri" w:hAnsi="Times New Roman" w:cs="Times New Roman"/>
          <w:kern w:val="20"/>
          <w:sz w:val="20"/>
          <w:szCs w:val="20"/>
        </w:rPr>
        <w:t xml:space="preserve"> (рис. 3).</w:t>
      </w:r>
    </w:p>
    <w:p w14:paraId="217B9785" w14:textId="77777777" w:rsidR="00E80D7D" w:rsidRPr="00E80D7D" w:rsidRDefault="002C4CD1" w:rsidP="00044DBC">
      <w:pPr>
        <w:spacing w:after="0" w:line="240" w:lineRule="auto"/>
        <w:jc w:val="center"/>
        <w:rPr>
          <w:rFonts w:ascii="Times New Roman" w:eastAsia="Calibri" w:hAnsi="Times New Roman" w:cs="Times New Roman"/>
          <w:kern w:val="20"/>
          <w:sz w:val="20"/>
          <w:szCs w:val="20"/>
        </w:rPr>
      </w:pPr>
      <w:r>
        <w:rPr>
          <w:noProof/>
          <w:lang w:eastAsia="ru-RU"/>
        </w:rPr>
        <w:lastRenderedPageBreak/>
        <w:drawing>
          <wp:inline distT="0" distB="0" distL="0" distR="0" wp14:anchorId="3A1D8D8E" wp14:editId="1ACC545C">
            <wp:extent cx="5862258" cy="2743200"/>
            <wp:effectExtent l="0" t="0" r="0" b="0"/>
            <wp:docPr id="1186734036" name="Диаграмма 1">
              <a:extLst xmlns:a="http://schemas.openxmlformats.org/drawingml/2006/main">
                <a:ext uri="{FF2B5EF4-FFF2-40B4-BE49-F238E27FC236}">
                  <a16:creationId xmlns:a16="http://schemas.microsoft.com/office/drawing/2014/main" id="{4A5786E6-77F1-DFED-3024-B2AB830BF77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D708C61" w14:textId="77777777" w:rsidR="002C4CD1" w:rsidRDefault="002C4CD1" w:rsidP="002C4CD1">
      <w:pPr>
        <w:spacing w:after="0" w:line="240" w:lineRule="auto"/>
        <w:jc w:val="center"/>
        <w:rPr>
          <w:rFonts w:ascii="Times New Roman" w:eastAsia="Calibri" w:hAnsi="Times New Roman" w:cs="Times New Roman"/>
          <w:kern w:val="20"/>
          <w:sz w:val="20"/>
          <w:szCs w:val="20"/>
        </w:rPr>
      </w:pPr>
      <w:r>
        <w:rPr>
          <w:rFonts w:ascii="Times New Roman" w:eastAsia="Calibri" w:hAnsi="Times New Roman" w:cs="Times New Roman"/>
          <w:kern w:val="20"/>
          <w:sz w:val="20"/>
          <w:szCs w:val="20"/>
        </w:rPr>
        <w:t xml:space="preserve">Рисунок 3. </w:t>
      </w:r>
      <w:r w:rsidRPr="002C4CD1">
        <w:rPr>
          <w:rFonts w:ascii="Times New Roman" w:eastAsia="Calibri" w:hAnsi="Times New Roman" w:cs="Times New Roman"/>
          <w:kern w:val="20"/>
          <w:sz w:val="20"/>
          <w:szCs w:val="20"/>
        </w:rPr>
        <w:t xml:space="preserve">Структура продукции сельского хозяйства по категориям хозяйств </w:t>
      </w:r>
    </w:p>
    <w:p w14:paraId="01C62E86" w14:textId="77777777" w:rsidR="00A56CAA" w:rsidRDefault="002C4CD1" w:rsidP="002C4CD1">
      <w:pPr>
        <w:spacing w:after="0" w:line="240" w:lineRule="auto"/>
        <w:jc w:val="center"/>
        <w:rPr>
          <w:rFonts w:ascii="Times New Roman" w:eastAsia="Calibri" w:hAnsi="Times New Roman" w:cs="Times New Roman"/>
          <w:kern w:val="20"/>
          <w:sz w:val="20"/>
          <w:szCs w:val="20"/>
        </w:rPr>
      </w:pPr>
      <w:r w:rsidRPr="002C4CD1">
        <w:rPr>
          <w:rFonts w:ascii="Times New Roman" w:eastAsia="Calibri" w:hAnsi="Times New Roman" w:cs="Times New Roman"/>
          <w:kern w:val="20"/>
          <w:sz w:val="20"/>
          <w:szCs w:val="20"/>
        </w:rPr>
        <w:t>(в фактически действовавших ценах; в процентах к итогу)</w:t>
      </w:r>
      <w:r>
        <w:rPr>
          <w:rFonts w:ascii="Times New Roman" w:eastAsia="Calibri" w:hAnsi="Times New Roman" w:cs="Times New Roman"/>
          <w:kern w:val="20"/>
          <w:sz w:val="20"/>
          <w:szCs w:val="20"/>
        </w:rPr>
        <w:t xml:space="preserve"> Оренбургской области</w:t>
      </w:r>
    </w:p>
    <w:p w14:paraId="2AF37085" w14:textId="77777777" w:rsidR="00A56CAA" w:rsidRDefault="00A56CAA" w:rsidP="00FA3CA3">
      <w:pPr>
        <w:spacing w:after="0" w:line="240" w:lineRule="auto"/>
        <w:ind w:firstLine="709"/>
        <w:jc w:val="both"/>
        <w:rPr>
          <w:rFonts w:ascii="Times New Roman" w:eastAsia="Calibri" w:hAnsi="Times New Roman" w:cs="Times New Roman"/>
          <w:kern w:val="20"/>
          <w:sz w:val="20"/>
          <w:szCs w:val="20"/>
        </w:rPr>
      </w:pPr>
    </w:p>
    <w:p w14:paraId="58306DBE" w14:textId="77777777" w:rsidR="00044DBC" w:rsidRPr="00044DBC" w:rsidRDefault="00044DBC" w:rsidP="00044DBC">
      <w:pPr>
        <w:spacing w:after="0" w:line="240" w:lineRule="auto"/>
        <w:ind w:firstLine="709"/>
        <w:jc w:val="both"/>
        <w:rPr>
          <w:rFonts w:ascii="Times New Roman" w:eastAsia="Calibri" w:hAnsi="Times New Roman" w:cs="Times New Roman"/>
          <w:kern w:val="20"/>
          <w:sz w:val="20"/>
          <w:szCs w:val="20"/>
        </w:rPr>
      </w:pPr>
      <w:r w:rsidRPr="00044DBC">
        <w:rPr>
          <w:rFonts w:ascii="Times New Roman" w:eastAsia="Calibri" w:hAnsi="Times New Roman" w:cs="Times New Roman"/>
          <w:kern w:val="20"/>
          <w:sz w:val="20"/>
          <w:szCs w:val="20"/>
        </w:rPr>
        <w:t xml:space="preserve">За рассматриваемый период наблюдается значительное изменение в структуре сельскохозяйственного производства между категориями хозяйств. Рост доли сельскохозяйственных организаций и КФХ наблюдается в общем объеме сельскохозяйственной продукции. Доля хозяйств населения демонстрирует тенденцию к снижению. Доля сельскохозяйственных организаций в период с 2018 по 2020 год в Оренбургской области увеличилась с 2018 по 2020 </w:t>
      </w:r>
      <w:proofErr w:type="spellStart"/>
      <w:r w:rsidRPr="00044DBC">
        <w:rPr>
          <w:rFonts w:ascii="Times New Roman" w:eastAsia="Calibri" w:hAnsi="Times New Roman" w:cs="Times New Roman"/>
          <w:kern w:val="20"/>
          <w:sz w:val="20"/>
          <w:szCs w:val="20"/>
        </w:rPr>
        <w:t>гг</w:t>
      </w:r>
      <w:proofErr w:type="spellEnd"/>
      <w:r w:rsidRPr="00044DBC">
        <w:rPr>
          <w:rFonts w:ascii="Times New Roman" w:eastAsia="Calibri" w:hAnsi="Times New Roman" w:cs="Times New Roman"/>
          <w:kern w:val="20"/>
          <w:sz w:val="20"/>
          <w:szCs w:val="20"/>
        </w:rPr>
        <w:t>, затем в 2021 году наблюдается небольшое снижение доли ( 35,2%), в 2023 году доля снова снизилась до 33,6%. В целом данные категория хозяйств стабильно высокая. Доля хозяйств населения снизилась с 51,4% в 2018 году до 38,9% в 2023 году. К началу периода хозяйства населения была самая крупная категория, но к концу периода – сократилась. Последовательное уменьшение доли говорит о снижении роли частных подсобных хозяйств в сельскохозяйственном производстве области. Доля КФХ увеличилась с 17,6% до 27,5% в 2023 году, это свидетельствует об укреплении позиций КФХ и их растущем вкладе в сельскохозяйственное производство. Происходит концентрация сельскохозяйственного производства в более крупных и профессиональных структурных – сельскохозяйственных организациях и КФХ. Увеличение доли сельскохозяйственных организаций и КФХ связано с государственной поддержкой этих форм хозяйствования, привлечения инвестиций, более эффективным использованием технологий и более высокой производительностью. Снижение доли хозяйств населения обусловлено миграцией населения из сельской местности, старением сельского населения, снижением заинтересованности в ведении личного подсобного хозяйства из-за трудоемкости и не всегда высокой доходностью. Развитие агробизнеса и современных технологий способствует росту крупных и средних сельскохозяйственных предприятий (сельскохозяйственные организации и КФХ). Хозяйства населения больше ориентированы на производство овощей и фруктов для личного подсобного хозяйства, а сельскохозяйственные организации – на производство зерновых и технических культур. Данные отражают тенденцию перераспределения структуры сельскохозяйственного производства Оренбургской области в сторону более крупных и профессиональных форм хозяйствования</w:t>
      </w:r>
      <w:r w:rsidR="00923717" w:rsidRPr="00923717">
        <w:rPr>
          <w:rFonts w:ascii="Times New Roman" w:eastAsia="Calibri" w:hAnsi="Times New Roman" w:cs="Times New Roman"/>
          <w:kern w:val="20"/>
          <w:sz w:val="20"/>
          <w:szCs w:val="20"/>
        </w:rPr>
        <w:t xml:space="preserve"> [6</w:t>
      </w:r>
      <w:proofErr w:type="gramStart"/>
      <w:r w:rsidR="00923717" w:rsidRPr="00923717">
        <w:rPr>
          <w:rFonts w:ascii="Times New Roman" w:eastAsia="Calibri" w:hAnsi="Times New Roman" w:cs="Times New Roman"/>
          <w:kern w:val="20"/>
          <w:sz w:val="20"/>
          <w:szCs w:val="20"/>
        </w:rPr>
        <w:t>]</w:t>
      </w:r>
      <w:r w:rsidRPr="00044DBC">
        <w:rPr>
          <w:rFonts w:ascii="Times New Roman" w:eastAsia="Calibri" w:hAnsi="Times New Roman" w:cs="Times New Roman"/>
          <w:kern w:val="20"/>
          <w:sz w:val="20"/>
          <w:szCs w:val="20"/>
        </w:rPr>
        <w:t>.</w:t>
      </w:r>
      <w:r w:rsidR="002E4B57">
        <w:rPr>
          <w:rFonts w:ascii="Times New Roman" w:eastAsia="Calibri" w:hAnsi="Times New Roman" w:cs="Times New Roman"/>
          <w:kern w:val="20"/>
          <w:sz w:val="20"/>
          <w:szCs w:val="20"/>
        </w:rPr>
        <w:t>Структура</w:t>
      </w:r>
      <w:proofErr w:type="gramEnd"/>
      <w:r w:rsidR="002E4B57">
        <w:rPr>
          <w:rFonts w:ascii="Times New Roman" w:eastAsia="Calibri" w:hAnsi="Times New Roman" w:cs="Times New Roman"/>
          <w:kern w:val="20"/>
          <w:sz w:val="20"/>
          <w:szCs w:val="20"/>
        </w:rPr>
        <w:t xml:space="preserve"> продукции растениеводства и животноводства Оренбургской области за 2019-2023 гг. представлены на рисунке 4.</w:t>
      </w:r>
    </w:p>
    <w:p w14:paraId="54EEF12E" w14:textId="77777777" w:rsidR="00F10077" w:rsidRDefault="006B59E0" w:rsidP="006B59E0">
      <w:pPr>
        <w:spacing w:after="0" w:line="240" w:lineRule="auto"/>
        <w:jc w:val="both"/>
        <w:rPr>
          <w:rFonts w:ascii="Times New Roman" w:eastAsia="Calibri" w:hAnsi="Times New Roman" w:cs="Times New Roman"/>
          <w:kern w:val="20"/>
          <w:sz w:val="20"/>
          <w:szCs w:val="20"/>
        </w:rPr>
      </w:pPr>
      <w:r>
        <w:rPr>
          <w:noProof/>
          <w:lang w:eastAsia="ru-RU"/>
        </w:rPr>
        <w:drawing>
          <wp:inline distT="0" distB="0" distL="0" distR="0" wp14:anchorId="2BCD03BF" wp14:editId="7315844F">
            <wp:extent cx="3096260" cy="2372952"/>
            <wp:effectExtent l="0" t="0" r="8890" b="8890"/>
            <wp:docPr id="636527247" name="Диаграмма 1">
              <a:extLst xmlns:a="http://schemas.openxmlformats.org/drawingml/2006/main">
                <a:ext uri="{FF2B5EF4-FFF2-40B4-BE49-F238E27FC236}">
                  <a16:creationId xmlns:a16="http://schemas.microsoft.com/office/drawing/2014/main" id="{F868A77A-F324-CF24-0F4D-46E46C333F0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6B59E0">
        <w:rPr>
          <w:noProof/>
          <w:color w:val="FFFFFF" w:themeColor="background1"/>
          <w:sz w:val="14"/>
          <w:szCs w:val="14"/>
          <w:lang w:eastAsia="ru-RU"/>
        </w:rPr>
        <w:drawing>
          <wp:inline distT="0" distB="0" distL="0" distR="0" wp14:anchorId="1B81C74F" wp14:editId="5CC7D7DF">
            <wp:extent cx="3006725" cy="2384172"/>
            <wp:effectExtent l="0" t="0" r="3175" b="0"/>
            <wp:docPr id="426042574" name="Диаграмма 1">
              <a:extLst xmlns:a="http://schemas.openxmlformats.org/drawingml/2006/main">
                <a:ext uri="{FF2B5EF4-FFF2-40B4-BE49-F238E27FC236}">
                  <a16:creationId xmlns:a16="http://schemas.microsoft.com/office/drawing/2014/main" id="{BBC6670D-2E18-976A-3FAF-5461881510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DA765C6" w14:textId="77777777" w:rsidR="00F10077" w:rsidRDefault="006B59E0" w:rsidP="006B59E0">
      <w:pPr>
        <w:spacing w:after="0" w:line="240" w:lineRule="auto"/>
        <w:jc w:val="center"/>
        <w:rPr>
          <w:rFonts w:ascii="Times New Roman" w:eastAsia="Calibri" w:hAnsi="Times New Roman" w:cs="Times New Roman"/>
          <w:kern w:val="20"/>
          <w:sz w:val="20"/>
          <w:szCs w:val="20"/>
        </w:rPr>
      </w:pPr>
      <w:r>
        <w:rPr>
          <w:rFonts w:ascii="Times New Roman" w:eastAsia="Calibri" w:hAnsi="Times New Roman" w:cs="Times New Roman"/>
          <w:kern w:val="20"/>
          <w:sz w:val="20"/>
          <w:szCs w:val="20"/>
        </w:rPr>
        <w:t>Рисунок 4. Структура продукции растениеводства и животноводства Оренбургской области за 2019-2023 гг.</w:t>
      </w:r>
    </w:p>
    <w:p w14:paraId="49F844A1" w14:textId="77777777" w:rsidR="00906AA3" w:rsidRPr="00906AA3" w:rsidRDefault="00906AA3" w:rsidP="00906AA3">
      <w:pPr>
        <w:spacing w:after="0" w:line="240" w:lineRule="auto"/>
        <w:ind w:firstLine="709"/>
        <w:jc w:val="both"/>
        <w:rPr>
          <w:rFonts w:ascii="Times New Roman" w:eastAsia="Calibri" w:hAnsi="Times New Roman" w:cs="Times New Roman"/>
          <w:kern w:val="20"/>
          <w:sz w:val="20"/>
          <w:szCs w:val="20"/>
        </w:rPr>
      </w:pPr>
      <w:r w:rsidRPr="00906AA3">
        <w:rPr>
          <w:rFonts w:ascii="Times New Roman" w:eastAsia="Calibri" w:hAnsi="Times New Roman" w:cs="Times New Roman"/>
          <w:kern w:val="20"/>
          <w:sz w:val="20"/>
          <w:szCs w:val="20"/>
        </w:rPr>
        <w:lastRenderedPageBreak/>
        <w:t xml:space="preserve">Зерновые и зернобобовые культуры, а также технические культуры доминируют в структуре производства продукции растениеводства. Технические культуры показывают пик производства в 2021 году, а затем наблюдается тенденция к снижению урожайности после 2021 года. Наибольший урожай картофеля был собран в 2021 году, в остальные годы производство оставалось относительно </w:t>
      </w:r>
      <w:proofErr w:type="spellStart"/>
      <w:r w:rsidRPr="00906AA3">
        <w:rPr>
          <w:rFonts w:ascii="Times New Roman" w:eastAsia="Calibri" w:hAnsi="Times New Roman" w:cs="Times New Roman"/>
          <w:kern w:val="20"/>
          <w:sz w:val="20"/>
          <w:szCs w:val="20"/>
        </w:rPr>
        <w:t>стабильным.Устойчивый</w:t>
      </w:r>
      <w:proofErr w:type="spellEnd"/>
      <w:r w:rsidRPr="00906AA3">
        <w:rPr>
          <w:rFonts w:ascii="Times New Roman" w:eastAsia="Calibri" w:hAnsi="Times New Roman" w:cs="Times New Roman"/>
          <w:kern w:val="20"/>
          <w:sz w:val="20"/>
          <w:szCs w:val="20"/>
        </w:rPr>
        <w:t xml:space="preserve"> рост производства скота и птицы с 47,2 в 2019 году до 52,5 в 2022 и 2023 гг., также за этот период снижается производство молока с 43,2% в 2019 году до 37,4% в 2022 и 2023 гг.  Стабильность наблюдается в производстве яиц и шерсти.</w:t>
      </w:r>
    </w:p>
    <w:p w14:paraId="546DBD50" w14:textId="77777777" w:rsidR="00E52A8F" w:rsidRPr="00E52A8F" w:rsidRDefault="00E52A8F" w:rsidP="00E52A8F">
      <w:pPr>
        <w:spacing w:after="0" w:line="240" w:lineRule="auto"/>
        <w:ind w:firstLine="709"/>
        <w:jc w:val="both"/>
        <w:rPr>
          <w:rFonts w:ascii="Times New Roman" w:eastAsia="Calibri" w:hAnsi="Times New Roman" w:cs="Times New Roman"/>
          <w:kern w:val="20"/>
          <w:sz w:val="20"/>
          <w:szCs w:val="20"/>
        </w:rPr>
      </w:pPr>
      <w:r w:rsidRPr="00E52A8F">
        <w:rPr>
          <w:rFonts w:ascii="Times New Roman" w:eastAsia="Calibri" w:hAnsi="Times New Roman" w:cs="Times New Roman"/>
          <w:kern w:val="20"/>
          <w:sz w:val="20"/>
          <w:szCs w:val="20"/>
        </w:rPr>
        <w:t>Комплексная задача, требующая развития сельского хозяйства, пищевой промышленности и логистики – это самообеспечение продуктами питания региона. Способность региона самостоятельно обеспечивать население основными продуктами питания собственного производства, минимизируя зависимость от поставок из других регионов или стран снижает риски, связанные с колебаниями мировых цен, политической нестабильностью и другими факторами, которые могут нарушить поставки продуктов, поддерживает местное сельское хозяйство, создает рабочие места, стимулирует развитие смежных отраслей и увеличивает налоговые поступления в региональный бюджет, обеспечивает доступ к свежим и качественным продуктам, что способствует снижению заболеваемости. Оренбургская область обладает значительным аграрным потенциалом. В регионе развито как растениеводство, так и животноводства, являясь крупным производителем зерна, подсолнечника, мяса и молока. Несмотря на это, регион не по все видам продукции достигает 100% самообеспечения (рис.5)</w:t>
      </w:r>
      <w:r>
        <w:rPr>
          <w:rFonts w:ascii="Times New Roman" w:eastAsia="Calibri" w:hAnsi="Times New Roman" w:cs="Times New Roman"/>
          <w:kern w:val="20"/>
          <w:sz w:val="20"/>
          <w:szCs w:val="20"/>
        </w:rPr>
        <w:t>.</w:t>
      </w:r>
      <w:r w:rsidRPr="00E52A8F">
        <w:rPr>
          <w:rFonts w:ascii="Times New Roman" w:eastAsia="Calibri" w:hAnsi="Times New Roman" w:cs="Times New Roman"/>
          <w:kern w:val="20"/>
          <w:sz w:val="20"/>
          <w:szCs w:val="20"/>
        </w:rPr>
        <w:t xml:space="preserve"> Зависимость от импорта сохраняется, особенно по некоторым видам фруктов, овощей в межсезонье, а также по некоторым видам переработанной продукции</w:t>
      </w:r>
      <w:r w:rsidR="00923717" w:rsidRPr="00923717">
        <w:rPr>
          <w:rFonts w:ascii="Times New Roman" w:eastAsia="Calibri" w:hAnsi="Times New Roman" w:cs="Times New Roman"/>
          <w:kern w:val="20"/>
          <w:sz w:val="20"/>
          <w:szCs w:val="20"/>
        </w:rPr>
        <w:t xml:space="preserve"> [7]</w:t>
      </w:r>
      <w:r w:rsidRPr="00E52A8F">
        <w:rPr>
          <w:rFonts w:ascii="Times New Roman" w:eastAsia="Calibri" w:hAnsi="Times New Roman" w:cs="Times New Roman"/>
          <w:kern w:val="20"/>
          <w:sz w:val="20"/>
          <w:szCs w:val="20"/>
        </w:rPr>
        <w:t>.</w:t>
      </w:r>
    </w:p>
    <w:p w14:paraId="11048453" w14:textId="77777777" w:rsidR="00F10077" w:rsidRDefault="00F10077" w:rsidP="00FA3CA3">
      <w:pPr>
        <w:spacing w:after="0" w:line="240" w:lineRule="auto"/>
        <w:ind w:firstLine="709"/>
        <w:jc w:val="both"/>
        <w:rPr>
          <w:rFonts w:ascii="Times New Roman" w:eastAsia="Calibri" w:hAnsi="Times New Roman" w:cs="Times New Roman"/>
          <w:kern w:val="20"/>
          <w:sz w:val="20"/>
          <w:szCs w:val="20"/>
        </w:rPr>
      </w:pPr>
    </w:p>
    <w:p w14:paraId="75552AF5" w14:textId="77777777" w:rsidR="00F10077" w:rsidRDefault="00E52A8F" w:rsidP="00E52A8F">
      <w:pPr>
        <w:spacing w:after="0" w:line="240" w:lineRule="auto"/>
        <w:rPr>
          <w:rFonts w:ascii="Times New Roman" w:eastAsia="Calibri" w:hAnsi="Times New Roman" w:cs="Times New Roman"/>
          <w:kern w:val="20"/>
          <w:sz w:val="20"/>
          <w:szCs w:val="20"/>
        </w:rPr>
      </w:pPr>
      <w:r>
        <w:rPr>
          <w:noProof/>
          <w:lang w:eastAsia="ru-RU"/>
        </w:rPr>
        <w:drawing>
          <wp:inline distT="0" distB="0" distL="0" distR="0" wp14:anchorId="79B16C5C" wp14:editId="26970A46">
            <wp:extent cx="6120130" cy="4014505"/>
            <wp:effectExtent l="0" t="0" r="0" b="0"/>
            <wp:docPr id="35155425" name="Диаграмма 1">
              <a:extLst xmlns:a="http://schemas.openxmlformats.org/drawingml/2006/main">
                <a:ext uri="{FF2B5EF4-FFF2-40B4-BE49-F238E27FC236}">
                  <a16:creationId xmlns:a16="http://schemas.microsoft.com/office/drawing/2014/main" id="{6D6F3F09-BF64-C635-CD2C-F318A2C7F5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F5DEBCB" w14:textId="77777777" w:rsidR="00E52A8F" w:rsidRPr="00E52A8F" w:rsidRDefault="00E52A8F" w:rsidP="00E52A8F">
      <w:pPr>
        <w:spacing w:after="0" w:line="240" w:lineRule="auto"/>
        <w:jc w:val="center"/>
        <w:rPr>
          <w:rFonts w:ascii="Times New Roman" w:eastAsia="Calibri" w:hAnsi="Times New Roman" w:cs="Times New Roman"/>
          <w:kern w:val="20"/>
          <w:sz w:val="20"/>
          <w:szCs w:val="20"/>
        </w:rPr>
      </w:pPr>
      <w:r w:rsidRPr="00E52A8F">
        <w:rPr>
          <w:rFonts w:ascii="Times New Roman" w:eastAsia="Calibri" w:hAnsi="Times New Roman" w:cs="Times New Roman"/>
          <w:kern w:val="20"/>
          <w:sz w:val="20"/>
          <w:szCs w:val="20"/>
        </w:rPr>
        <w:t>Рисунок 5. Уровень самообеспечения основными продуктами питания в Оренбургской области, %)</w:t>
      </w:r>
    </w:p>
    <w:p w14:paraId="312BAF14" w14:textId="77777777" w:rsidR="00F10077" w:rsidRDefault="00F10077" w:rsidP="00FA3CA3">
      <w:pPr>
        <w:spacing w:after="0" w:line="240" w:lineRule="auto"/>
        <w:ind w:firstLine="709"/>
        <w:jc w:val="both"/>
        <w:rPr>
          <w:rFonts w:ascii="Times New Roman" w:eastAsia="Calibri" w:hAnsi="Times New Roman" w:cs="Times New Roman"/>
          <w:kern w:val="20"/>
          <w:sz w:val="20"/>
          <w:szCs w:val="20"/>
        </w:rPr>
      </w:pPr>
    </w:p>
    <w:p w14:paraId="73E84E0E" w14:textId="77777777" w:rsidR="00F10077" w:rsidRDefault="0063230C" w:rsidP="00FA3CA3">
      <w:pPr>
        <w:spacing w:after="0" w:line="240" w:lineRule="auto"/>
        <w:ind w:firstLine="709"/>
        <w:jc w:val="both"/>
        <w:rPr>
          <w:rFonts w:ascii="Times New Roman" w:eastAsia="Calibri" w:hAnsi="Times New Roman" w:cs="Times New Roman"/>
          <w:kern w:val="20"/>
          <w:sz w:val="20"/>
          <w:szCs w:val="20"/>
        </w:rPr>
      </w:pPr>
      <w:r w:rsidRPr="00D47197">
        <w:rPr>
          <w:rFonts w:ascii="Times New Roman" w:eastAsia="Calibri" w:hAnsi="Times New Roman" w:cs="Times New Roman"/>
          <w:kern w:val="20"/>
          <w:sz w:val="20"/>
          <w:szCs w:val="20"/>
        </w:rPr>
        <w:t>Оренбургская область в целом демонстрирует хороший уровень самообеспечения основными продуктами питания, особенной по мясу, молоку, яйцами, овощами и бахчевым культурами. Наиболее проблемной зоной является обеспечение фруктами и ягодами, где необходимы меры по развитию местного производства для снижения зависимости от импорта или поставок из других регионов. Несмотря на положительную динамику в производстве картофеля, необходимо продолжать работу по увеличению объемов производства для достижения полного самообеспечения. Необходимо продолжать поддерживать и развивать существующее производство по категориям, где уже достигнут высокий уровень самообеспечения, чтобы сохранить текущие позиции и наращивать объемы производства.</w:t>
      </w:r>
    </w:p>
    <w:p w14:paraId="32076D57" w14:textId="77777777" w:rsidR="002E1784" w:rsidRPr="002E1784" w:rsidRDefault="002E1784" w:rsidP="00FA3CA3">
      <w:pPr>
        <w:spacing w:after="0" w:line="240" w:lineRule="auto"/>
        <w:ind w:firstLine="540"/>
        <w:jc w:val="center"/>
        <w:rPr>
          <w:rFonts w:ascii="Times New Roman" w:eastAsia="Times New Roman" w:hAnsi="Times New Roman" w:cs="Times New Roman"/>
          <w:b/>
          <w:sz w:val="24"/>
          <w:lang w:eastAsia="ru-RU"/>
        </w:rPr>
      </w:pPr>
    </w:p>
    <w:p w14:paraId="61FA7EFE" w14:textId="77777777" w:rsidR="002E1784" w:rsidRPr="002E1784" w:rsidRDefault="002E1784" w:rsidP="00923717">
      <w:pPr>
        <w:spacing w:after="0" w:line="240" w:lineRule="auto"/>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61E6AEB0" w14:textId="77777777" w:rsidR="00C1238A" w:rsidRDefault="00C1238A" w:rsidP="00923717">
      <w:pPr>
        <w:spacing w:after="0" w:line="240" w:lineRule="auto"/>
        <w:ind w:firstLine="709"/>
        <w:jc w:val="both"/>
        <w:rPr>
          <w:rFonts w:ascii="Times New Roman" w:eastAsia="Times New Roman" w:hAnsi="Times New Roman" w:cs="Times New Roman"/>
          <w:sz w:val="24"/>
          <w:lang w:eastAsia="ru-RU"/>
        </w:rPr>
      </w:pPr>
    </w:p>
    <w:p w14:paraId="69C87CA9" w14:textId="77777777" w:rsidR="002D025D" w:rsidRPr="00AC2B9F" w:rsidRDefault="00AC2B9F" w:rsidP="00AC2B9F">
      <w:pPr>
        <w:spacing w:after="0" w:line="240" w:lineRule="auto"/>
        <w:ind w:firstLine="709"/>
        <w:jc w:val="both"/>
        <w:rPr>
          <w:rFonts w:ascii="Times New Roman" w:hAnsi="Times New Roman" w:cs="Times New Roman"/>
          <w:sz w:val="24"/>
          <w:szCs w:val="24"/>
        </w:rPr>
      </w:pPr>
      <w:bookmarkStart w:id="2" w:name="_Ref193454922"/>
      <w:bookmarkStart w:id="3" w:name="_Ref193443438"/>
      <w:r>
        <w:rPr>
          <w:rFonts w:ascii="Times New Roman" w:hAnsi="Times New Roman" w:cs="Times New Roman"/>
          <w:sz w:val="24"/>
          <w:szCs w:val="24"/>
        </w:rPr>
        <w:lastRenderedPageBreak/>
        <w:t xml:space="preserve">1. </w:t>
      </w:r>
      <w:r w:rsidR="002D025D" w:rsidRPr="00AC2B9F">
        <w:rPr>
          <w:rFonts w:ascii="Times New Roman" w:hAnsi="Times New Roman" w:cs="Times New Roman"/>
          <w:sz w:val="24"/>
          <w:szCs w:val="24"/>
        </w:rPr>
        <w:t>Семин, А. Н. Организационно-экономические механизмы адаптации сельского населения в условиях перехода АПК к динамичному развитию / А. Н. Семин // Экономика сельского хозяйства России. – 2020. – № 8. – С. 2-10. – DOI 10.32651/208-2. – EDN LLCSLN.</w:t>
      </w:r>
      <w:bookmarkEnd w:id="2"/>
    </w:p>
    <w:p w14:paraId="4B6360B8" w14:textId="77777777" w:rsidR="002D025D" w:rsidRPr="00AC2B9F" w:rsidRDefault="00AC2B9F" w:rsidP="00AC2B9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2D025D" w:rsidRPr="00AC2B9F">
        <w:rPr>
          <w:rFonts w:ascii="Times New Roman" w:hAnsi="Times New Roman" w:cs="Times New Roman"/>
          <w:sz w:val="24"/>
          <w:szCs w:val="24"/>
        </w:rPr>
        <w:t xml:space="preserve">Гусева, Е. П. Методика оценки использования потенциальных возможностей производства сельскохозяйственных районов // </w:t>
      </w:r>
      <w:proofErr w:type="spellStart"/>
      <w:r w:rsidR="002D025D" w:rsidRPr="00AC2B9F">
        <w:rPr>
          <w:rFonts w:ascii="Times New Roman" w:hAnsi="Times New Roman" w:cs="Times New Roman"/>
          <w:sz w:val="24"/>
          <w:szCs w:val="24"/>
        </w:rPr>
        <w:t>Друкеровский</w:t>
      </w:r>
      <w:proofErr w:type="spellEnd"/>
      <w:r w:rsidR="002D025D" w:rsidRPr="00AC2B9F">
        <w:rPr>
          <w:rFonts w:ascii="Times New Roman" w:hAnsi="Times New Roman" w:cs="Times New Roman"/>
          <w:sz w:val="24"/>
          <w:szCs w:val="24"/>
        </w:rPr>
        <w:t xml:space="preserve"> вестник. – 2021. – № 2(40). – С. 129-142. – DOI 10.17213/2312-6469-2021-2-129-142. – EDN ZCIXKW.</w:t>
      </w:r>
    </w:p>
    <w:p w14:paraId="3E826050" w14:textId="77777777" w:rsidR="002D025D" w:rsidRPr="002427F9" w:rsidRDefault="00AC2B9F" w:rsidP="00AC2B9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hyperlink r:id="rId17" w:history="1">
        <w:proofErr w:type="spellStart"/>
        <w:r w:rsidR="00512141" w:rsidRPr="00AC2B9F">
          <w:rPr>
            <w:rFonts w:ascii="Times New Roman" w:hAnsi="Times New Roman" w:cs="Times New Roman"/>
            <w:sz w:val="24"/>
            <w:szCs w:val="24"/>
          </w:rPr>
          <w:t>Ermakova</w:t>
        </w:r>
        <w:proofErr w:type="spellEnd"/>
        <w:r w:rsidR="00512141" w:rsidRPr="00AC2B9F">
          <w:rPr>
            <w:rFonts w:ascii="Times New Roman" w:hAnsi="Times New Roman" w:cs="Times New Roman"/>
            <w:sz w:val="24"/>
            <w:szCs w:val="24"/>
          </w:rPr>
          <w:t xml:space="preserve"> Z.</w:t>
        </w:r>
      </w:hyperlink>
      <w:r w:rsidR="00512141" w:rsidRPr="00AC2B9F">
        <w:rPr>
          <w:rFonts w:ascii="Times New Roman" w:hAnsi="Times New Roman" w:cs="Times New Roman"/>
          <w:sz w:val="24"/>
          <w:szCs w:val="24"/>
        </w:rPr>
        <w:t xml:space="preserve"> , </w:t>
      </w:r>
      <w:hyperlink r:id="rId18" w:history="1">
        <w:proofErr w:type="spellStart"/>
        <w:r w:rsidR="00512141" w:rsidRPr="00AC2B9F">
          <w:rPr>
            <w:rFonts w:ascii="Times New Roman" w:hAnsi="Times New Roman" w:cs="Times New Roman"/>
            <w:sz w:val="24"/>
            <w:szCs w:val="24"/>
          </w:rPr>
          <w:t>Speshilova</w:t>
        </w:r>
        <w:proofErr w:type="spellEnd"/>
        <w:r w:rsidR="00512141" w:rsidRPr="00AC2B9F">
          <w:rPr>
            <w:rFonts w:ascii="Times New Roman" w:hAnsi="Times New Roman" w:cs="Times New Roman"/>
            <w:sz w:val="24"/>
            <w:szCs w:val="24"/>
          </w:rPr>
          <w:t xml:space="preserve"> N.</w:t>
        </w:r>
      </w:hyperlink>
      <w:r w:rsidR="00512141" w:rsidRPr="00AC2B9F">
        <w:rPr>
          <w:rFonts w:ascii="Times New Roman" w:hAnsi="Times New Roman" w:cs="Times New Roman"/>
          <w:sz w:val="24"/>
          <w:szCs w:val="24"/>
        </w:rPr>
        <w:t xml:space="preserve"> , </w:t>
      </w:r>
      <w:hyperlink r:id="rId19" w:history="1">
        <w:proofErr w:type="spellStart"/>
        <w:r w:rsidR="00512141" w:rsidRPr="00AC2B9F">
          <w:rPr>
            <w:rFonts w:ascii="Times New Roman" w:hAnsi="Times New Roman" w:cs="Times New Roman"/>
            <w:sz w:val="24"/>
            <w:szCs w:val="24"/>
          </w:rPr>
          <w:t>Guseva</w:t>
        </w:r>
        <w:proofErr w:type="spellEnd"/>
        <w:r w:rsidR="00512141" w:rsidRPr="00AC2B9F">
          <w:rPr>
            <w:rFonts w:ascii="Times New Roman" w:hAnsi="Times New Roman" w:cs="Times New Roman"/>
            <w:sz w:val="24"/>
            <w:szCs w:val="24"/>
          </w:rPr>
          <w:t xml:space="preserve"> E.</w:t>
        </w:r>
      </w:hyperlink>
      <w:r w:rsidR="00512141" w:rsidRPr="00AC2B9F">
        <w:rPr>
          <w:rFonts w:ascii="Times New Roman" w:hAnsi="Times New Roman" w:cs="Times New Roman"/>
          <w:sz w:val="24"/>
          <w:szCs w:val="24"/>
        </w:rPr>
        <w:t xml:space="preserve"> </w:t>
      </w:r>
      <w:hyperlink r:id="rId20" w:history="1">
        <w:r w:rsidR="00512141" w:rsidRPr="00AC2B9F">
          <w:rPr>
            <w:rFonts w:ascii="Times New Roman" w:hAnsi="Times New Roman" w:cs="Times New Roman"/>
            <w:sz w:val="24"/>
            <w:szCs w:val="24"/>
            <w:lang w:val="en-US"/>
          </w:rPr>
          <w:t>Assessment of the influence of technical equipment factors on the volume of production in organizations of the regional economic system</w:t>
        </w:r>
      </w:hyperlink>
      <w:r w:rsidR="00512141" w:rsidRPr="00AC2B9F">
        <w:rPr>
          <w:rFonts w:ascii="Times New Roman" w:hAnsi="Times New Roman" w:cs="Times New Roman"/>
          <w:sz w:val="24"/>
          <w:szCs w:val="24"/>
          <w:lang w:val="en-US"/>
        </w:rPr>
        <w:t xml:space="preserve"> BIO Web of Conferences. 2024. V.139. </w:t>
      </w:r>
      <w:r w:rsidR="00512141" w:rsidRPr="002427F9">
        <w:rPr>
          <w:rFonts w:ascii="Times New Roman" w:hAnsi="Times New Roman" w:cs="Times New Roman"/>
          <w:sz w:val="24"/>
          <w:szCs w:val="24"/>
        </w:rPr>
        <w:t xml:space="preserve">14009:1-13. </w:t>
      </w:r>
      <w:r w:rsidR="00512141" w:rsidRPr="00AC2B9F">
        <w:rPr>
          <w:rFonts w:ascii="Times New Roman" w:hAnsi="Times New Roman" w:cs="Times New Roman"/>
          <w:sz w:val="24"/>
          <w:szCs w:val="24"/>
          <w:lang w:val="en-US"/>
        </w:rPr>
        <w:t>DOI</w:t>
      </w:r>
      <w:r w:rsidR="00512141" w:rsidRPr="002427F9">
        <w:rPr>
          <w:rFonts w:ascii="Times New Roman" w:hAnsi="Times New Roman" w:cs="Times New Roman"/>
          <w:sz w:val="24"/>
          <w:szCs w:val="24"/>
        </w:rPr>
        <w:t xml:space="preserve">: </w:t>
      </w:r>
      <w:hyperlink r:id="rId21" w:tgtFrame="_blank" w:history="1">
        <w:r w:rsidR="00512141" w:rsidRPr="002427F9">
          <w:rPr>
            <w:rStyle w:val="a4"/>
            <w:rFonts w:ascii="Times New Roman" w:hAnsi="Times New Roman" w:cs="Times New Roman"/>
            <w:sz w:val="24"/>
            <w:szCs w:val="24"/>
          </w:rPr>
          <w:t>10.1051/</w:t>
        </w:r>
        <w:proofErr w:type="spellStart"/>
        <w:r w:rsidR="00512141" w:rsidRPr="00AC2B9F">
          <w:rPr>
            <w:rStyle w:val="a4"/>
            <w:rFonts w:ascii="Times New Roman" w:hAnsi="Times New Roman" w:cs="Times New Roman"/>
            <w:sz w:val="24"/>
            <w:szCs w:val="24"/>
            <w:lang w:val="en-US"/>
          </w:rPr>
          <w:t>bioconf</w:t>
        </w:r>
        <w:proofErr w:type="spellEnd"/>
        <w:r w:rsidR="00512141" w:rsidRPr="002427F9">
          <w:rPr>
            <w:rStyle w:val="a4"/>
            <w:rFonts w:ascii="Times New Roman" w:hAnsi="Times New Roman" w:cs="Times New Roman"/>
            <w:sz w:val="24"/>
            <w:szCs w:val="24"/>
          </w:rPr>
          <w:t>/202413914009</w:t>
        </w:r>
      </w:hyperlink>
    </w:p>
    <w:p w14:paraId="2AB5C55D" w14:textId="77777777" w:rsidR="00512141" w:rsidRPr="00AC2B9F" w:rsidRDefault="00AC2B9F" w:rsidP="00AC2B9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00512141" w:rsidRPr="00AC2B9F">
        <w:rPr>
          <w:rFonts w:ascii="Times New Roman" w:hAnsi="Times New Roman" w:cs="Times New Roman"/>
          <w:sz w:val="24"/>
          <w:szCs w:val="24"/>
        </w:rPr>
        <w:t xml:space="preserve">Жиляков, Д. И., Фомин, О. С., </w:t>
      </w:r>
      <w:proofErr w:type="gramStart"/>
      <w:r w:rsidR="00512141" w:rsidRPr="00AC2B9F">
        <w:rPr>
          <w:rFonts w:ascii="Times New Roman" w:hAnsi="Times New Roman" w:cs="Times New Roman"/>
          <w:sz w:val="24"/>
          <w:szCs w:val="24"/>
        </w:rPr>
        <w:t>Соловьева,  Т.</w:t>
      </w:r>
      <w:proofErr w:type="gramEnd"/>
      <w:r w:rsidR="00512141" w:rsidRPr="00AC2B9F">
        <w:rPr>
          <w:rFonts w:ascii="Times New Roman" w:hAnsi="Times New Roman" w:cs="Times New Roman"/>
          <w:sz w:val="24"/>
          <w:szCs w:val="24"/>
        </w:rPr>
        <w:t xml:space="preserve"> Н. Обеспечение продовольственной безопасности Российской Федерации на основе развития АПК // Вестник Курской государственной сельскохозяйственной академии. – 2022. – № 9. – С. 153-159. – EDN IJKCWZ.</w:t>
      </w:r>
    </w:p>
    <w:p w14:paraId="1A6154A2" w14:textId="77777777" w:rsidR="00512141" w:rsidRPr="00AC2B9F" w:rsidRDefault="00AC2B9F" w:rsidP="00AC2B9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proofErr w:type="spellStart"/>
      <w:r w:rsidR="00512141" w:rsidRPr="00AC2B9F">
        <w:rPr>
          <w:rFonts w:ascii="Times New Roman" w:hAnsi="Times New Roman" w:cs="Times New Roman"/>
          <w:sz w:val="24"/>
          <w:szCs w:val="24"/>
        </w:rPr>
        <w:t>Тихутова</w:t>
      </w:r>
      <w:proofErr w:type="spellEnd"/>
      <w:r w:rsidR="00512141" w:rsidRPr="00AC2B9F">
        <w:rPr>
          <w:rFonts w:ascii="Times New Roman" w:hAnsi="Times New Roman" w:cs="Times New Roman"/>
          <w:sz w:val="24"/>
          <w:szCs w:val="24"/>
        </w:rPr>
        <w:t xml:space="preserve">, А. Н. </w:t>
      </w:r>
      <w:r w:rsidR="00923717" w:rsidRPr="00AC2B9F">
        <w:rPr>
          <w:rFonts w:ascii="Times New Roman" w:hAnsi="Times New Roman" w:cs="Times New Roman"/>
          <w:sz w:val="24"/>
          <w:szCs w:val="24"/>
        </w:rPr>
        <w:t xml:space="preserve">Роль национальных проектов в решении проблем социально-экономического развития страны </w:t>
      </w:r>
      <w:r w:rsidR="00512141" w:rsidRPr="00AC2B9F">
        <w:rPr>
          <w:rFonts w:ascii="Times New Roman" w:hAnsi="Times New Roman" w:cs="Times New Roman"/>
          <w:sz w:val="24"/>
          <w:szCs w:val="24"/>
        </w:rPr>
        <w:t>//Международная научно-техническая конференция молодых ученых БГТУ им. ВГ Шухова, посвященная 170-летию со дня рождения. – 2023. – С. 1010.</w:t>
      </w:r>
    </w:p>
    <w:bookmarkEnd w:id="3"/>
    <w:p w14:paraId="22F88825" w14:textId="77777777" w:rsidR="002D025D" w:rsidRPr="00AC2B9F" w:rsidRDefault="00AC2B9F" w:rsidP="00AC2B9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r w:rsidR="002D025D" w:rsidRPr="00AC2B9F">
        <w:rPr>
          <w:rFonts w:ascii="Times New Roman" w:hAnsi="Times New Roman" w:cs="Times New Roman"/>
          <w:sz w:val="24"/>
          <w:szCs w:val="24"/>
        </w:rPr>
        <w:t>Суслов, С. А. Оценка современных достижений агропроизводства в контексте исторических рекордов / С. А. Суслов, И. Н. Норенков, Е. В. Скрипкина // Вестник НГИЭИ. – 2024. – № 12(163). – С. 101-112. – DOI 10.24412/2227-9407-2024-12-101-112. – EDN LGXAWI.</w:t>
      </w:r>
    </w:p>
    <w:p w14:paraId="338BBD3F" w14:textId="77777777" w:rsidR="00923717" w:rsidRPr="00AC2B9F" w:rsidRDefault="00AC2B9F" w:rsidP="00AC2B9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7. </w:t>
      </w:r>
      <w:proofErr w:type="spellStart"/>
      <w:r w:rsidR="00923717" w:rsidRPr="00AC2B9F">
        <w:rPr>
          <w:rFonts w:ascii="Times New Roman" w:hAnsi="Times New Roman" w:cs="Times New Roman"/>
          <w:sz w:val="24"/>
          <w:szCs w:val="24"/>
        </w:rPr>
        <w:t>Закшевский</w:t>
      </w:r>
      <w:proofErr w:type="spellEnd"/>
      <w:r w:rsidR="00923717" w:rsidRPr="00AC2B9F">
        <w:rPr>
          <w:rFonts w:ascii="Times New Roman" w:hAnsi="Times New Roman" w:cs="Times New Roman"/>
          <w:sz w:val="24"/>
          <w:szCs w:val="24"/>
        </w:rPr>
        <w:t>, В. Г. и др. Продовольственная независимость России: современное состояние, риски безопасности, перспективные тренды //Продовольственная политика и безопасность. – 2023. – Т. 10. – №. 1. – С. 9.</w:t>
      </w:r>
    </w:p>
    <w:p w14:paraId="12E7F082" w14:textId="77777777" w:rsidR="00923717" w:rsidRPr="00AC2B9F" w:rsidRDefault="00AC2B9F" w:rsidP="00AC2B9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8. </w:t>
      </w:r>
      <w:proofErr w:type="spellStart"/>
      <w:r w:rsidR="00923717" w:rsidRPr="00AC2B9F">
        <w:rPr>
          <w:rFonts w:ascii="Times New Roman" w:hAnsi="Times New Roman" w:cs="Times New Roman"/>
          <w:sz w:val="24"/>
          <w:szCs w:val="24"/>
        </w:rPr>
        <w:t>Шибзухов</w:t>
      </w:r>
      <w:proofErr w:type="spellEnd"/>
      <w:r w:rsidR="00923717" w:rsidRPr="00AC2B9F">
        <w:rPr>
          <w:rFonts w:ascii="Times New Roman" w:hAnsi="Times New Roman" w:cs="Times New Roman"/>
          <w:sz w:val="24"/>
          <w:szCs w:val="24"/>
        </w:rPr>
        <w:t xml:space="preserve"> З. Г. С. и др. Агропромышленный комплекс России: вопросы комплексного развития и импортозамещения в условиях санкционного давления //Индустриальная экономика. – 2023. – №. 3. – С. 76-84.</w:t>
      </w:r>
    </w:p>
    <w:p w14:paraId="67025DCD" w14:textId="77777777" w:rsidR="002E1784" w:rsidRPr="002E1784" w:rsidRDefault="002E1784" w:rsidP="00FA3CA3">
      <w:pPr>
        <w:spacing w:after="0" w:line="240" w:lineRule="auto"/>
        <w:ind w:firstLine="540"/>
        <w:jc w:val="both"/>
        <w:rPr>
          <w:rFonts w:ascii="Times New Roman" w:eastAsia="Times New Roman" w:hAnsi="Times New Roman" w:cs="Times New Roman"/>
          <w:sz w:val="24"/>
          <w:u w:val="single"/>
          <w:lang w:eastAsia="ru-RU"/>
        </w:rPr>
      </w:pPr>
    </w:p>
    <w:p w14:paraId="60D5729D" w14:textId="77777777" w:rsidR="002E1784" w:rsidRPr="002E1784" w:rsidRDefault="002E1784" w:rsidP="00FA3CA3">
      <w:pPr>
        <w:spacing w:after="0" w:line="240" w:lineRule="auto"/>
        <w:ind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 xml:space="preserve">Информация об </w:t>
      </w:r>
      <w:proofErr w:type="gramStart"/>
      <w:r w:rsidRPr="002E1784">
        <w:rPr>
          <w:rFonts w:ascii="Times New Roman" w:eastAsia="Calibri" w:hAnsi="Times New Roman" w:cs="Times New Roman"/>
          <w:b/>
          <w:sz w:val="24"/>
        </w:rPr>
        <w:t>авторе  на</w:t>
      </w:r>
      <w:proofErr w:type="gramEnd"/>
      <w:r w:rsidRPr="002E1784">
        <w:rPr>
          <w:rFonts w:ascii="Times New Roman" w:eastAsia="Calibri" w:hAnsi="Times New Roman" w:cs="Times New Roman"/>
          <w:b/>
          <w:sz w:val="24"/>
        </w:rPr>
        <w:t xml:space="preserve"> русском языке</w:t>
      </w:r>
    </w:p>
    <w:p w14:paraId="779AD583" w14:textId="77777777" w:rsidR="002E1784" w:rsidRPr="002E1784" w:rsidRDefault="00923717" w:rsidP="00AC2B9F">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Гусева Елена Петровна</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Россия</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Оренбург</w:t>
      </w:r>
      <w:r w:rsidR="002E1784" w:rsidRPr="002E1784">
        <w:rPr>
          <w:rFonts w:ascii="Times New Roman" w:eastAsia="Calibri" w:hAnsi="Times New Roman" w:cs="Times New Roman"/>
          <w:sz w:val="24"/>
        </w:rPr>
        <w:t>) –</w:t>
      </w:r>
      <w:r>
        <w:rPr>
          <w:rFonts w:ascii="Times New Roman" w:eastAsia="Calibri" w:hAnsi="Times New Roman" w:cs="Times New Roman"/>
          <w:sz w:val="24"/>
        </w:rPr>
        <w:t xml:space="preserve"> научный сотрудник</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Оренбургский филиал Федерального государственного бюджетного учреждения науки Института экономики Уральского отделения Российской академии наук</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460000</w:t>
      </w:r>
      <w:r w:rsidR="002E1784" w:rsidRPr="002E1784">
        <w:rPr>
          <w:rFonts w:ascii="Times New Roman" w:eastAsia="Calibri" w:hAnsi="Times New Roman" w:cs="Times New Roman"/>
          <w:sz w:val="24"/>
        </w:rPr>
        <w:t xml:space="preserve">, </w:t>
      </w:r>
      <w:proofErr w:type="spellStart"/>
      <w:r>
        <w:rPr>
          <w:rFonts w:ascii="Times New Roman" w:eastAsia="Calibri" w:hAnsi="Times New Roman" w:cs="Times New Roman"/>
          <w:sz w:val="24"/>
        </w:rPr>
        <w:t>г.Оренбург</w:t>
      </w:r>
      <w:proofErr w:type="spellEnd"/>
      <w:r>
        <w:rPr>
          <w:rFonts w:ascii="Times New Roman" w:eastAsia="Calibri" w:hAnsi="Times New Roman" w:cs="Times New Roman"/>
          <w:sz w:val="24"/>
        </w:rPr>
        <w:t xml:space="preserve">, </w:t>
      </w:r>
      <w:proofErr w:type="spellStart"/>
      <w:r>
        <w:rPr>
          <w:rFonts w:ascii="Times New Roman" w:eastAsia="Calibri" w:hAnsi="Times New Roman" w:cs="Times New Roman"/>
          <w:sz w:val="24"/>
        </w:rPr>
        <w:t>ул.Пионерская</w:t>
      </w:r>
      <w:proofErr w:type="spellEnd"/>
      <w:r>
        <w:rPr>
          <w:rFonts w:ascii="Times New Roman" w:eastAsia="Calibri" w:hAnsi="Times New Roman" w:cs="Times New Roman"/>
          <w:sz w:val="24"/>
        </w:rPr>
        <w:t xml:space="preserve">, д.11. </w:t>
      </w:r>
      <w:hyperlink r:id="rId22" w:history="1">
        <w:r w:rsidR="00AC2B9F" w:rsidRPr="00EB5EE3">
          <w:rPr>
            <w:rStyle w:val="a4"/>
            <w:rFonts w:ascii="Times New Roman" w:eastAsia="Calibri" w:hAnsi="Times New Roman" w:cs="Times New Roman"/>
            <w:sz w:val="24"/>
            <w:lang w:val="en-US"/>
          </w:rPr>
          <w:t>epguseva</w:t>
        </w:r>
        <w:r w:rsidR="00AC2B9F" w:rsidRPr="00EB5EE3">
          <w:rPr>
            <w:rStyle w:val="a4"/>
            <w:rFonts w:ascii="Times New Roman" w:eastAsia="Calibri" w:hAnsi="Times New Roman" w:cs="Times New Roman"/>
            <w:sz w:val="24"/>
          </w:rPr>
          <w:t>@</w:t>
        </w:r>
        <w:r w:rsidR="00AC2B9F" w:rsidRPr="00EB5EE3">
          <w:rPr>
            <w:rStyle w:val="a4"/>
            <w:rFonts w:ascii="Times New Roman" w:eastAsia="Calibri" w:hAnsi="Times New Roman" w:cs="Times New Roman"/>
            <w:sz w:val="24"/>
            <w:lang w:val="en-US"/>
          </w:rPr>
          <w:t>mail</w:t>
        </w:r>
        <w:r w:rsidR="00AC2B9F" w:rsidRPr="00EB5EE3">
          <w:rPr>
            <w:rStyle w:val="a4"/>
            <w:rFonts w:ascii="Times New Roman" w:eastAsia="Calibri" w:hAnsi="Times New Roman" w:cs="Times New Roman"/>
            <w:sz w:val="24"/>
          </w:rPr>
          <w:t>.</w:t>
        </w:r>
        <w:proofErr w:type="spellStart"/>
        <w:r w:rsidR="00AC2B9F" w:rsidRPr="00EB5EE3">
          <w:rPr>
            <w:rStyle w:val="a4"/>
            <w:rFonts w:ascii="Times New Roman" w:eastAsia="Calibri" w:hAnsi="Times New Roman" w:cs="Times New Roman"/>
            <w:sz w:val="24"/>
            <w:lang w:val="en-US"/>
          </w:rPr>
          <w:t>ru</w:t>
        </w:r>
        <w:proofErr w:type="spellEnd"/>
      </w:hyperlink>
      <w:r w:rsidR="00AC2B9F">
        <w:rPr>
          <w:rFonts w:ascii="Times New Roman" w:eastAsia="Calibri" w:hAnsi="Times New Roman" w:cs="Times New Roman"/>
          <w:sz w:val="24"/>
        </w:rPr>
        <w:t xml:space="preserve"> </w:t>
      </w:r>
      <w:r w:rsidRPr="00923717">
        <w:rPr>
          <w:rFonts w:ascii="Times New Roman" w:eastAsia="Calibri" w:hAnsi="Times New Roman" w:cs="Times New Roman"/>
          <w:sz w:val="24"/>
        </w:rPr>
        <w:t xml:space="preserve"> </w:t>
      </w:r>
      <w:r w:rsidR="002E1784" w:rsidRPr="002E1784">
        <w:rPr>
          <w:rFonts w:ascii="Times New Roman" w:eastAsia="Calibri" w:hAnsi="Times New Roman" w:cs="Times New Roman"/>
          <w:sz w:val="24"/>
        </w:rPr>
        <w:t>).</w:t>
      </w:r>
    </w:p>
    <w:p w14:paraId="09FDF2B0" w14:textId="77777777" w:rsidR="002E1784" w:rsidRPr="002E1784" w:rsidRDefault="002E1784" w:rsidP="00FA3CA3">
      <w:pPr>
        <w:spacing w:after="0" w:line="240" w:lineRule="auto"/>
        <w:ind w:firstLine="540"/>
        <w:jc w:val="right"/>
        <w:rPr>
          <w:rFonts w:ascii="Times New Roman" w:eastAsia="Calibri" w:hAnsi="Times New Roman" w:cs="Times New Roman"/>
          <w:b/>
          <w:sz w:val="24"/>
        </w:rPr>
      </w:pPr>
    </w:p>
    <w:p w14:paraId="6E53F338" w14:textId="77777777" w:rsidR="002E1784" w:rsidRPr="002427F9" w:rsidRDefault="00923717" w:rsidP="00FA3CA3">
      <w:pPr>
        <w:spacing w:after="0" w:line="240" w:lineRule="auto"/>
        <w:ind w:firstLine="540"/>
        <w:jc w:val="right"/>
        <w:rPr>
          <w:rFonts w:ascii="Times New Roman" w:eastAsia="Calibri" w:hAnsi="Times New Roman" w:cs="Times New Roman"/>
          <w:b/>
          <w:sz w:val="24"/>
          <w:lang w:val="en-US"/>
        </w:rPr>
      </w:pPr>
      <w:proofErr w:type="spellStart"/>
      <w:r>
        <w:rPr>
          <w:rFonts w:ascii="Times New Roman" w:eastAsia="Calibri" w:hAnsi="Times New Roman" w:cs="Times New Roman"/>
          <w:b/>
          <w:sz w:val="24"/>
          <w:lang w:val="en-US"/>
        </w:rPr>
        <w:t>Guseva</w:t>
      </w:r>
      <w:proofErr w:type="spellEnd"/>
      <w:r w:rsidRPr="002427F9">
        <w:rPr>
          <w:rFonts w:ascii="Times New Roman" w:eastAsia="Calibri" w:hAnsi="Times New Roman" w:cs="Times New Roman"/>
          <w:b/>
          <w:sz w:val="24"/>
          <w:lang w:val="en-US"/>
        </w:rPr>
        <w:t xml:space="preserve"> </w:t>
      </w:r>
      <w:r>
        <w:rPr>
          <w:rFonts w:ascii="Times New Roman" w:eastAsia="Calibri" w:hAnsi="Times New Roman" w:cs="Times New Roman"/>
          <w:b/>
          <w:sz w:val="24"/>
          <w:lang w:val="en-US"/>
        </w:rPr>
        <w:t>E</w:t>
      </w:r>
      <w:r w:rsidRPr="002427F9">
        <w:rPr>
          <w:rFonts w:ascii="Times New Roman" w:eastAsia="Calibri" w:hAnsi="Times New Roman" w:cs="Times New Roman"/>
          <w:b/>
          <w:sz w:val="24"/>
          <w:lang w:val="en-US"/>
        </w:rPr>
        <w:t>.</w:t>
      </w:r>
      <w:r>
        <w:rPr>
          <w:rFonts w:ascii="Times New Roman" w:eastAsia="Calibri" w:hAnsi="Times New Roman" w:cs="Times New Roman"/>
          <w:b/>
          <w:sz w:val="24"/>
          <w:lang w:val="en-US"/>
        </w:rPr>
        <w:t>P</w:t>
      </w:r>
      <w:r w:rsidRPr="002427F9">
        <w:rPr>
          <w:rFonts w:ascii="Times New Roman" w:eastAsia="Calibri" w:hAnsi="Times New Roman" w:cs="Times New Roman"/>
          <w:b/>
          <w:sz w:val="24"/>
          <w:lang w:val="en-US"/>
        </w:rPr>
        <w:t>.</w:t>
      </w:r>
      <w:r w:rsidR="002E1784" w:rsidRPr="002427F9">
        <w:rPr>
          <w:rFonts w:ascii="Times New Roman" w:eastAsia="Calibri" w:hAnsi="Times New Roman" w:cs="Times New Roman"/>
          <w:b/>
          <w:sz w:val="24"/>
          <w:lang w:val="en-US"/>
        </w:rPr>
        <w:t xml:space="preserve"> </w:t>
      </w:r>
    </w:p>
    <w:p w14:paraId="25A6AEC5" w14:textId="77777777" w:rsidR="00AC2B9F" w:rsidRPr="00AC2B9F" w:rsidRDefault="00AC2B9F" w:rsidP="00AC2B9F">
      <w:pPr>
        <w:widowControl w:val="0"/>
        <w:suppressAutoHyphens/>
        <w:spacing w:after="0" w:line="240" w:lineRule="auto"/>
        <w:jc w:val="center"/>
        <w:rPr>
          <w:rFonts w:ascii="Times New Roman" w:eastAsia="Times New Roman" w:hAnsi="Times New Roman" w:cs="Times New Roman"/>
          <w:b/>
          <w:sz w:val="24"/>
          <w:lang w:val="en-US" w:eastAsia="ru-RU"/>
        </w:rPr>
      </w:pPr>
      <w:r w:rsidRPr="00AC2B9F">
        <w:rPr>
          <w:rFonts w:ascii="Times New Roman" w:eastAsia="Times New Roman" w:hAnsi="Times New Roman" w:cs="Times New Roman"/>
          <w:b/>
          <w:sz w:val="24"/>
          <w:lang w:val="en-US" w:eastAsia="ru-RU"/>
        </w:rPr>
        <w:t xml:space="preserve">PROBLEMS AND DIRECTIONS OF DEVELOPMENT OF THE AGRICULTURAL </w:t>
      </w:r>
      <w:proofErr w:type="gramStart"/>
      <w:r w:rsidRPr="00AC2B9F">
        <w:rPr>
          <w:rFonts w:ascii="Times New Roman" w:eastAsia="Times New Roman" w:hAnsi="Times New Roman" w:cs="Times New Roman"/>
          <w:b/>
          <w:sz w:val="24"/>
          <w:lang w:val="en-US" w:eastAsia="ru-RU"/>
        </w:rPr>
        <w:t>SECTOR</w:t>
      </w:r>
      <w:r>
        <w:rPr>
          <w:rFonts w:ascii="Times New Roman" w:eastAsia="Times New Roman" w:hAnsi="Times New Roman" w:cs="Times New Roman"/>
          <w:b/>
          <w:sz w:val="24"/>
          <w:lang w:val="en-US" w:eastAsia="ru-RU"/>
        </w:rPr>
        <w:t xml:space="preserve"> </w:t>
      </w:r>
      <w:r w:rsidRPr="00AC2B9F">
        <w:rPr>
          <w:rFonts w:ascii="Times New Roman" w:eastAsia="Times New Roman" w:hAnsi="Times New Roman" w:cs="Times New Roman"/>
          <w:b/>
          <w:sz w:val="24"/>
          <w:lang w:val="en-US" w:eastAsia="ru-RU"/>
        </w:rPr>
        <w:t xml:space="preserve"> REGIONAL</w:t>
      </w:r>
      <w:proofErr w:type="gramEnd"/>
      <w:r w:rsidRPr="00AC2B9F">
        <w:rPr>
          <w:rFonts w:ascii="Times New Roman" w:eastAsia="Times New Roman" w:hAnsi="Times New Roman" w:cs="Times New Roman"/>
          <w:b/>
          <w:sz w:val="24"/>
          <w:lang w:val="en-US" w:eastAsia="ru-RU"/>
        </w:rPr>
        <w:t xml:space="preserve"> ECONOMIES</w:t>
      </w:r>
    </w:p>
    <w:p w14:paraId="068B8620" w14:textId="77777777" w:rsidR="002E1784" w:rsidRPr="00AC2B9F" w:rsidRDefault="00AC2B9F" w:rsidP="00AC2B9F">
      <w:pPr>
        <w:spacing w:after="0" w:line="240" w:lineRule="auto"/>
        <w:ind w:firstLine="709"/>
        <w:jc w:val="both"/>
        <w:rPr>
          <w:rFonts w:ascii="Times New Roman" w:eastAsia="Times New Roman" w:hAnsi="Times New Roman" w:cs="Times New Roman"/>
          <w:i/>
          <w:sz w:val="24"/>
          <w:lang w:val="en-US" w:eastAsia="ru-RU"/>
        </w:rPr>
      </w:pPr>
      <w:proofErr w:type="spellStart"/>
      <w:r w:rsidRPr="00AC2B9F">
        <w:rPr>
          <w:rFonts w:ascii="Times New Roman" w:eastAsia="Times New Roman" w:hAnsi="Times New Roman" w:cs="Times New Roman"/>
          <w:b/>
          <w:sz w:val="24"/>
          <w:lang w:val="en-US" w:eastAsia="ru-RU"/>
        </w:rPr>
        <w:t>Annotation.</w:t>
      </w:r>
      <w:r w:rsidRPr="00AC2B9F">
        <w:rPr>
          <w:rFonts w:ascii="Times New Roman" w:eastAsia="Times New Roman" w:hAnsi="Times New Roman" w:cs="Times New Roman"/>
          <w:sz w:val="24"/>
          <w:lang w:val="en-US" w:eastAsia="ru-RU"/>
        </w:rPr>
        <w:t>The</w:t>
      </w:r>
      <w:proofErr w:type="spellEnd"/>
      <w:r w:rsidRPr="00AC2B9F">
        <w:rPr>
          <w:rFonts w:ascii="Times New Roman" w:eastAsia="Times New Roman" w:hAnsi="Times New Roman" w:cs="Times New Roman"/>
          <w:sz w:val="24"/>
          <w:lang w:val="en-US" w:eastAsia="ru-RU"/>
        </w:rPr>
        <w:t xml:space="preserve"> problems of the development of the agricultural sector of the region's economy are identified based on an analysis of current trends. The main factors influencing the dynamics of agricultural production are considered. Special attention is paid to performance indicators and identification of potential development directions on this basis.</w:t>
      </w:r>
    </w:p>
    <w:p w14:paraId="31A522D6" w14:textId="77777777" w:rsidR="002E1784" w:rsidRPr="00AC2B9F" w:rsidRDefault="00AC2B9F" w:rsidP="00AC2B9F">
      <w:pPr>
        <w:spacing w:after="0" w:line="240" w:lineRule="auto"/>
        <w:ind w:firstLine="709"/>
        <w:jc w:val="both"/>
        <w:rPr>
          <w:rFonts w:ascii="Times New Roman" w:eastAsia="Times New Roman" w:hAnsi="Times New Roman" w:cs="Times New Roman"/>
          <w:i/>
          <w:sz w:val="24"/>
          <w:lang w:val="en-US" w:eastAsia="ru-RU"/>
        </w:rPr>
      </w:pPr>
      <w:r w:rsidRPr="00AC2B9F">
        <w:rPr>
          <w:rFonts w:ascii="Times New Roman" w:eastAsia="Times New Roman" w:hAnsi="Times New Roman" w:cs="Times New Roman"/>
          <w:b/>
          <w:sz w:val="24"/>
          <w:lang w:val="en-US" w:eastAsia="ru-RU"/>
        </w:rPr>
        <w:t>Keywords:</w:t>
      </w:r>
      <w:r w:rsidRPr="00AC2B9F">
        <w:rPr>
          <w:rFonts w:ascii="Times New Roman" w:eastAsia="Times New Roman" w:hAnsi="Times New Roman" w:cs="Times New Roman"/>
          <w:sz w:val="24"/>
          <w:lang w:val="en-US" w:eastAsia="ru-RU"/>
        </w:rPr>
        <w:t xml:space="preserve"> agricultural sector, agricultural </w:t>
      </w:r>
      <w:proofErr w:type="spellStart"/>
      <w:proofErr w:type="gramStart"/>
      <w:r w:rsidRPr="00AC2B9F">
        <w:rPr>
          <w:rFonts w:ascii="Times New Roman" w:eastAsia="Times New Roman" w:hAnsi="Times New Roman" w:cs="Times New Roman"/>
          <w:sz w:val="24"/>
          <w:lang w:val="en-US" w:eastAsia="ru-RU"/>
        </w:rPr>
        <w:t>production,development</w:t>
      </w:r>
      <w:proofErr w:type="spellEnd"/>
      <w:proofErr w:type="gramEnd"/>
      <w:r w:rsidRPr="00AC2B9F">
        <w:rPr>
          <w:rFonts w:ascii="Times New Roman" w:eastAsia="Times New Roman" w:hAnsi="Times New Roman" w:cs="Times New Roman"/>
          <w:sz w:val="24"/>
          <w:lang w:val="en-US" w:eastAsia="ru-RU"/>
        </w:rPr>
        <w:t xml:space="preserve"> problems, development trends, development directions.</w:t>
      </w:r>
    </w:p>
    <w:p w14:paraId="273641D6" w14:textId="77777777" w:rsidR="002E1784" w:rsidRPr="002427F9" w:rsidRDefault="002E1784" w:rsidP="00AC2B9F">
      <w:pPr>
        <w:spacing w:after="0" w:line="240" w:lineRule="auto"/>
        <w:ind w:firstLine="709"/>
        <w:jc w:val="both"/>
        <w:rPr>
          <w:rFonts w:ascii="Times New Roman" w:eastAsia="Times New Roman" w:hAnsi="Times New Roman" w:cs="Times New Roman"/>
          <w:sz w:val="24"/>
          <w:u w:val="single"/>
          <w:lang w:val="en-US" w:eastAsia="ru-RU"/>
        </w:rPr>
      </w:pPr>
    </w:p>
    <w:p w14:paraId="67887D44" w14:textId="77777777" w:rsidR="002E1784" w:rsidRDefault="002E1784" w:rsidP="00AC2B9F">
      <w:pPr>
        <w:spacing w:after="0" w:line="240" w:lineRule="auto"/>
        <w:ind w:firstLine="709"/>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Информация об авторе (-ах) на английском языке</w:t>
      </w:r>
    </w:p>
    <w:p w14:paraId="7A3A8153" w14:textId="77777777" w:rsidR="00AC2B9F" w:rsidRPr="00AC2B9F" w:rsidRDefault="00AC2B9F" w:rsidP="00AC2B9F">
      <w:pPr>
        <w:spacing w:after="0" w:line="240" w:lineRule="auto"/>
        <w:ind w:firstLine="709"/>
        <w:jc w:val="both"/>
        <w:rPr>
          <w:rFonts w:ascii="Times New Roman" w:eastAsia="Times New Roman" w:hAnsi="Times New Roman" w:cs="Times New Roman"/>
          <w:sz w:val="24"/>
          <w:lang w:val="en-US" w:eastAsia="ru-RU"/>
        </w:rPr>
      </w:pPr>
      <w:proofErr w:type="spellStart"/>
      <w:r w:rsidRPr="00AC2B9F">
        <w:rPr>
          <w:rFonts w:ascii="Times New Roman" w:eastAsia="Times New Roman" w:hAnsi="Times New Roman" w:cs="Times New Roman"/>
          <w:sz w:val="24"/>
          <w:lang w:val="en-US" w:eastAsia="ru-RU"/>
        </w:rPr>
        <w:t>Guseva</w:t>
      </w:r>
      <w:proofErr w:type="spellEnd"/>
      <w:r w:rsidRPr="00AC2B9F">
        <w:rPr>
          <w:rFonts w:ascii="Times New Roman" w:eastAsia="Times New Roman" w:hAnsi="Times New Roman" w:cs="Times New Roman"/>
          <w:sz w:val="24"/>
          <w:lang w:val="en-US" w:eastAsia="ru-RU"/>
        </w:rPr>
        <w:t xml:space="preserve"> Elena Petrovna (Russia, Orenburg) – Researcher, Orenburg Branch of the Federal State Budgetary Institution of Science, Institute of Economics, Ural Branch of the Russian Academy of Sciences (460000, Orenburg, </w:t>
      </w:r>
      <w:proofErr w:type="spellStart"/>
      <w:r w:rsidRPr="00AC2B9F">
        <w:rPr>
          <w:rFonts w:ascii="Times New Roman" w:eastAsia="Times New Roman" w:hAnsi="Times New Roman" w:cs="Times New Roman"/>
          <w:sz w:val="24"/>
          <w:lang w:val="en-US" w:eastAsia="ru-RU"/>
        </w:rPr>
        <w:t>Pionerskaya</w:t>
      </w:r>
      <w:proofErr w:type="spellEnd"/>
      <w:r w:rsidRPr="00AC2B9F">
        <w:rPr>
          <w:rFonts w:ascii="Times New Roman" w:eastAsia="Times New Roman" w:hAnsi="Times New Roman" w:cs="Times New Roman"/>
          <w:sz w:val="24"/>
          <w:lang w:val="en-US" w:eastAsia="ru-RU"/>
        </w:rPr>
        <w:t xml:space="preserve"> str., 11. </w:t>
      </w:r>
      <w:proofErr w:type="gramStart"/>
      <w:r w:rsidRPr="00AC2B9F">
        <w:rPr>
          <w:rFonts w:ascii="Times New Roman" w:eastAsia="Times New Roman" w:hAnsi="Times New Roman" w:cs="Times New Roman"/>
          <w:sz w:val="24"/>
          <w:lang w:val="en-US" w:eastAsia="ru-RU"/>
        </w:rPr>
        <w:t>epguseva@mail.ru )</w:t>
      </w:r>
      <w:proofErr w:type="gramEnd"/>
      <w:r w:rsidRPr="00AC2B9F">
        <w:rPr>
          <w:rFonts w:ascii="Times New Roman" w:eastAsia="Times New Roman" w:hAnsi="Times New Roman" w:cs="Times New Roman"/>
          <w:sz w:val="24"/>
          <w:lang w:val="en-US" w:eastAsia="ru-RU"/>
        </w:rPr>
        <w:t>.</w:t>
      </w:r>
    </w:p>
    <w:p w14:paraId="31805560" w14:textId="77777777" w:rsidR="002E1784" w:rsidRPr="002427F9" w:rsidRDefault="002E1784" w:rsidP="00FA3CA3">
      <w:pPr>
        <w:spacing w:after="0" w:line="240" w:lineRule="auto"/>
        <w:ind w:firstLine="540"/>
        <w:jc w:val="both"/>
        <w:rPr>
          <w:rFonts w:ascii="Times New Roman" w:eastAsia="Times New Roman" w:hAnsi="Times New Roman" w:cs="Times New Roman"/>
          <w:sz w:val="24"/>
          <w:u w:val="single"/>
          <w:lang w:val="en-US" w:eastAsia="ru-RU"/>
        </w:rPr>
      </w:pPr>
    </w:p>
    <w:p w14:paraId="2358000B" w14:textId="77777777" w:rsidR="002E1784" w:rsidRPr="00AC2B9F" w:rsidRDefault="002E1784" w:rsidP="00FA3CA3">
      <w:pPr>
        <w:spacing w:after="0" w:line="240" w:lineRule="auto"/>
        <w:ind w:firstLine="540"/>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w:t>
      </w:r>
      <w:r w:rsidRPr="00AC2B9F">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список</w:t>
      </w:r>
      <w:r w:rsidRPr="00AC2B9F">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AC2B9F">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AC2B9F">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p>
    <w:p w14:paraId="02067A5F" w14:textId="77777777" w:rsidR="00AC2B9F" w:rsidRPr="00AC2B9F" w:rsidRDefault="00AC2B9F" w:rsidP="00AC2B9F">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AC2B9F">
        <w:rPr>
          <w:rFonts w:ascii="Times New Roman" w:eastAsia="Times New Roman" w:hAnsi="Times New Roman" w:cs="Times New Roman"/>
          <w:sz w:val="24"/>
          <w:lang w:val="en-US" w:eastAsia="ru-RU"/>
        </w:rPr>
        <w:t xml:space="preserve">1. Semin, A. N. Organizational and economic mechanisms of adaptation of the rural population in the context of the transition of agriculture to dynamic development / A. N. Semin // </w:t>
      </w:r>
      <w:r w:rsidRPr="00AC2B9F">
        <w:rPr>
          <w:rFonts w:ascii="Times New Roman" w:eastAsia="Times New Roman" w:hAnsi="Times New Roman" w:cs="Times New Roman"/>
          <w:sz w:val="24"/>
          <w:lang w:val="en-US" w:eastAsia="ru-RU"/>
        </w:rPr>
        <w:lastRenderedPageBreak/>
        <w:t>The economics of agriculture in Russia. – 2020. – No. 8. – pp. 2-10. – DOI 10.32651/208-2. – EDN LLCSLN.</w:t>
      </w:r>
    </w:p>
    <w:p w14:paraId="4D912FDB" w14:textId="77777777" w:rsidR="00AC2B9F" w:rsidRPr="00AC2B9F" w:rsidRDefault="00AC2B9F" w:rsidP="00AC2B9F">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AC2B9F">
        <w:rPr>
          <w:rFonts w:ascii="Times New Roman" w:eastAsia="Times New Roman" w:hAnsi="Times New Roman" w:cs="Times New Roman"/>
          <w:sz w:val="24"/>
          <w:lang w:val="en-US" w:eastAsia="ru-RU"/>
        </w:rPr>
        <w:t xml:space="preserve">2. </w:t>
      </w:r>
      <w:proofErr w:type="spellStart"/>
      <w:r w:rsidRPr="00AC2B9F">
        <w:rPr>
          <w:rFonts w:ascii="Times New Roman" w:eastAsia="Times New Roman" w:hAnsi="Times New Roman" w:cs="Times New Roman"/>
          <w:sz w:val="24"/>
          <w:lang w:val="en-US" w:eastAsia="ru-RU"/>
        </w:rPr>
        <w:t>Guseva</w:t>
      </w:r>
      <w:proofErr w:type="spellEnd"/>
      <w:r w:rsidRPr="00AC2B9F">
        <w:rPr>
          <w:rFonts w:ascii="Times New Roman" w:eastAsia="Times New Roman" w:hAnsi="Times New Roman" w:cs="Times New Roman"/>
          <w:sz w:val="24"/>
          <w:lang w:val="en-US" w:eastAsia="ru-RU"/>
        </w:rPr>
        <w:t xml:space="preserve">, E. P. Methodology for assessing the use of potential production opportunities in agricultural areas // </w:t>
      </w:r>
      <w:proofErr w:type="spellStart"/>
      <w:r w:rsidRPr="00AC2B9F">
        <w:rPr>
          <w:rFonts w:ascii="Times New Roman" w:eastAsia="Times New Roman" w:hAnsi="Times New Roman" w:cs="Times New Roman"/>
          <w:sz w:val="24"/>
          <w:lang w:val="en-US" w:eastAsia="ru-RU"/>
        </w:rPr>
        <w:t>Drukerovsky</w:t>
      </w:r>
      <w:proofErr w:type="spellEnd"/>
      <w:r w:rsidRPr="00AC2B9F">
        <w:rPr>
          <w:rFonts w:ascii="Times New Roman" w:eastAsia="Times New Roman" w:hAnsi="Times New Roman" w:cs="Times New Roman"/>
          <w:sz w:val="24"/>
          <w:lang w:val="en-US" w:eastAsia="ru-RU"/>
        </w:rPr>
        <w:t xml:space="preserve"> bulletin. – 2021. – № 2(40). – Pp. 129-142. – DOI 10.17213/2312-6469-2021-2-129-142. – EDN ZCIXKW.</w:t>
      </w:r>
    </w:p>
    <w:p w14:paraId="55E5B7E1" w14:textId="77777777" w:rsidR="00AC2B9F" w:rsidRPr="00AC2B9F" w:rsidRDefault="00AC2B9F" w:rsidP="00AC2B9F">
      <w:pPr>
        <w:widowControl w:val="0"/>
        <w:suppressAutoHyphens/>
        <w:spacing w:after="0" w:line="240" w:lineRule="auto"/>
        <w:ind w:firstLine="709"/>
        <w:jc w:val="both"/>
        <w:rPr>
          <w:rFonts w:ascii="Times New Roman" w:eastAsia="Times New Roman" w:hAnsi="Times New Roman" w:cs="Times New Roman"/>
          <w:sz w:val="24"/>
          <w:lang w:val="en-US" w:eastAsia="ru-RU"/>
        </w:rPr>
      </w:pPr>
      <w:r>
        <w:rPr>
          <w:rFonts w:ascii="Times New Roman" w:eastAsia="Times New Roman" w:hAnsi="Times New Roman" w:cs="Times New Roman"/>
          <w:sz w:val="24"/>
          <w:lang w:val="en-US" w:eastAsia="ru-RU"/>
        </w:rPr>
        <w:t>3.</w:t>
      </w:r>
      <w:r w:rsidRPr="00AC2B9F">
        <w:rPr>
          <w:rFonts w:ascii="Times New Roman" w:eastAsia="Times New Roman" w:hAnsi="Times New Roman" w:cs="Times New Roman"/>
          <w:sz w:val="24"/>
          <w:lang w:val="en-US" w:eastAsia="ru-RU"/>
        </w:rPr>
        <w:t xml:space="preserve"> </w:t>
      </w:r>
      <w:proofErr w:type="spellStart"/>
      <w:r w:rsidRPr="00AC2B9F">
        <w:rPr>
          <w:rFonts w:ascii="Times New Roman" w:eastAsia="Times New Roman" w:hAnsi="Times New Roman" w:cs="Times New Roman"/>
          <w:sz w:val="24"/>
          <w:lang w:val="en-US" w:eastAsia="ru-RU"/>
        </w:rPr>
        <w:t>Ermakova</w:t>
      </w:r>
      <w:proofErr w:type="spellEnd"/>
      <w:r w:rsidRPr="00AC2B9F">
        <w:rPr>
          <w:rFonts w:ascii="Times New Roman" w:eastAsia="Times New Roman" w:hAnsi="Times New Roman" w:cs="Times New Roman"/>
          <w:sz w:val="24"/>
          <w:lang w:val="en-US" w:eastAsia="ru-RU"/>
        </w:rPr>
        <w:t xml:space="preserve"> </w:t>
      </w:r>
      <w:proofErr w:type="gramStart"/>
      <w:r w:rsidRPr="00AC2B9F">
        <w:rPr>
          <w:rFonts w:ascii="Times New Roman" w:eastAsia="Times New Roman" w:hAnsi="Times New Roman" w:cs="Times New Roman"/>
          <w:sz w:val="24"/>
          <w:lang w:val="en-US" w:eastAsia="ru-RU"/>
        </w:rPr>
        <w:t>Z. ,</w:t>
      </w:r>
      <w:proofErr w:type="gramEnd"/>
      <w:r w:rsidRPr="00AC2B9F">
        <w:rPr>
          <w:rFonts w:ascii="Times New Roman" w:eastAsia="Times New Roman" w:hAnsi="Times New Roman" w:cs="Times New Roman"/>
          <w:sz w:val="24"/>
          <w:lang w:val="en-US" w:eastAsia="ru-RU"/>
        </w:rPr>
        <w:t xml:space="preserve"> </w:t>
      </w:r>
      <w:proofErr w:type="spellStart"/>
      <w:r w:rsidRPr="00AC2B9F">
        <w:rPr>
          <w:rFonts w:ascii="Times New Roman" w:eastAsia="Times New Roman" w:hAnsi="Times New Roman" w:cs="Times New Roman"/>
          <w:sz w:val="24"/>
          <w:lang w:val="en-US" w:eastAsia="ru-RU"/>
        </w:rPr>
        <w:t>Speshilova</w:t>
      </w:r>
      <w:proofErr w:type="spellEnd"/>
      <w:r w:rsidRPr="00AC2B9F">
        <w:rPr>
          <w:rFonts w:ascii="Times New Roman" w:eastAsia="Times New Roman" w:hAnsi="Times New Roman" w:cs="Times New Roman"/>
          <w:sz w:val="24"/>
          <w:lang w:val="en-US" w:eastAsia="ru-RU"/>
        </w:rPr>
        <w:t xml:space="preserve"> N. , </w:t>
      </w:r>
      <w:proofErr w:type="spellStart"/>
      <w:r w:rsidRPr="00AC2B9F">
        <w:rPr>
          <w:rFonts w:ascii="Times New Roman" w:eastAsia="Times New Roman" w:hAnsi="Times New Roman" w:cs="Times New Roman"/>
          <w:sz w:val="24"/>
          <w:lang w:val="en-US" w:eastAsia="ru-RU"/>
        </w:rPr>
        <w:t>Guseva</w:t>
      </w:r>
      <w:proofErr w:type="spellEnd"/>
      <w:r w:rsidRPr="00AC2B9F">
        <w:rPr>
          <w:rFonts w:ascii="Times New Roman" w:eastAsia="Times New Roman" w:hAnsi="Times New Roman" w:cs="Times New Roman"/>
          <w:sz w:val="24"/>
          <w:lang w:val="en-US" w:eastAsia="ru-RU"/>
        </w:rPr>
        <w:t xml:space="preserve"> E. Assessment of the influence of technical equipment factors on the volume of production in organizations of the regional economic system BIO Web of Conferences. 2024. V.139. 14009:1-13. DOI: 10.1051/</w:t>
      </w:r>
      <w:proofErr w:type="spellStart"/>
      <w:r w:rsidRPr="00AC2B9F">
        <w:rPr>
          <w:rFonts w:ascii="Times New Roman" w:eastAsia="Times New Roman" w:hAnsi="Times New Roman" w:cs="Times New Roman"/>
          <w:sz w:val="24"/>
          <w:lang w:val="en-US" w:eastAsia="ru-RU"/>
        </w:rPr>
        <w:t>bioconf</w:t>
      </w:r>
      <w:proofErr w:type="spellEnd"/>
      <w:r w:rsidRPr="00AC2B9F">
        <w:rPr>
          <w:rFonts w:ascii="Times New Roman" w:eastAsia="Times New Roman" w:hAnsi="Times New Roman" w:cs="Times New Roman"/>
          <w:sz w:val="24"/>
          <w:lang w:val="en-US" w:eastAsia="ru-RU"/>
        </w:rPr>
        <w:t>/202413914009</w:t>
      </w:r>
    </w:p>
    <w:p w14:paraId="68CC22FB" w14:textId="77777777" w:rsidR="00AC2B9F" w:rsidRPr="00AC2B9F" w:rsidRDefault="00AC2B9F" w:rsidP="00AC2B9F">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AC2B9F">
        <w:rPr>
          <w:rFonts w:ascii="Times New Roman" w:eastAsia="Times New Roman" w:hAnsi="Times New Roman" w:cs="Times New Roman"/>
          <w:sz w:val="24"/>
          <w:lang w:val="en-US" w:eastAsia="ru-RU"/>
        </w:rPr>
        <w:t xml:space="preserve">4. </w:t>
      </w:r>
      <w:proofErr w:type="spellStart"/>
      <w:r w:rsidRPr="00AC2B9F">
        <w:rPr>
          <w:rFonts w:ascii="Times New Roman" w:eastAsia="Times New Roman" w:hAnsi="Times New Roman" w:cs="Times New Roman"/>
          <w:sz w:val="24"/>
          <w:lang w:val="en-US" w:eastAsia="ru-RU"/>
        </w:rPr>
        <w:t>Zhilyakov</w:t>
      </w:r>
      <w:proofErr w:type="spellEnd"/>
      <w:r w:rsidRPr="00AC2B9F">
        <w:rPr>
          <w:rFonts w:ascii="Times New Roman" w:eastAsia="Times New Roman" w:hAnsi="Times New Roman" w:cs="Times New Roman"/>
          <w:sz w:val="24"/>
          <w:lang w:val="en-US" w:eastAsia="ru-RU"/>
        </w:rPr>
        <w:t xml:space="preserve">, D. I., </w:t>
      </w:r>
      <w:proofErr w:type="spellStart"/>
      <w:r w:rsidRPr="00AC2B9F">
        <w:rPr>
          <w:rFonts w:ascii="Times New Roman" w:eastAsia="Times New Roman" w:hAnsi="Times New Roman" w:cs="Times New Roman"/>
          <w:sz w:val="24"/>
          <w:lang w:val="en-US" w:eastAsia="ru-RU"/>
        </w:rPr>
        <w:t>Fomin</w:t>
      </w:r>
      <w:proofErr w:type="spellEnd"/>
      <w:r w:rsidRPr="00AC2B9F">
        <w:rPr>
          <w:rFonts w:ascii="Times New Roman" w:eastAsia="Times New Roman" w:hAnsi="Times New Roman" w:cs="Times New Roman"/>
          <w:sz w:val="24"/>
          <w:lang w:val="en-US" w:eastAsia="ru-RU"/>
        </w:rPr>
        <w:t xml:space="preserve">, O. S., </w:t>
      </w:r>
      <w:proofErr w:type="spellStart"/>
      <w:r w:rsidRPr="00AC2B9F">
        <w:rPr>
          <w:rFonts w:ascii="Times New Roman" w:eastAsia="Times New Roman" w:hAnsi="Times New Roman" w:cs="Times New Roman"/>
          <w:sz w:val="24"/>
          <w:lang w:val="en-US" w:eastAsia="ru-RU"/>
        </w:rPr>
        <w:t>Solovyova</w:t>
      </w:r>
      <w:proofErr w:type="spellEnd"/>
      <w:r w:rsidRPr="00AC2B9F">
        <w:rPr>
          <w:rFonts w:ascii="Times New Roman" w:eastAsia="Times New Roman" w:hAnsi="Times New Roman" w:cs="Times New Roman"/>
          <w:sz w:val="24"/>
          <w:lang w:val="en-US" w:eastAsia="ru-RU"/>
        </w:rPr>
        <w:t>, T. N. Ensuring food security of the Russian Federation based on the development of agriculture // Bulletin of the Kursk State Agricultural Academy. – 2022. – No. 9. – pp. 153-159. – EDN IJKCWZ.</w:t>
      </w:r>
    </w:p>
    <w:p w14:paraId="7A66D4C4" w14:textId="77777777" w:rsidR="00AC2B9F" w:rsidRPr="00AC2B9F" w:rsidRDefault="00AC2B9F" w:rsidP="00AC2B9F">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AC2B9F">
        <w:rPr>
          <w:rFonts w:ascii="Times New Roman" w:eastAsia="Times New Roman" w:hAnsi="Times New Roman" w:cs="Times New Roman"/>
          <w:sz w:val="24"/>
          <w:lang w:val="en-US" w:eastAsia="ru-RU"/>
        </w:rPr>
        <w:t xml:space="preserve">5. </w:t>
      </w:r>
      <w:proofErr w:type="spellStart"/>
      <w:r w:rsidRPr="00AC2B9F">
        <w:rPr>
          <w:rFonts w:ascii="Times New Roman" w:eastAsia="Times New Roman" w:hAnsi="Times New Roman" w:cs="Times New Roman"/>
          <w:sz w:val="24"/>
          <w:lang w:val="en-US" w:eastAsia="ru-RU"/>
        </w:rPr>
        <w:t>Tikhutova</w:t>
      </w:r>
      <w:proofErr w:type="spellEnd"/>
      <w:r w:rsidRPr="00AC2B9F">
        <w:rPr>
          <w:rFonts w:ascii="Times New Roman" w:eastAsia="Times New Roman" w:hAnsi="Times New Roman" w:cs="Times New Roman"/>
          <w:sz w:val="24"/>
          <w:lang w:val="en-US" w:eastAsia="ru-RU"/>
        </w:rPr>
        <w:t xml:space="preserve">, A. N. The role of national projects in solving the problems of socio-economic development of the country //International Scientific and Technical Conference of Young Scientists of BSTU named after V. G. </w:t>
      </w:r>
      <w:proofErr w:type="spellStart"/>
      <w:r w:rsidRPr="00AC2B9F">
        <w:rPr>
          <w:rFonts w:ascii="Times New Roman" w:eastAsia="Times New Roman" w:hAnsi="Times New Roman" w:cs="Times New Roman"/>
          <w:sz w:val="24"/>
          <w:lang w:val="en-US" w:eastAsia="ru-RU"/>
        </w:rPr>
        <w:t>Shukhov</w:t>
      </w:r>
      <w:proofErr w:type="spellEnd"/>
      <w:r w:rsidRPr="00AC2B9F">
        <w:rPr>
          <w:rFonts w:ascii="Times New Roman" w:eastAsia="Times New Roman" w:hAnsi="Times New Roman" w:cs="Times New Roman"/>
          <w:sz w:val="24"/>
          <w:lang w:val="en-US" w:eastAsia="ru-RU"/>
        </w:rPr>
        <w:t>, dedicated to the 170th anniversary of his birth. – 2023. – p. 1010.</w:t>
      </w:r>
    </w:p>
    <w:p w14:paraId="55FD5E62" w14:textId="77777777" w:rsidR="00AC2B9F" w:rsidRPr="00AC2B9F" w:rsidRDefault="00AC2B9F" w:rsidP="00AC2B9F">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AC2B9F">
        <w:rPr>
          <w:rFonts w:ascii="Times New Roman" w:eastAsia="Times New Roman" w:hAnsi="Times New Roman" w:cs="Times New Roman"/>
          <w:sz w:val="24"/>
          <w:lang w:val="en-US" w:eastAsia="ru-RU"/>
        </w:rPr>
        <w:t xml:space="preserve">6. </w:t>
      </w:r>
      <w:proofErr w:type="spellStart"/>
      <w:r w:rsidRPr="00AC2B9F">
        <w:rPr>
          <w:rFonts w:ascii="Times New Roman" w:eastAsia="Times New Roman" w:hAnsi="Times New Roman" w:cs="Times New Roman"/>
          <w:sz w:val="24"/>
          <w:lang w:val="en-US" w:eastAsia="ru-RU"/>
        </w:rPr>
        <w:t>Suslov</w:t>
      </w:r>
      <w:proofErr w:type="spellEnd"/>
      <w:r w:rsidRPr="00AC2B9F">
        <w:rPr>
          <w:rFonts w:ascii="Times New Roman" w:eastAsia="Times New Roman" w:hAnsi="Times New Roman" w:cs="Times New Roman"/>
          <w:sz w:val="24"/>
          <w:lang w:val="en-US" w:eastAsia="ru-RU"/>
        </w:rPr>
        <w:t xml:space="preserve">, S. A. Assessment of modern achievements of agricultural production in the context of historical records / S. A. </w:t>
      </w:r>
      <w:proofErr w:type="spellStart"/>
      <w:r w:rsidRPr="00AC2B9F">
        <w:rPr>
          <w:rFonts w:ascii="Times New Roman" w:eastAsia="Times New Roman" w:hAnsi="Times New Roman" w:cs="Times New Roman"/>
          <w:sz w:val="24"/>
          <w:lang w:val="en-US" w:eastAsia="ru-RU"/>
        </w:rPr>
        <w:t>Suslov</w:t>
      </w:r>
      <w:proofErr w:type="spellEnd"/>
      <w:r w:rsidRPr="00AC2B9F">
        <w:rPr>
          <w:rFonts w:ascii="Times New Roman" w:eastAsia="Times New Roman" w:hAnsi="Times New Roman" w:cs="Times New Roman"/>
          <w:sz w:val="24"/>
          <w:lang w:val="en-US" w:eastAsia="ru-RU"/>
        </w:rPr>
        <w:t xml:space="preserve">, I. N. </w:t>
      </w:r>
      <w:proofErr w:type="spellStart"/>
      <w:r w:rsidRPr="00AC2B9F">
        <w:rPr>
          <w:rFonts w:ascii="Times New Roman" w:eastAsia="Times New Roman" w:hAnsi="Times New Roman" w:cs="Times New Roman"/>
          <w:sz w:val="24"/>
          <w:lang w:val="en-US" w:eastAsia="ru-RU"/>
        </w:rPr>
        <w:t>Norenkov</w:t>
      </w:r>
      <w:proofErr w:type="spellEnd"/>
      <w:r w:rsidRPr="00AC2B9F">
        <w:rPr>
          <w:rFonts w:ascii="Times New Roman" w:eastAsia="Times New Roman" w:hAnsi="Times New Roman" w:cs="Times New Roman"/>
          <w:sz w:val="24"/>
          <w:lang w:val="en-US" w:eastAsia="ru-RU"/>
        </w:rPr>
        <w:t xml:space="preserve">, E. V. </w:t>
      </w:r>
      <w:proofErr w:type="spellStart"/>
      <w:r w:rsidRPr="00AC2B9F">
        <w:rPr>
          <w:rFonts w:ascii="Times New Roman" w:eastAsia="Times New Roman" w:hAnsi="Times New Roman" w:cs="Times New Roman"/>
          <w:sz w:val="24"/>
          <w:lang w:val="en-US" w:eastAsia="ru-RU"/>
        </w:rPr>
        <w:t>Skripkina</w:t>
      </w:r>
      <w:proofErr w:type="spellEnd"/>
      <w:r w:rsidRPr="00AC2B9F">
        <w:rPr>
          <w:rFonts w:ascii="Times New Roman" w:eastAsia="Times New Roman" w:hAnsi="Times New Roman" w:cs="Times New Roman"/>
          <w:sz w:val="24"/>
          <w:lang w:val="en-US" w:eastAsia="ru-RU"/>
        </w:rPr>
        <w:t xml:space="preserve"> // Bulletin of the NGIEI. – 2024. – № 12(163). – Pp. 101-112. – DOI 10.24412/2227-9407-2024-12-101-112. – EDN LGXAWI.</w:t>
      </w:r>
    </w:p>
    <w:p w14:paraId="741AC71D" w14:textId="77777777" w:rsidR="00AC2B9F" w:rsidRPr="00AC2B9F" w:rsidRDefault="00AC2B9F" w:rsidP="00AC2B9F">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AC2B9F">
        <w:rPr>
          <w:rFonts w:ascii="Times New Roman" w:eastAsia="Times New Roman" w:hAnsi="Times New Roman" w:cs="Times New Roman"/>
          <w:sz w:val="24"/>
          <w:lang w:val="en-US" w:eastAsia="ru-RU"/>
        </w:rPr>
        <w:t xml:space="preserve">7. </w:t>
      </w:r>
      <w:proofErr w:type="spellStart"/>
      <w:r w:rsidRPr="00AC2B9F">
        <w:rPr>
          <w:rFonts w:ascii="Times New Roman" w:eastAsia="Times New Roman" w:hAnsi="Times New Roman" w:cs="Times New Roman"/>
          <w:sz w:val="24"/>
          <w:lang w:val="en-US" w:eastAsia="ru-RU"/>
        </w:rPr>
        <w:t>Zakshevsky</w:t>
      </w:r>
      <w:proofErr w:type="spellEnd"/>
      <w:r w:rsidRPr="00AC2B9F">
        <w:rPr>
          <w:rFonts w:ascii="Times New Roman" w:eastAsia="Times New Roman" w:hAnsi="Times New Roman" w:cs="Times New Roman"/>
          <w:sz w:val="24"/>
          <w:lang w:val="en-US" w:eastAsia="ru-RU"/>
        </w:rPr>
        <w:t>, V. G. and others. Russia's Food Independence: current state, security risks, promising trends //Food policy and security. – 2023. – Vol. 10. – No. 1. – p. 9.</w:t>
      </w:r>
    </w:p>
    <w:p w14:paraId="4255AADB" w14:textId="77777777" w:rsidR="002E1784" w:rsidRPr="00AC2B9F" w:rsidRDefault="00AC2B9F" w:rsidP="00AC2B9F">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AC2B9F">
        <w:rPr>
          <w:rFonts w:ascii="Times New Roman" w:eastAsia="Times New Roman" w:hAnsi="Times New Roman" w:cs="Times New Roman"/>
          <w:sz w:val="24"/>
          <w:lang w:val="en-US" w:eastAsia="ru-RU"/>
        </w:rPr>
        <w:t xml:space="preserve">8. </w:t>
      </w:r>
      <w:proofErr w:type="spellStart"/>
      <w:r w:rsidRPr="00AC2B9F">
        <w:rPr>
          <w:rFonts w:ascii="Times New Roman" w:eastAsia="Times New Roman" w:hAnsi="Times New Roman" w:cs="Times New Roman"/>
          <w:sz w:val="24"/>
          <w:lang w:val="en-US" w:eastAsia="ru-RU"/>
        </w:rPr>
        <w:t>Shibzukhov</w:t>
      </w:r>
      <w:proofErr w:type="spellEnd"/>
      <w:r w:rsidRPr="00AC2B9F">
        <w:rPr>
          <w:rFonts w:ascii="Times New Roman" w:eastAsia="Times New Roman" w:hAnsi="Times New Roman" w:cs="Times New Roman"/>
          <w:sz w:val="24"/>
          <w:lang w:val="en-US" w:eastAsia="ru-RU"/>
        </w:rPr>
        <w:t xml:space="preserve"> Z. G. S. et al. Russia's agro-industrial complex: issues of integrated development and import substitution under sanctions pressure //Industrial economy. - 2023. – No. 3. – pp. 76-84.</w:t>
      </w:r>
    </w:p>
    <w:sectPr w:rsidR="002E1784" w:rsidRPr="00AC2B9F" w:rsidSect="00FA3CA3">
      <w:pgSz w:w="11906" w:h="16838"/>
      <w:pgMar w:top="1134" w:right="1134" w:bottom="1134" w:left="1134"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Гусевы" w:date="2025-05-18T21:38:00Z" w:initials="Г">
    <w:p w14:paraId="0B71D4DB" w14:textId="77777777" w:rsidR="00FA3CA3" w:rsidRDefault="00FA3CA3">
      <w:pPr>
        <w:pStyle w:val="a6"/>
      </w:pPr>
      <w:r>
        <w:rPr>
          <w:rStyle w:val="a5"/>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B71D4D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B71D4DB" w16cid:durableId="2BD56D4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7D78B4" w14:textId="77777777" w:rsidR="00B70063" w:rsidRDefault="00B70063" w:rsidP="00827E82">
      <w:pPr>
        <w:spacing w:after="0" w:line="240" w:lineRule="auto"/>
      </w:pPr>
      <w:r>
        <w:separator/>
      </w:r>
    </w:p>
  </w:endnote>
  <w:endnote w:type="continuationSeparator" w:id="0">
    <w:p w14:paraId="1DA669F7" w14:textId="77777777" w:rsidR="00B70063" w:rsidRDefault="00B70063"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272E2F" w14:textId="77777777" w:rsidR="00B70063" w:rsidRDefault="00B70063" w:rsidP="00827E82">
      <w:pPr>
        <w:spacing w:after="0" w:line="240" w:lineRule="auto"/>
      </w:pPr>
      <w:r>
        <w:separator/>
      </w:r>
    </w:p>
  </w:footnote>
  <w:footnote w:type="continuationSeparator" w:id="0">
    <w:p w14:paraId="0172B5DA" w14:textId="77777777" w:rsidR="00B70063" w:rsidRDefault="00B70063"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FD189A"/>
    <w:multiLevelType w:val="hybridMultilevel"/>
    <w:tmpl w:val="751E5E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6807A65"/>
    <w:multiLevelType w:val="hybridMultilevel"/>
    <w:tmpl w:val="AFC6D40E"/>
    <w:lvl w:ilvl="0" w:tplc="C1DCB1FC">
      <w:start w:val="1"/>
      <w:numFmt w:val="decimal"/>
      <w:lvlText w:val="%1."/>
      <w:lvlJc w:val="left"/>
      <w:pPr>
        <w:ind w:left="1538" w:hanging="708"/>
      </w:pPr>
      <w:rPr>
        <w:rFonts w:ascii="Times New Roman" w:eastAsia="Times New Roman" w:hAnsi="Times New Roman" w:cs="Times New Roman" w:hint="default"/>
        <w:w w:val="100"/>
        <w:sz w:val="24"/>
        <w:szCs w:val="24"/>
        <w:lang w:val="ru-RU" w:eastAsia="en-US" w:bidi="ar-SA"/>
      </w:rPr>
    </w:lvl>
    <w:lvl w:ilvl="1" w:tplc="91365DEC">
      <w:numFmt w:val="bullet"/>
      <w:lvlText w:val="•"/>
      <w:lvlJc w:val="left"/>
      <w:pPr>
        <w:ind w:left="2372" w:hanging="708"/>
      </w:pPr>
      <w:rPr>
        <w:rFonts w:hint="default"/>
        <w:lang w:val="ru-RU" w:eastAsia="en-US" w:bidi="ar-SA"/>
      </w:rPr>
    </w:lvl>
    <w:lvl w:ilvl="2" w:tplc="C4EC4142">
      <w:numFmt w:val="bullet"/>
      <w:lvlText w:val="•"/>
      <w:lvlJc w:val="left"/>
      <w:pPr>
        <w:ind w:left="3205" w:hanging="708"/>
      </w:pPr>
      <w:rPr>
        <w:rFonts w:hint="default"/>
        <w:lang w:val="ru-RU" w:eastAsia="en-US" w:bidi="ar-SA"/>
      </w:rPr>
    </w:lvl>
    <w:lvl w:ilvl="3" w:tplc="093A3382">
      <w:numFmt w:val="bullet"/>
      <w:lvlText w:val="•"/>
      <w:lvlJc w:val="left"/>
      <w:pPr>
        <w:ind w:left="4037" w:hanging="708"/>
      </w:pPr>
      <w:rPr>
        <w:rFonts w:hint="default"/>
        <w:lang w:val="ru-RU" w:eastAsia="en-US" w:bidi="ar-SA"/>
      </w:rPr>
    </w:lvl>
    <w:lvl w:ilvl="4" w:tplc="83AA7D36">
      <w:numFmt w:val="bullet"/>
      <w:lvlText w:val="•"/>
      <w:lvlJc w:val="left"/>
      <w:pPr>
        <w:ind w:left="4870" w:hanging="708"/>
      </w:pPr>
      <w:rPr>
        <w:rFonts w:hint="default"/>
        <w:lang w:val="ru-RU" w:eastAsia="en-US" w:bidi="ar-SA"/>
      </w:rPr>
    </w:lvl>
    <w:lvl w:ilvl="5" w:tplc="EFA8C2B6">
      <w:numFmt w:val="bullet"/>
      <w:lvlText w:val="•"/>
      <w:lvlJc w:val="left"/>
      <w:pPr>
        <w:ind w:left="5703" w:hanging="708"/>
      </w:pPr>
      <w:rPr>
        <w:rFonts w:hint="default"/>
        <w:lang w:val="ru-RU" w:eastAsia="en-US" w:bidi="ar-SA"/>
      </w:rPr>
    </w:lvl>
    <w:lvl w:ilvl="6" w:tplc="57C47234">
      <w:numFmt w:val="bullet"/>
      <w:lvlText w:val="•"/>
      <w:lvlJc w:val="left"/>
      <w:pPr>
        <w:ind w:left="6535" w:hanging="708"/>
      </w:pPr>
      <w:rPr>
        <w:rFonts w:hint="default"/>
        <w:lang w:val="ru-RU" w:eastAsia="en-US" w:bidi="ar-SA"/>
      </w:rPr>
    </w:lvl>
    <w:lvl w:ilvl="7" w:tplc="AC6A0758">
      <w:numFmt w:val="bullet"/>
      <w:lvlText w:val="•"/>
      <w:lvlJc w:val="left"/>
      <w:pPr>
        <w:ind w:left="7368" w:hanging="708"/>
      </w:pPr>
      <w:rPr>
        <w:rFonts w:hint="default"/>
        <w:lang w:val="ru-RU" w:eastAsia="en-US" w:bidi="ar-SA"/>
      </w:rPr>
    </w:lvl>
    <w:lvl w:ilvl="8" w:tplc="2E365B92">
      <w:numFmt w:val="bullet"/>
      <w:lvlText w:val="•"/>
      <w:lvlJc w:val="left"/>
      <w:pPr>
        <w:ind w:left="8201" w:hanging="708"/>
      </w:pPr>
      <w:rPr>
        <w:rFonts w:hint="default"/>
        <w:lang w:val="ru-RU" w:eastAsia="en-US" w:bidi="ar-SA"/>
      </w:rPr>
    </w:lvl>
  </w:abstractNum>
  <w:num w:numId="1">
    <w:abstractNumId w:val="1"/>
  </w:num>
  <w:num w:numId="2">
    <w:abstractNumId w:val="0"/>
  </w:num>
  <w:num w:numId="3">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Гусевы">
    <w15:presenceInfo w15:providerId="None" w15:userId="Гусевы"/>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7E82"/>
    <w:rsid w:val="00012C5C"/>
    <w:rsid w:val="00044DBC"/>
    <w:rsid w:val="00093BEC"/>
    <w:rsid w:val="001477B6"/>
    <w:rsid w:val="00183620"/>
    <w:rsid w:val="001B5953"/>
    <w:rsid w:val="001F5F4A"/>
    <w:rsid w:val="002427F9"/>
    <w:rsid w:val="002826EF"/>
    <w:rsid w:val="00287F75"/>
    <w:rsid w:val="002C4CD1"/>
    <w:rsid w:val="002D025D"/>
    <w:rsid w:val="002E1784"/>
    <w:rsid w:val="002E4B57"/>
    <w:rsid w:val="00353244"/>
    <w:rsid w:val="0044325D"/>
    <w:rsid w:val="00512141"/>
    <w:rsid w:val="00516376"/>
    <w:rsid w:val="00590F6E"/>
    <w:rsid w:val="005F5AF9"/>
    <w:rsid w:val="0063230C"/>
    <w:rsid w:val="006A3AA7"/>
    <w:rsid w:val="006B59E0"/>
    <w:rsid w:val="00787640"/>
    <w:rsid w:val="007A5BF8"/>
    <w:rsid w:val="007B7B06"/>
    <w:rsid w:val="007C5690"/>
    <w:rsid w:val="007D79E0"/>
    <w:rsid w:val="007E0433"/>
    <w:rsid w:val="00827E82"/>
    <w:rsid w:val="00854770"/>
    <w:rsid w:val="00887948"/>
    <w:rsid w:val="008904E5"/>
    <w:rsid w:val="008C75C1"/>
    <w:rsid w:val="00906AA3"/>
    <w:rsid w:val="00916BF7"/>
    <w:rsid w:val="00923717"/>
    <w:rsid w:val="00927F48"/>
    <w:rsid w:val="00A56CAA"/>
    <w:rsid w:val="00AC2B9F"/>
    <w:rsid w:val="00B70063"/>
    <w:rsid w:val="00BC155A"/>
    <w:rsid w:val="00C1238A"/>
    <w:rsid w:val="00C40843"/>
    <w:rsid w:val="00D47197"/>
    <w:rsid w:val="00D76CD1"/>
    <w:rsid w:val="00DC1CBA"/>
    <w:rsid w:val="00E31BBA"/>
    <w:rsid w:val="00E52A8F"/>
    <w:rsid w:val="00E80D7D"/>
    <w:rsid w:val="00EA4672"/>
    <w:rsid w:val="00F10077"/>
    <w:rsid w:val="00FA3CA3"/>
    <w:rsid w:val="00FB687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AE91B8"/>
  <w15:docId w15:val="{FF760E37-62E2-486A-B2C7-F5EC49763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13">
    <w:name w:val="Неразрешенное упоминание1"/>
    <w:basedOn w:val="a0"/>
    <w:uiPriority w:val="99"/>
    <w:semiHidden/>
    <w:unhideWhenUsed/>
    <w:rsid w:val="002E1784"/>
    <w:rPr>
      <w:color w:val="605E5C"/>
      <w:shd w:val="clear" w:color="auto" w:fill="E1DFDD"/>
    </w:rPr>
  </w:style>
  <w:style w:type="character" w:styleId="a5">
    <w:name w:val="annotation reference"/>
    <w:basedOn w:val="a0"/>
    <w:uiPriority w:val="99"/>
    <w:semiHidden/>
    <w:unhideWhenUsed/>
    <w:rsid w:val="00FA3CA3"/>
    <w:rPr>
      <w:sz w:val="16"/>
      <w:szCs w:val="16"/>
    </w:rPr>
  </w:style>
  <w:style w:type="paragraph" w:styleId="a6">
    <w:name w:val="annotation text"/>
    <w:basedOn w:val="a"/>
    <w:link w:val="a7"/>
    <w:uiPriority w:val="99"/>
    <w:semiHidden/>
    <w:unhideWhenUsed/>
    <w:rsid w:val="00FA3CA3"/>
    <w:pPr>
      <w:spacing w:line="240" w:lineRule="auto"/>
    </w:pPr>
    <w:rPr>
      <w:sz w:val="20"/>
      <w:szCs w:val="20"/>
    </w:rPr>
  </w:style>
  <w:style w:type="character" w:customStyle="1" w:styleId="a7">
    <w:name w:val="Текст примечания Знак"/>
    <w:basedOn w:val="a0"/>
    <w:link w:val="a6"/>
    <w:uiPriority w:val="99"/>
    <w:semiHidden/>
    <w:rsid w:val="00FA3CA3"/>
    <w:rPr>
      <w:sz w:val="20"/>
      <w:szCs w:val="20"/>
    </w:rPr>
  </w:style>
  <w:style w:type="paragraph" w:styleId="a8">
    <w:name w:val="annotation subject"/>
    <w:basedOn w:val="a6"/>
    <w:next w:val="a6"/>
    <w:link w:val="a9"/>
    <w:uiPriority w:val="99"/>
    <w:semiHidden/>
    <w:unhideWhenUsed/>
    <w:rsid w:val="00FA3CA3"/>
    <w:rPr>
      <w:b/>
      <w:bCs/>
    </w:rPr>
  </w:style>
  <w:style w:type="character" w:customStyle="1" w:styleId="a9">
    <w:name w:val="Тема примечания Знак"/>
    <w:basedOn w:val="a7"/>
    <w:link w:val="a8"/>
    <w:uiPriority w:val="99"/>
    <w:semiHidden/>
    <w:rsid w:val="00FA3CA3"/>
    <w:rPr>
      <w:b/>
      <w:bCs/>
      <w:sz w:val="20"/>
      <w:szCs w:val="20"/>
    </w:rPr>
  </w:style>
  <w:style w:type="paragraph" w:styleId="aa">
    <w:name w:val="Balloon Text"/>
    <w:basedOn w:val="a"/>
    <w:link w:val="ab"/>
    <w:uiPriority w:val="99"/>
    <w:semiHidden/>
    <w:unhideWhenUsed/>
    <w:rsid w:val="002D025D"/>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D025D"/>
    <w:rPr>
      <w:rFonts w:ascii="Tahoma" w:hAnsi="Tahoma" w:cs="Tahoma"/>
      <w:sz w:val="16"/>
      <w:szCs w:val="16"/>
    </w:rPr>
  </w:style>
  <w:style w:type="paragraph" w:styleId="ac">
    <w:name w:val="List Paragraph"/>
    <w:basedOn w:val="a"/>
    <w:uiPriority w:val="1"/>
    <w:qFormat/>
    <w:rsid w:val="002D025D"/>
    <w:pPr>
      <w:spacing w:after="0" w:line="240" w:lineRule="auto"/>
      <w:ind w:left="720" w:firstLine="147"/>
      <w:contextualSpacing/>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350062">
      <w:bodyDiv w:val="1"/>
      <w:marLeft w:val="0"/>
      <w:marRight w:val="0"/>
      <w:marTop w:val="0"/>
      <w:marBottom w:val="0"/>
      <w:divBdr>
        <w:top w:val="none" w:sz="0" w:space="0" w:color="auto"/>
        <w:left w:val="none" w:sz="0" w:space="0" w:color="auto"/>
        <w:bottom w:val="none" w:sz="0" w:space="0" w:color="auto"/>
        <w:right w:val="none" w:sz="0" w:space="0" w:color="auto"/>
      </w:divBdr>
    </w:div>
    <w:div w:id="458452502">
      <w:bodyDiv w:val="1"/>
      <w:marLeft w:val="0"/>
      <w:marRight w:val="0"/>
      <w:marTop w:val="0"/>
      <w:marBottom w:val="0"/>
      <w:divBdr>
        <w:top w:val="none" w:sz="0" w:space="0" w:color="auto"/>
        <w:left w:val="none" w:sz="0" w:space="0" w:color="auto"/>
        <w:bottom w:val="none" w:sz="0" w:space="0" w:color="auto"/>
        <w:right w:val="none" w:sz="0" w:space="0" w:color="auto"/>
      </w:divBdr>
    </w:div>
    <w:div w:id="875890354">
      <w:bodyDiv w:val="1"/>
      <w:marLeft w:val="0"/>
      <w:marRight w:val="0"/>
      <w:marTop w:val="0"/>
      <w:marBottom w:val="0"/>
      <w:divBdr>
        <w:top w:val="none" w:sz="0" w:space="0" w:color="auto"/>
        <w:left w:val="none" w:sz="0" w:space="0" w:color="auto"/>
        <w:bottom w:val="none" w:sz="0" w:space="0" w:color="auto"/>
        <w:right w:val="none" w:sz="0" w:space="0" w:color="auto"/>
      </w:divBdr>
    </w:div>
    <w:div w:id="960647469">
      <w:bodyDiv w:val="1"/>
      <w:marLeft w:val="0"/>
      <w:marRight w:val="0"/>
      <w:marTop w:val="0"/>
      <w:marBottom w:val="0"/>
      <w:divBdr>
        <w:top w:val="none" w:sz="0" w:space="0" w:color="auto"/>
        <w:left w:val="none" w:sz="0" w:space="0" w:color="auto"/>
        <w:bottom w:val="none" w:sz="0" w:space="0" w:color="auto"/>
        <w:right w:val="none" w:sz="0" w:space="0" w:color="auto"/>
      </w:divBdr>
    </w:div>
    <w:div w:id="977421924">
      <w:bodyDiv w:val="1"/>
      <w:marLeft w:val="0"/>
      <w:marRight w:val="0"/>
      <w:marTop w:val="0"/>
      <w:marBottom w:val="0"/>
      <w:divBdr>
        <w:top w:val="none" w:sz="0" w:space="0" w:color="auto"/>
        <w:left w:val="none" w:sz="0" w:space="0" w:color="auto"/>
        <w:bottom w:val="none" w:sz="0" w:space="0" w:color="auto"/>
        <w:right w:val="none" w:sz="0" w:space="0" w:color="auto"/>
      </w:divBdr>
    </w:div>
    <w:div w:id="1008020750">
      <w:bodyDiv w:val="1"/>
      <w:marLeft w:val="0"/>
      <w:marRight w:val="0"/>
      <w:marTop w:val="0"/>
      <w:marBottom w:val="0"/>
      <w:divBdr>
        <w:top w:val="none" w:sz="0" w:space="0" w:color="auto"/>
        <w:left w:val="none" w:sz="0" w:space="0" w:color="auto"/>
        <w:bottom w:val="none" w:sz="0" w:space="0" w:color="auto"/>
        <w:right w:val="none" w:sz="0" w:space="0" w:color="auto"/>
      </w:divBdr>
    </w:div>
    <w:div w:id="1011568748">
      <w:bodyDiv w:val="1"/>
      <w:marLeft w:val="0"/>
      <w:marRight w:val="0"/>
      <w:marTop w:val="0"/>
      <w:marBottom w:val="0"/>
      <w:divBdr>
        <w:top w:val="none" w:sz="0" w:space="0" w:color="auto"/>
        <w:left w:val="none" w:sz="0" w:space="0" w:color="auto"/>
        <w:bottom w:val="none" w:sz="0" w:space="0" w:color="auto"/>
        <w:right w:val="none" w:sz="0" w:space="0" w:color="auto"/>
      </w:divBdr>
    </w:div>
    <w:div w:id="1466124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chart" Target="charts/chart3.xml"/><Relationship Id="rId18" Type="http://schemas.openxmlformats.org/officeDocument/2006/relationships/hyperlink" Target="https://sciact.uiec.ru/profile/205" TargetMode="External"/><Relationship Id="rId3" Type="http://schemas.openxmlformats.org/officeDocument/2006/relationships/styles" Target="styles.xml"/><Relationship Id="rId21" Type="http://schemas.openxmlformats.org/officeDocument/2006/relationships/hyperlink" Target="https://doi.org/10.1051/bioconf/202413914009"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sciact.uiec.ru/profile/204"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hyperlink" Target="https://sciact.uiec.ru/article/456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microsoft.com/office/2011/relationships/people" Target="people.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fontTable" Target="fontTable.xml"/><Relationship Id="rId10" Type="http://schemas.microsoft.com/office/2016/09/relationships/commentsIds" Target="commentsIds.xml"/><Relationship Id="rId19" Type="http://schemas.openxmlformats.org/officeDocument/2006/relationships/hyperlink" Target="https://sciact.uiec.ru/profile/213"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chart" Target="charts/chart4.xml"/><Relationship Id="rId22" Type="http://schemas.openxmlformats.org/officeDocument/2006/relationships/hyperlink" Target="mailto:epguseva@mail.ru"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G:\&#1088;&#1072;&#1073;&#1086;&#1090;&#1072;\2025\&#1056;&#1086;&#1083;&#1080;&#1082;&#1080;%20&#1076;&#1083;&#1103;%20&#1089;&#1090;&#1072;&#1090;&#1080;&#1089;&#1090;&#1080;&#1082;&#1080;\&#1056;&#1086;&#1083;&#1080;&#1082;%20(&#1089;&#1077;&#1083;&#1100;&#1089;&#1082;&#1086;&#1077;%20&#1093;&#1086;&#1079;&#1103;&#1081;&#1089;&#1090;&#1074;&#1086;)\&#1057;&#1077;&#1083;&#1100;&#1089;&#1082;&#1086;&#1077;%20&#1093;&#1086;&#1079;&#1103;&#1081;&#1089;&#1090;&#1074;&#1086;.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1088;&#1072;&#1073;&#1086;&#1090;&#1072;\2025\&#1056;&#1086;&#1083;&#1080;&#1082;&#1080;%20&#1076;&#1083;&#1103;%20&#1089;&#1090;&#1072;&#1090;&#1080;&#1089;&#1090;&#1080;&#1082;&#1080;\&#1056;&#1086;&#1083;&#1080;&#1082;%20(&#1089;&#1077;&#1083;&#1100;&#1089;&#1082;&#1086;&#1077;%20&#1093;&#1086;&#1079;&#1103;&#1081;&#1089;&#1090;&#1074;&#1086;)\&#1057;&#1077;&#1083;&#1100;&#1089;&#1082;&#1086;&#1077;%20&#1093;&#1086;&#1079;&#1103;&#1081;&#1089;&#1090;&#1074;&#1086;%20(&#1076;&#1083;&#1103;%2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G:\&#1088;&#1072;&#1073;&#1086;&#1090;&#1072;\2025\&#1056;&#1086;&#1083;&#1080;&#1082;&#1080;%20&#1076;&#1083;&#1103;%20&#1089;&#1090;&#1072;&#1090;&#1080;&#1089;&#1090;&#1080;&#1082;&#1080;\&#1056;&#1086;&#1083;&#1080;&#1082;%20(&#1089;&#1077;&#1083;&#1100;&#1089;&#1082;&#1086;&#1077;%20&#1093;&#1086;&#1079;&#1103;&#1081;&#1089;&#1090;&#1074;&#1086;)\&#1057;&#1077;&#1083;&#1100;&#1089;&#1082;&#1086;&#1077;%20&#1093;&#1086;&#1079;&#1103;&#1081;&#1089;&#1090;&#1074;&#1086;%20(&#1076;&#1083;&#1103;%2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G:\&#1088;&#1072;&#1073;&#1086;&#1090;&#1072;\2025\&#1056;&#1086;&#1083;&#1080;&#1082;&#1080;%20&#1076;&#1083;&#1103;%20&#1089;&#1090;&#1072;&#1090;&#1080;&#1089;&#1090;&#1080;&#1082;&#1080;\&#1056;&#1086;&#1083;&#1080;&#1082;%20(&#1089;&#1077;&#1083;&#1100;&#1089;&#1082;&#1086;&#1077;%20&#1093;&#1086;&#1079;&#1103;&#1081;&#1089;&#1090;&#1074;&#1086;)\&#1057;&#1077;&#1083;&#1100;&#1089;&#1082;&#1086;&#1077;%20&#1093;&#1086;&#1079;&#1103;&#1081;&#1089;&#1090;&#1074;&#1086;%20(&#1076;&#1083;&#1103;%2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G:\&#1088;&#1072;&#1073;&#1086;&#1090;&#1072;\2025\&#1056;&#1086;&#1083;&#1080;&#1082;&#1080;%20&#1076;&#1083;&#1103;%20&#1089;&#1090;&#1072;&#1090;&#1080;&#1089;&#1090;&#1080;&#1082;&#1080;\&#1056;&#1086;&#1083;&#1080;&#1082;%20(&#1089;&#1077;&#1083;&#1100;&#1089;&#1082;&#1086;&#1077;%20&#1093;&#1086;&#1079;&#1103;&#1081;&#1089;&#1090;&#1074;&#1086;)\&#1057;&#1077;&#1083;&#1100;&#1089;&#1082;&#1086;&#1077;%20&#1093;&#1086;&#1079;&#1103;&#1081;&#1089;&#1090;&#1074;&#1086;%20(&#1076;&#1083;&#1103;%2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G:\&#1088;&#1072;&#1073;&#1086;&#1090;&#1072;\2025\&#1056;&#1086;&#1083;&#1080;&#1082;&#1080;%20&#1076;&#1083;&#1103;%20&#1089;&#1090;&#1072;&#1090;&#1080;&#1089;&#1090;&#1080;&#1082;&#1080;\&#1056;&#1086;&#1083;&#1080;&#1082;%20(&#1089;&#1077;&#1083;&#1100;&#1089;&#1082;&#1086;&#1077;%20&#1093;&#1086;&#1079;&#1103;&#1081;&#1089;&#1090;&#1074;&#1086;)\&#1057;&#1077;&#1083;&#1100;&#1089;&#1082;&#1086;&#1077;%20&#1093;&#1086;&#1079;&#1103;&#1081;&#1089;&#1090;&#1074;&#1086;%20(&#1076;&#1083;&#1103;%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6180438115550193E-2"/>
          <c:y val="2.8871391076115496E-2"/>
          <c:w val="0.83929108724610535"/>
          <c:h val="0.8300655913156485"/>
        </c:manualLayout>
      </c:layout>
      <c:barChart>
        <c:barDir val="col"/>
        <c:grouping val="stacked"/>
        <c:varyColors val="0"/>
        <c:ser>
          <c:idx val="0"/>
          <c:order val="0"/>
          <c:tx>
            <c:v>Растениеводство</c:v>
          </c:tx>
          <c:spPr>
            <a:solidFill>
              <a:schemeClr val="accent1"/>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'Продукция сельского хозяйства'!$D$23:$H$23</c:f>
              <c:numCache>
                <c:formatCode>General</c:formatCode>
                <c:ptCount val="5"/>
                <c:pt idx="0">
                  <c:v>2019</c:v>
                </c:pt>
                <c:pt idx="1">
                  <c:v>2020</c:v>
                </c:pt>
                <c:pt idx="2">
                  <c:v>2021</c:v>
                </c:pt>
                <c:pt idx="3">
                  <c:v>2022</c:v>
                </c:pt>
                <c:pt idx="4">
                  <c:v>2023</c:v>
                </c:pt>
              </c:numCache>
              <c:extLst/>
            </c:numRef>
          </c:cat>
          <c:val>
            <c:numRef>
              <c:f>'Продукция сельского хозяйства'!$D$28:$H$28</c:f>
              <c:numCache>
                <c:formatCode>General</c:formatCode>
                <c:ptCount val="5"/>
                <c:pt idx="0">
                  <c:v>60034.400000000001</c:v>
                </c:pt>
                <c:pt idx="1">
                  <c:v>86396.3</c:v>
                </c:pt>
                <c:pt idx="2">
                  <c:v>84955.7</c:v>
                </c:pt>
                <c:pt idx="3">
                  <c:v>125425.60000000002</c:v>
                </c:pt>
                <c:pt idx="4">
                  <c:v>107428.6</c:v>
                </c:pt>
              </c:numCache>
              <c:extLst/>
            </c:numRef>
          </c:val>
          <c:extLst>
            <c:ext xmlns:c16="http://schemas.microsoft.com/office/drawing/2014/chart" uri="{C3380CC4-5D6E-409C-BE32-E72D297353CC}">
              <c16:uniqueId val="{00000000-9DCD-466B-B11B-BC65C786413D}"/>
            </c:ext>
          </c:extLst>
        </c:ser>
        <c:ser>
          <c:idx val="1"/>
          <c:order val="1"/>
          <c:tx>
            <c:v>Животноводство</c:v>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'Продукция сельского хозяйства'!$D$23:$H$23</c:f>
              <c:numCache>
                <c:formatCode>General</c:formatCode>
                <c:ptCount val="5"/>
                <c:pt idx="0">
                  <c:v>2019</c:v>
                </c:pt>
                <c:pt idx="1">
                  <c:v>2020</c:v>
                </c:pt>
                <c:pt idx="2">
                  <c:v>2021</c:v>
                </c:pt>
                <c:pt idx="3">
                  <c:v>2022</c:v>
                </c:pt>
                <c:pt idx="4">
                  <c:v>2023</c:v>
                </c:pt>
              </c:numCache>
              <c:extLst/>
            </c:numRef>
          </c:cat>
          <c:val>
            <c:numRef>
              <c:f>'Продукция сельского хозяйства'!$D$29:$H$29</c:f>
              <c:numCache>
                <c:formatCode>General</c:formatCode>
                <c:ptCount val="5"/>
                <c:pt idx="0">
                  <c:v>52981.5</c:v>
                </c:pt>
                <c:pt idx="1">
                  <c:v>55251.1</c:v>
                </c:pt>
                <c:pt idx="2">
                  <c:v>59378.3</c:v>
                </c:pt>
                <c:pt idx="3">
                  <c:v>66308</c:v>
                </c:pt>
                <c:pt idx="4">
                  <c:v>70889.399999999994</c:v>
                </c:pt>
              </c:numCache>
              <c:extLst/>
            </c:numRef>
          </c:val>
          <c:extLst>
            <c:ext xmlns:c16="http://schemas.microsoft.com/office/drawing/2014/chart" uri="{C3380CC4-5D6E-409C-BE32-E72D297353CC}">
              <c16:uniqueId val="{00000001-9DCD-466B-B11B-BC65C786413D}"/>
            </c:ext>
          </c:extLst>
        </c:ser>
        <c:dLbls>
          <c:showLegendKey val="0"/>
          <c:showVal val="0"/>
          <c:showCatName val="0"/>
          <c:showSerName val="0"/>
          <c:showPercent val="0"/>
          <c:showBubbleSize val="0"/>
        </c:dLbls>
        <c:gapWidth val="150"/>
        <c:overlap val="100"/>
        <c:axId val="89664512"/>
        <c:axId val="89683456"/>
      </c:barChart>
      <c:lineChart>
        <c:grouping val="standard"/>
        <c:varyColors val="0"/>
        <c:ser>
          <c:idx val="2"/>
          <c:order val="2"/>
          <c:tx>
            <c:v>Индексы РФ</c:v>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0"/>
              <c:layout>
                <c:manualLayout>
                  <c:x val="-2.3870417732310325E-2"/>
                  <c:y val="-3.73319183894351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DCD-466B-B11B-BC65C786413D}"/>
                </c:ext>
              </c:extLst>
            </c:dLbl>
            <c:dLbl>
              <c:idx val="1"/>
              <c:layout>
                <c:manualLayout>
                  <c:x val="-3.9215686274509803E-2"/>
                  <c:y val="-1.73805056026226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DCD-466B-B11B-BC65C786413D}"/>
                </c:ext>
              </c:extLst>
            </c:dLbl>
            <c:dLbl>
              <c:idx val="2"/>
              <c:layout>
                <c:manualLayout>
                  <c:x val="-2.3870417732310391E-2"/>
                  <c:y val="-2.73122230898355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DCD-466B-B11B-BC65C786413D}"/>
                </c:ext>
              </c:extLst>
            </c:dLbl>
            <c:dLbl>
              <c:idx val="3"/>
              <c:layout>
                <c:manualLayout>
                  <c:x val="-2.8985507246376812E-2"/>
                  <c:y val="1.24146468590161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DCD-466B-B11B-BC65C786413D}"/>
                </c:ext>
              </c:extLst>
            </c:dLbl>
            <c:dLbl>
              <c:idx val="4"/>
              <c:layout>
                <c:manualLayout>
                  <c:x val="-2.2165387894288149E-2"/>
                  <c:y val="-2.23463643462290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DCD-466B-B11B-BC65C786413D}"/>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Lit>
              <c:ptCount val="5"/>
              <c:pt idx="0">
                <c:v>2</c:v>
              </c:pt>
              <c:pt idx="1">
                <c:v>3</c:v>
              </c:pt>
              <c:pt idx="2">
                <c:v>4</c:v>
              </c:pt>
              <c:pt idx="3">
                <c:v>5</c:v>
              </c:pt>
              <c:pt idx="4">
                <c:v>6</c:v>
              </c:pt>
              <c:extLst>
                <c:ext xmlns:c15="http://schemas.microsoft.com/office/drawing/2012/chart" uri="{02D57815-91ED-43cb-92C2-25804820EDAC}">
                  <c15:autoCat val="1"/>
                </c:ext>
              </c:extLst>
            </c:strLit>
          </c:cat>
          <c:val>
            <c:numRef>
              <c:f>'Продукция сельского хозяйства'!$D$49:$H$49</c:f>
              <c:numCache>
                <c:formatCode>0.0</c:formatCode>
                <c:ptCount val="5"/>
                <c:pt idx="0">
                  <c:v>104.3</c:v>
                </c:pt>
                <c:pt idx="1">
                  <c:v>101.3</c:v>
                </c:pt>
                <c:pt idx="2">
                  <c:v>99.3</c:v>
                </c:pt>
                <c:pt idx="3">
                  <c:v>111.3</c:v>
                </c:pt>
                <c:pt idx="4">
                  <c:v>100.2</c:v>
                </c:pt>
              </c:numCache>
              <c:extLst/>
            </c:numRef>
          </c:val>
          <c:smooth val="0"/>
          <c:extLst>
            <c:ext xmlns:c16="http://schemas.microsoft.com/office/drawing/2014/chart" uri="{C3380CC4-5D6E-409C-BE32-E72D297353CC}">
              <c16:uniqueId val="{00000007-9DCD-466B-B11B-BC65C786413D}"/>
            </c:ext>
          </c:extLst>
        </c:ser>
        <c:ser>
          <c:idx val="3"/>
          <c:order val="3"/>
          <c:tx>
            <c:v>Индексы ПФО</c:v>
          </c:tx>
          <c:spPr>
            <a:ln w="28575" cap="rnd">
              <a:solidFill>
                <a:schemeClr val="accent4"/>
              </a:solidFill>
              <a:round/>
            </a:ln>
            <a:effectLst/>
          </c:spPr>
          <c:marker>
            <c:symbol val="none"/>
          </c:marker>
          <c:dLbls>
            <c:dLbl>
              <c:idx val="0"/>
              <c:layout>
                <c:manualLayout>
                  <c:x val="-5.2855924978687144E-2"/>
                  <c:y val="-4.551984596724761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DCD-466B-B11B-BC65C786413D}"/>
                </c:ext>
              </c:extLst>
            </c:dLbl>
            <c:dLbl>
              <c:idx val="1"/>
              <c:layout>
                <c:manualLayout>
                  <c:x val="-1.534526854219955E-2"/>
                  <c:y val="-3.22780818334419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9DCD-466B-B11B-BC65C786413D}"/>
                </c:ext>
              </c:extLst>
            </c:dLbl>
            <c:dLbl>
              <c:idx val="2"/>
              <c:layout>
                <c:manualLayout>
                  <c:x val="-2.8985507246376881E-2"/>
                  <c:y val="-1.986343497442582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9DCD-466B-B11B-BC65C786413D}"/>
                </c:ext>
              </c:extLst>
            </c:dLbl>
            <c:dLbl>
              <c:idx val="3"/>
              <c:layout>
                <c:manualLayout>
                  <c:x val="-1.8755328218243952E-2"/>
                  <c:y val="-1.986343497442582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9DCD-466B-B11B-BC65C786413D}"/>
                </c:ext>
              </c:extLst>
            </c:dLbl>
            <c:dLbl>
              <c:idx val="4"/>
              <c:layout>
                <c:manualLayout>
                  <c:x val="6.8201193520886624E-3"/>
                  <c:y val="-9.931717487212913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9DCD-466B-B11B-BC65C786413D}"/>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Lit>
              <c:ptCount val="5"/>
              <c:pt idx="0">
                <c:v>2</c:v>
              </c:pt>
              <c:pt idx="1">
                <c:v>3</c:v>
              </c:pt>
              <c:pt idx="2">
                <c:v>4</c:v>
              </c:pt>
              <c:pt idx="3">
                <c:v>5</c:v>
              </c:pt>
              <c:pt idx="4">
                <c:v>6</c:v>
              </c:pt>
              <c:extLst>
                <c:ext xmlns:c15="http://schemas.microsoft.com/office/drawing/2012/chart" uri="{02D57815-91ED-43cb-92C2-25804820EDAC}">
                  <c15:autoCat val="1"/>
                </c:ext>
              </c:extLst>
            </c:strLit>
          </c:cat>
          <c:val>
            <c:numRef>
              <c:f>'Продукция сельского хозяйства'!$D$50:$H$50</c:f>
              <c:numCache>
                <c:formatCode>General</c:formatCode>
                <c:ptCount val="5"/>
                <c:pt idx="0">
                  <c:v>103.4</c:v>
                </c:pt>
                <c:pt idx="1">
                  <c:v>101.8</c:v>
                </c:pt>
                <c:pt idx="2">
                  <c:v>88.7</c:v>
                </c:pt>
                <c:pt idx="3">
                  <c:v>121.6</c:v>
                </c:pt>
                <c:pt idx="4">
                  <c:v>97.5</c:v>
                </c:pt>
              </c:numCache>
              <c:extLst/>
            </c:numRef>
          </c:val>
          <c:smooth val="0"/>
          <c:extLst>
            <c:ext xmlns:c16="http://schemas.microsoft.com/office/drawing/2014/chart" uri="{C3380CC4-5D6E-409C-BE32-E72D297353CC}">
              <c16:uniqueId val="{0000000D-9DCD-466B-B11B-BC65C786413D}"/>
            </c:ext>
          </c:extLst>
        </c:ser>
        <c:ser>
          <c:idx val="4"/>
          <c:order val="4"/>
          <c:tx>
            <c:v>Индексы Оренбургской области</c:v>
          </c:tx>
          <c:spPr>
            <a:ln w="28575" cap="rnd">
              <a:solidFill>
                <a:schemeClr val="accent5"/>
              </a:solidFill>
              <a:round/>
            </a:ln>
            <a:effectLst/>
          </c:spPr>
          <c:marker>
            <c:symbol val="none"/>
          </c:marker>
          <c:dLbls>
            <c:dLbl>
              <c:idx val="0"/>
              <c:layout>
                <c:manualLayout>
                  <c:x val="-3.0690537084398988E-2"/>
                  <c:y val="2.73631787199477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9DCD-466B-B11B-BC65C786413D}"/>
                </c:ext>
              </c:extLst>
            </c:dLbl>
            <c:dLbl>
              <c:idx val="1"/>
              <c:layout>
                <c:manualLayout>
                  <c:x val="-2.5575447570332487E-2"/>
                  <c:y val="3.233830212357464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9DCD-466B-B11B-BC65C786413D}"/>
                </c:ext>
              </c:extLst>
            </c:dLbl>
            <c:dLbl>
              <c:idx val="2"/>
              <c:layout>
                <c:manualLayout>
                  <c:x val="-2.0460358056266049E-2"/>
                  <c:y val="2.23880553163208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9DCD-466B-B11B-BC65C786413D}"/>
                </c:ext>
              </c:extLst>
            </c:dLbl>
            <c:dLbl>
              <c:idx val="3"/>
              <c:layout>
                <c:manualLayout>
                  <c:x val="-3.0690537084399123E-2"/>
                  <c:y val="-2.98507404217612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9DCD-466B-B11B-BC65C786413D}"/>
                </c:ext>
              </c:extLst>
            </c:dLbl>
            <c:dLbl>
              <c:idx val="4"/>
              <c:layout>
                <c:manualLayout>
                  <c:x val="-1.1935208866155162E-2"/>
                  <c:y val="-4.551984596724761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9DCD-466B-B11B-BC65C786413D}"/>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Lit>
              <c:ptCount val="5"/>
              <c:pt idx="0">
                <c:v>2</c:v>
              </c:pt>
              <c:pt idx="1">
                <c:v>3</c:v>
              </c:pt>
              <c:pt idx="2">
                <c:v>4</c:v>
              </c:pt>
              <c:pt idx="3">
                <c:v>5</c:v>
              </c:pt>
              <c:pt idx="4">
                <c:v>6</c:v>
              </c:pt>
              <c:extLst>
                <c:ext xmlns:c15="http://schemas.microsoft.com/office/drawing/2012/chart" uri="{02D57815-91ED-43cb-92C2-25804820EDAC}">
                  <c15:autoCat val="1"/>
                </c:ext>
              </c:extLst>
            </c:strLit>
          </c:cat>
          <c:val>
            <c:numRef>
              <c:f>'Продукция сельского хозяйства'!$D$51:$H$51</c:f>
              <c:numCache>
                <c:formatCode>General</c:formatCode>
                <c:ptCount val="5"/>
                <c:pt idx="0">
                  <c:v>102.1</c:v>
                </c:pt>
                <c:pt idx="1">
                  <c:v>99.5</c:v>
                </c:pt>
                <c:pt idx="2">
                  <c:v>82</c:v>
                </c:pt>
                <c:pt idx="3">
                  <c:v>144.1</c:v>
                </c:pt>
                <c:pt idx="4">
                  <c:v>95.7</c:v>
                </c:pt>
              </c:numCache>
              <c:extLst/>
            </c:numRef>
          </c:val>
          <c:smooth val="0"/>
          <c:extLst>
            <c:ext xmlns:c16="http://schemas.microsoft.com/office/drawing/2014/chart" uri="{C3380CC4-5D6E-409C-BE32-E72D297353CC}">
              <c16:uniqueId val="{00000013-9DCD-466B-B11B-BC65C786413D}"/>
            </c:ext>
          </c:extLst>
        </c:ser>
        <c:dLbls>
          <c:showLegendKey val="0"/>
          <c:showVal val="0"/>
          <c:showCatName val="0"/>
          <c:showSerName val="0"/>
          <c:showPercent val="0"/>
          <c:showBubbleSize val="0"/>
        </c:dLbls>
        <c:marker val="1"/>
        <c:smooth val="0"/>
        <c:axId val="92745088"/>
        <c:axId val="92743168"/>
      </c:lineChart>
      <c:catAx>
        <c:axId val="896645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9683456"/>
        <c:crosses val="autoZero"/>
        <c:auto val="1"/>
        <c:lblAlgn val="ctr"/>
        <c:lblOffset val="100"/>
        <c:noMultiLvlLbl val="0"/>
      </c:catAx>
      <c:valAx>
        <c:axId val="89683456"/>
        <c:scaling>
          <c:orientation val="minMax"/>
        </c:scaling>
        <c:delete val="0"/>
        <c:axPos val="l"/>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ru-RU" sz="700"/>
                  <a:t>МЛН.руб.</a:t>
                </a:r>
              </a:p>
            </c:rich>
          </c:tx>
          <c:layout>
            <c:manualLayout>
              <c:xMode val="edge"/>
              <c:yMode val="edge"/>
              <c:x val="1.5052594129058679E-2"/>
              <c:y val="0.30496145658957985"/>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500" b="0" i="0" u="none" strike="noStrike" kern="1200" baseline="0">
                <a:solidFill>
                  <a:schemeClr val="tx1">
                    <a:lumMod val="65000"/>
                    <a:lumOff val="35000"/>
                  </a:schemeClr>
                </a:solidFill>
                <a:latin typeface="+mn-lt"/>
                <a:ea typeface="+mn-ea"/>
                <a:cs typeface="+mn-cs"/>
              </a:defRPr>
            </a:pPr>
            <a:endParaRPr lang="ru-RU"/>
          </a:p>
        </c:txPr>
        <c:crossAx val="89664512"/>
        <c:crosses val="autoZero"/>
        <c:crossBetween val="between"/>
      </c:valAx>
      <c:valAx>
        <c:axId val="92743168"/>
        <c:scaling>
          <c:orientation val="minMax"/>
          <c:max val="160"/>
          <c:min val="-80"/>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ru-RU"/>
          </a:p>
        </c:txPr>
        <c:crossAx val="92745088"/>
        <c:crosses val="max"/>
        <c:crossBetween val="between"/>
      </c:valAx>
      <c:catAx>
        <c:axId val="92745088"/>
        <c:scaling>
          <c:orientation val="minMax"/>
        </c:scaling>
        <c:delete val="1"/>
        <c:axPos val="b"/>
        <c:numFmt formatCode="General" sourceLinked="1"/>
        <c:majorTickMark val="out"/>
        <c:minorTickMark val="none"/>
        <c:tickLblPos val="nextTo"/>
        <c:crossAx val="92743168"/>
        <c:crosses val="autoZero"/>
        <c:auto val="1"/>
        <c:lblAlgn val="ctr"/>
        <c:lblOffset val="100"/>
        <c:noMultiLvlLbl val="0"/>
      </c:catAx>
      <c:spPr>
        <a:noFill/>
        <a:ln>
          <a:noFill/>
        </a:ln>
        <a:effectLst/>
      </c:spPr>
    </c:plotArea>
    <c:legend>
      <c:legendPos val="b"/>
      <c:layout>
        <c:manualLayout>
          <c:xMode val="edge"/>
          <c:yMode val="edge"/>
          <c:x val="1.2628766672708102E-2"/>
          <c:y val="0.92448409047594871"/>
          <c:w val="0.97133240697853962"/>
          <c:h val="5.9767881112570836E-2"/>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'валовое производство'!$C$31</c:f>
              <c:strCache>
                <c:ptCount val="1"/>
                <c:pt idx="0">
                  <c:v>Российская Федерация</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'валовое производство'!$D$30:$H$30</c:f>
              <c:numCache>
                <c:formatCode>General</c:formatCode>
                <c:ptCount val="5"/>
                <c:pt idx="0">
                  <c:v>2019</c:v>
                </c:pt>
                <c:pt idx="1">
                  <c:v>2020</c:v>
                </c:pt>
                <c:pt idx="2">
                  <c:v>2021</c:v>
                </c:pt>
                <c:pt idx="3">
                  <c:v>2022</c:v>
                </c:pt>
                <c:pt idx="4">
                  <c:v>2023</c:v>
                </c:pt>
              </c:numCache>
            </c:numRef>
          </c:cat>
          <c:val>
            <c:numRef>
              <c:f>'валовое производство'!$D$31:$H$31</c:f>
              <c:numCache>
                <c:formatCode>0.0</c:formatCode>
                <c:ptCount val="5"/>
                <c:pt idx="0">
                  <c:v>108.46183716244551</c:v>
                </c:pt>
                <c:pt idx="1">
                  <c:v>120.93984392395832</c:v>
                </c:pt>
                <c:pt idx="2">
                  <c:v>143.45084311387058</c:v>
                </c:pt>
                <c:pt idx="3">
                  <c:v>165.47416309779962</c:v>
                </c:pt>
                <c:pt idx="4">
                  <c:v>158.79507994592441</c:v>
                </c:pt>
              </c:numCache>
            </c:numRef>
          </c:val>
          <c:smooth val="0"/>
          <c:extLst>
            <c:ext xmlns:c16="http://schemas.microsoft.com/office/drawing/2014/chart" uri="{C3380CC4-5D6E-409C-BE32-E72D297353CC}">
              <c16:uniqueId val="{00000000-D839-49A2-8029-E388146C5CD1}"/>
            </c:ext>
          </c:extLst>
        </c:ser>
        <c:ser>
          <c:idx val="2"/>
          <c:order val="1"/>
          <c:tx>
            <c:strRef>
              <c:f>'валовое производство'!$C$33</c:f>
              <c:strCache>
                <c:ptCount val="1"/>
                <c:pt idx="0">
                  <c:v>Приволжский федеральный округ</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'валовое производство'!$D$30:$H$30</c:f>
              <c:numCache>
                <c:formatCode>General</c:formatCode>
                <c:ptCount val="5"/>
                <c:pt idx="0">
                  <c:v>2019</c:v>
                </c:pt>
                <c:pt idx="1">
                  <c:v>2020</c:v>
                </c:pt>
                <c:pt idx="2">
                  <c:v>2021</c:v>
                </c:pt>
                <c:pt idx="3">
                  <c:v>2022</c:v>
                </c:pt>
                <c:pt idx="4">
                  <c:v>2023</c:v>
                </c:pt>
              </c:numCache>
            </c:numRef>
          </c:cat>
          <c:val>
            <c:numRef>
              <c:f>'валовое производство'!$D$33:$H$33</c:f>
              <c:numCache>
                <c:formatCode>0.0</c:formatCode>
                <c:ptCount val="5"/>
                <c:pt idx="0">
                  <c:v>110.48802399932079</c:v>
                </c:pt>
                <c:pt idx="1">
                  <c:v>127.43919710069736</c:v>
                </c:pt>
                <c:pt idx="2">
                  <c:v>138.71409053977996</c:v>
                </c:pt>
                <c:pt idx="3">
                  <c:v>173.91722496275696</c:v>
                </c:pt>
                <c:pt idx="4">
                  <c:v>162.52668427663923</c:v>
                </c:pt>
              </c:numCache>
            </c:numRef>
          </c:val>
          <c:smooth val="0"/>
          <c:extLst>
            <c:ext xmlns:c16="http://schemas.microsoft.com/office/drawing/2014/chart" uri="{C3380CC4-5D6E-409C-BE32-E72D297353CC}">
              <c16:uniqueId val="{00000002-D839-49A2-8029-E388146C5CD1}"/>
            </c:ext>
          </c:extLst>
        </c:ser>
        <c:ser>
          <c:idx val="3"/>
          <c:order val="2"/>
          <c:tx>
            <c:strRef>
              <c:f>'валовое производство'!$C$34</c:f>
              <c:strCache>
                <c:ptCount val="1"/>
                <c:pt idx="0">
                  <c:v>Оренбургская область</c:v>
                </c:pt>
              </c:strCache>
            </c:strRef>
          </c:tx>
          <c:spPr>
            <a:ln w="28575" cap="rnd">
              <a:solidFill>
                <a:schemeClr val="accent4"/>
              </a:solidFill>
              <a:round/>
            </a:ln>
            <a:effectLst/>
          </c:spPr>
          <c:marker>
            <c:symbol val="none"/>
          </c:marker>
          <c:dLbls>
            <c:dLbl>
              <c:idx val="1"/>
              <c:layout>
                <c:manualLayout>
                  <c:x val="-3.4107551247351077E-2"/>
                  <c:y val="-2.93577981651376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E09-4445-AC94-A36BCB87747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'валовое производство'!$D$30:$H$30</c:f>
              <c:numCache>
                <c:formatCode>General</c:formatCode>
                <c:ptCount val="5"/>
                <c:pt idx="0">
                  <c:v>2019</c:v>
                </c:pt>
                <c:pt idx="1">
                  <c:v>2020</c:v>
                </c:pt>
                <c:pt idx="2">
                  <c:v>2021</c:v>
                </c:pt>
                <c:pt idx="3">
                  <c:v>2022</c:v>
                </c:pt>
                <c:pt idx="4">
                  <c:v>2023</c:v>
                </c:pt>
              </c:numCache>
            </c:numRef>
          </c:cat>
          <c:val>
            <c:numRef>
              <c:f>'валовое производство'!$D$34:$H$34</c:f>
              <c:numCache>
                <c:formatCode>0.0</c:formatCode>
                <c:ptCount val="5"/>
                <c:pt idx="0">
                  <c:v>104.6723614004117</c:v>
                </c:pt>
                <c:pt idx="1">
                  <c:v>131.19010550045337</c:v>
                </c:pt>
                <c:pt idx="2">
                  <c:v>133.67836393257085</c:v>
                </c:pt>
                <c:pt idx="3">
                  <c:v>183.88170538227368</c:v>
                </c:pt>
                <c:pt idx="4">
                  <c:v>165.15345309994981</c:v>
                </c:pt>
              </c:numCache>
            </c:numRef>
          </c:val>
          <c:smooth val="0"/>
          <c:extLst>
            <c:ext xmlns:c16="http://schemas.microsoft.com/office/drawing/2014/chart" uri="{C3380CC4-5D6E-409C-BE32-E72D297353CC}">
              <c16:uniqueId val="{00000003-D839-49A2-8029-E388146C5CD1}"/>
            </c:ext>
          </c:extLst>
        </c:ser>
        <c:dLbls>
          <c:showLegendKey val="0"/>
          <c:showVal val="0"/>
          <c:showCatName val="0"/>
          <c:showSerName val="0"/>
          <c:showPercent val="0"/>
          <c:showBubbleSize val="0"/>
        </c:dLbls>
        <c:smooth val="0"/>
        <c:axId val="93280512"/>
        <c:axId val="93350912"/>
      </c:lineChart>
      <c:catAx>
        <c:axId val="93280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3350912"/>
        <c:crosses val="autoZero"/>
        <c:auto val="1"/>
        <c:lblAlgn val="ctr"/>
        <c:lblOffset val="100"/>
        <c:noMultiLvlLbl val="0"/>
      </c:catAx>
      <c:valAx>
        <c:axId val="93350912"/>
        <c:scaling>
          <c:orientation val="minMax"/>
          <c:min val="10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3280512"/>
        <c:crosses val="autoZero"/>
        <c:crossBetween val="between"/>
      </c:valAx>
      <c:spPr>
        <a:noFill/>
        <a:ln>
          <a:noFill/>
        </a:ln>
        <a:effectLst/>
      </c:spPr>
    </c:plotArea>
    <c:legend>
      <c:legendPos val="b"/>
      <c:layout>
        <c:manualLayout>
          <c:xMode val="edge"/>
          <c:yMode val="edge"/>
          <c:x val="7.79228779519167E-2"/>
          <c:y val="0.89265968359459713"/>
          <c:w val="0.86973514369113603"/>
          <c:h val="8.532196778155022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8433157059488621E-2"/>
          <c:y val="5.2214039612859454E-2"/>
          <c:w val="0.8806589227859718"/>
          <c:h val="0.73372568533897231"/>
        </c:manualLayout>
      </c:layout>
      <c:barChart>
        <c:barDir val="col"/>
        <c:grouping val="stacked"/>
        <c:varyColors val="0"/>
        <c:ser>
          <c:idx val="0"/>
          <c:order val="0"/>
          <c:tx>
            <c:strRef>
              <c:f>'структура пр-ва по ОО'!$B$11</c:f>
              <c:strCache>
                <c:ptCount val="1"/>
                <c:pt idx="0">
                  <c:v>сельскохозяйственные организации</c:v>
                </c:pt>
              </c:strCache>
            </c:strRef>
          </c:tx>
          <c:spPr>
            <a:solidFill>
              <a:schemeClr val="accent1"/>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'структура пр-ва по ОО'!$C$10:$H$10</c:f>
              <c:numCache>
                <c:formatCode>General</c:formatCode>
                <c:ptCount val="6"/>
                <c:pt idx="0">
                  <c:v>2018</c:v>
                </c:pt>
                <c:pt idx="1">
                  <c:v>2019</c:v>
                </c:pt>
                <c:pt idx="2">
                  <c:v>2020</c:v>
                </c:pt>
                <c:pt idx="3">
                  <c:v>2021</c:v>
                </c:pt>
                <c:pt idx="4">
                  <c:v>2022</c:v>
                </c:pt>
                <c:pt idx="5">
                  <c:v>2023</c:v>
                </c:pt>
              </c:numCache>
            </c:numRef>
          </c:cat>
          <c:val>
            <c:numRef>
              <c:f>'структура пр-ва по ОО'!$C$11:$H$11</c:f>
              <c:numCache>
                <c:formatCode>0.0</c:formatCode>
                <c:ptCount val="6"/>
                <c:pt idx="0">
                  <c:v>31</c:v>
                </c:pt>
                <c:pt idx="1">
                  <c:v>34</c:v>
                </c:pt>
                <c:pt idx="2">
                  <c:v>36.700000000000003</c:v>
                </c:pt>
                <c:pt idx="3">
                  <c:v>35.200000000000003</c:v>
                </c:pt>
                <c:pt idx="4">
                  <c:v>36.5</c:v>
                </c:pt>
                <c:pt idx="5">
                  <c:v>33.6</c:v>
                </c:pt>
              </c:numCache>
              <c:extLst/>
            </c:numRef>
          </c:val>
          <c:extLst>
            <c:ext xmlns:c16="http://schemas.microsoft.com/office/drawing/2014/chart" uri="{C3380CC4-5D6E-409C-BE32-E72D297353CC}">
              <c16:uniqueId val="{00000000-5BA2-4F95-8B21-24405E6E6F11}"/>
            </c:ext>
          </c:extLst>
        </c:ser>
        <c:ser>
          <c:idx val="1"/>
          <c:order val="1"/>
          <c:tx>
            <c:strRef>
              <c:f>'структура пр-ва по ОО'!$B$12</c:f>
              <c:strCache>
                <c:ptCount val="1"/>
                <c:pt idx="0">
                  <c:v>хозяйства населения</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'структура пр-ва по ОО'!$C$10:$H$10</c:f>
              <c:numCache>
                <c:formatCode>General</c:formatCode>
                <c:ptCount val="6"/>
                <c:pt idx="0">
                  <c:v>2018</c:v>
                </c:pt>
                <c:pt idx="1">
                  <c:v>2019</c:v>
                </c:pt>
                <c:pt idx="2">
                  <c:v>2020</c:v>
                </c:pt>
                <c:pt idx="3">
                  <c:v>2021</c:v>
                </c:pt>
                <c:pt idx="4">
                  <c:v>2022</c:v>
                </c:pt>
                <c:pt idx="5">
                  <c:v>2023</c:v>
                </c:pt>
              </c:numCache>
            </c:numRef>
          </c:cat>
          <c:val>
            <c:numRef>
              <c:f>'структура пр-ва по ОО'!$C$12:$H$12</c:f>
              <c:numCache>
                <c:formatCode>0.0</c:formatCode>
                <c:ptCount val="6"/>
                <c:pt idx="0">
                  <c:v>51.4</c:v>
                </c:pt>
                <c:pt idx="1">
                  <c:v>42.7</c:v>
                </c:pt>
                <c:pt idx="2">
                  <c:v>36.200000000000003</c:v>
                </c:pt>
                <c:pt idx="3">
                  <c:v>38.9</c:v>
                </c:pt>
                <c:pt idx="4">
                  <c:v>35</c:v>
                </c:pt>
                <c:pt idx="5">
                  <c:v>38.9</c:v>
                </c:pt>
              </c:numCache>
              <c:extLst/>
            </c:numRef>
          </c:val>
          <c:extLst>
            <c:ext xmlns:c16="http://schemas.microsoft.com/office/drawing/2014/chart" uri="{C3380CC4-5D6E-409C-BE32-E72D297353CC}">
              <c16:uniqueId val="{00000001-5BA2-4F95-8B21-24405E6E6F11}"/>
            </c:ext>
          </c:extLst>
        </c:ser>
        <c:ser>
          <c:idx val="2"/>
          <c:order val="2"/>
          <c:tx>
            <c:strRef>
              <c:f>'структура пр-ва по ОО'!$B$13</c:f>
              <c:strCache>
                <c:ptCount val="1"/>
                <c:pt idx="0">
                  <c:v>крестьянские (фермерские) хозяйства</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'структура пр-ва по ОО'!$C$10:$H$10</c:f>
              <c:numCache>
                <c:formatCode>General</c:formatCode>
                <c:ptCount val="6"/>
                <c:pt idx="0">
                  <c:v>2018</c:v>
                </c:pt>
                <c:pt idx="1">
                  <c:v>2019</c:v>
                </c:pt>
                <c:pt idx="2">
                  <c:v>2020</c:v>
                </c:pt>
                <c:pt idx="3">
                  <c:v>2021</c:v>
                </c:pt>
                <c:pt idx="4">
                  <c:v>2022</c:v>
                </c:pt>
                <c:pt idx="5">
                  <c:v>2023</c:v>
                </c:pt>
              </c:numCache>
            </c:numRef>
          </c:cat>
          <c:val>
            <c:numRef>
              <c:f>'структура пр-ва по ОО'!$C$13:$H$13</c:f>
              <c:numCache>
                <c:formatCode>0.0</c:formatCode>
                <c:ptCount val="6"/>
                <c:pt idx="0">
                  <c:v>17.600000000000001</c:v>
                </c:pt>
                <c:pt idx="1">
                  <c:v>23.3</c:v>
                </c:pt>
                <c:pt idx="2">
                  <c:v>27.1</c:v>
                </c:pt>
                <c:pt idx="3">
                  <c:v>25.9</c:v>
                </c:pt>
                <c:pt idx="4">
                  <c:v>28.5</c:v>
                </c:pt>
                <c:pt idx="5">
                  <c:v>27.5</c:v>
                </c:pt>
              </c:numCache>
              <c:extLst/>
            </c:numRef>
          </c:val>
          <c:extLst>
            <c:ext xmlns:c16="http://schemas.microsoft.com/office/drawing/2014/chart" uri="{C3380CC4-5D6E-409C-BE32-E72D297353CC}">
              <c16:uniqueId val="{00000002-5BA2-4F95-8B21-24405E6E6F11}"/>
            </c:ext>
          </c:extLst>
        </c:ser>
        <c:dLbls>
          <c:showLegendKey val="0"/>
          <c:showVal val="0"/>
          <c:showCatName val="0"/>
          <c:showSerName val="0"/>
          <c:showPercent val="0"/>
          <c:showBubbleSize val="0"/>
        </c:dLbls>
        <c:gapWidth val="150"/>
        <c:overlap val="100"/>
        <c:axId val="95502720"/>
        <c:axId val="95504640"/>
        <c:extLst>
          <c:ext xmlns:c15="http://schemas.microsoft.com/office/drawing/2012/chart" uri="{02D57815-91ED-43cb-92C2-25804820EDAC}">
            <c15:filteredBarSeries>
              <c15:ser>
                <c:idx val="3"/>
                <c:order val="3"/>
                <c:tx>
                  <c:strRef>
                    <c:extLst>
                      <c:ext uri="{02D57815-91ED-43cb-92C2-25804820EDAC}">
                        <c15:formulaRef>
                          <c15:sqref>'структура пр-ва по ОО'!$B$4</c15:sqref>
                        </c15:formulaRef>
                      </c:ext>
                    </c:extLst>
                    <c:strCache>
                      <c:ptCount val="1"/>
                      <c:pt idx="0">
                        <c:v>сельскохозяйственные организации РФ</c:v>
                      </c:pt>
                    </c:strCache>
                  </c:strRef>
                </c:tx>
                <c:spPr>
                  <a:solidFill>
                    <a:schemeClr val="accent4"/>
                  </a:solidFill>
                  <a:ln>
                    <a:noFill/>
                  </a:ln>
                  <a:effectLst/>
                </c:spPr>
                <c:invertIfNegative val="0"/>
                <c:val>
                  <c:numRef>
                    <c:extLst>
                      <c:ext uri="{02D57815-91ED-43cb-92C2-25804820EDAC}">
                        <c15:formulaRef>
                          <c15:sqref>'структура пр-ва по ОО'!$C$4:$H$4</c15:sqref>
                        </c15:formulaRef>
                      </c:ext>
                    </c:extLst>
                    <c:numCache>
                      <c:formatCode>0.0</c:formatCode>
                      <c:ptCount val="6"/>
                      <c:pt idx="0">
                        <c:v>56.5</c:v>
                      </c:pt>
                      <c:pt idx="1">
                        <c:v>57.7</c:v>
                      </c:pt>
                      <c:pt idx="2">
                        <c:v>58.5</c:v>
                      </c:pt>
                      <c:pt idx="3">
                        <c:v>59.5</c:v>
                      </c:pt>
                      <c:pt idx="4">
                        <c:v>60.1</c:v>
                      </c:pt>
                      <c:pt idx="5">
                        <c:v>59.9</c:v>
                      </c:pt>
                    </c:numCache>
                  </c:numRef>
                </c:val>
                <c:extLst>
                  <c:ext xmlns:c16="http://schemas.microsoft.com/office/drawing/2014/chart" uri="{C3380CC4-5D6E-409C-BE32-E72D297353CC}">
                    <c16:uniqueId val="{00000003-5BA2-4F95-8B21-24405E6E6F11}"/>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'структура пр-ва по ОО'!$B$5</c15:sqref>
                        </c15:formulaRef>
                      </c:ext>
                    </c:extLst>
                    <c:strCache>
                      <c:ptCount val="1"/>
                      <c:pt idx="0">
                        <c:v>хозяйства населения РФ</c:v>
                      </c:pt>
                    </c:strCache>
                  </c:strRef>
                </c:tx>
                <c:spPr>
                  <a:solidFill>
                    <a:schemeClr val="accent5"/>
                  </a:solidFill>
                  <a:ln>
                    <a:noFill/>
                  </a:ln>
                  <a:effectLst/>
                </c:spPr>
                <c:invertIfNegative val="0"/>
                <c:val>
                  <c:numRef>
                    <c:extLst xmlns:c15="http://schemas.microsoft.com/office/drawing/2012/chart">
                      <c:ext xmlns:c15="http://schemas.microsoft.com/office/drawing/2012/chart" uri="{02D57815-91ED-43cb-92C2-25804820EDAC}">
                        <c15:formulaRef>
                          <c15:sqref>'структура пр-ва по ОО'!$C$5:$H$5</c15:sqref>
                        </c15:formulaRef>
                      </c:ext>
                    </c:extLst>
                    <c:numCache>
                      <c:formatCode>0.0</c:formatCode>
                      <c:ptCount val="6"/>
                      <c:pt idx="0">
                        <c:v>31</c:v>
                      </c:pt>
                      <c:pt idx="1">
                        <c:v>28.6</c:v>
                      </c:pt>
                      <c:pt idx="2">
                        <c:v>26.6</c:v>
                      </c:pt>
                      <c:pt idx="3">
                        <c:v>25.1</c:v>
                      </c:pt>
                      <c:pt idx="4">
                        <c:v>24.1</c:v>
                      </c:pt>
                      <c:pt idx="5">
                        <c:v>25.3</c:v>
                      </c:pt>
                    </c:numCache>
                  </c:numRef>
                </c:val>
                <c:extLst xmlns:c15="http://schemas.microsoft.com/office/drawing/2012/chart">
                  <c:ext xmlns:c16="http://schemas.microsoft.com/office/drawing/2014/chart" uri="{C3380CC4-5D6E-409C-BE32-E72D297353CC}">
                    <c16:uniqueId val="{00000004-5BA2-4F95-8B21-24405E6E6F11}"/>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'структура пр-ва по ОО'!$B$6</c15:sqref>
                        </c15:formulaRef>
                      </c:ext>
                    </c:extLst>
                    <c:strCache>
                      <c:ptCount val="1"/>
                      <c:pt idx="0">
                        <c:v>крестьянские (фермерские) хозяйства РФ</c:v>
                      </c:pt>
                    </c:strCache>
                  </c:strRef>
                </c:tx>
                <c:spPr>
                  <a:solidFill>
                    <a:schemeClr val="accent6"/>
                  </a:solidFill>
                  <a:ln>
                    <a:noFill/>
                  </a:ln>
                  <a:effectLst/>
                </c:spPr>
                <c:invertIfNegative val="0"/>
                <c:val>
                  <c:numRef>
                    <c:extLst xmlns:c15="http://schemas.microsoft.com/office/drawing/2012/chart">
                      <c:ext xmlns:c15="http://schemas.microsoft.com/office/drawing/2012/chart" uri="{02D57815-91ED-43cb-92C2-25804820EDAC}">
                        <c15:formulaRef>
                          <c15:sqref>'структура пр-ва по ОО'!$C$6:$H$6</c15:sqref>
                        </c15:formulaRef>
                      </c:ext>
                    </c:extLst>
                    <c:numCache>
                      <c:formatCode>0.0</c:formatCode>
                      <c:ptCount val="6"/>
                      <c:pt idx="0">
                        <c:v>12.5</c:v>
                      </c:pt>
                      <c:pt idx="1">
                        <c:v>13.7</c:v>
                      </c:pt>
                      <c:pt idx="2">
                        <c:v>14.9</c:v>
                      </c:pt>
                      <c:pt idx="3">
                        <c:v>15.4</c:v>
                      </c:pt>
                      <c:pt idx="4">
                        <c:v>15.8</c:v>
                      </c:pt>
                      <c:pt idx="5">
                        <c:v>14.8</c:v>
                      </c:pt>
                    </c:numCache>
                  </c:numRef>
                </c:val>
                <c:extLst xmlns:c15="http://schemas.microsoft.com/office/drawing/2012/chart">
                  <c:ext xmlns:c16="http://schemas.microsoft.com/office/drawing/2014/chart" uri="{C3380CC4-5D6E-409C-BE32-E72D297353CC}">
                    <c16:uniqueId val="{00000005-5BA2-4F95-8B21-24405E6E6F11}"/>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'структура пр-ва по ОО'!$B$18</c15:sqref>
                        </c15:formulaRef>
                      </c:ext>
                    </c:extLst>
                    <c:strCache>
                      <c:ptCount val="1"/>
                      <c:pt idx="0">
                        <c:v>сельскохозяйственные организации ПФО</c:v>
                      </c:pt>
                    </c:strCache>
                  </c:strRef>
                </c:tx>
                <c:spPr>
                  <a:solidFill>
                    <a:schemeClr val="accent1">
                      <a:lumMod val="60000"/>
                    </a:schemeClr>
                  </a:solidFill>
                  <a:ln>
                    <a:noFill/>
                  </a:ln>
                  <a:effectLst/>
                </c:spPr>
                <c:invertIfNegative val="0"/>
                <c:val>
                  <c:numRef>
                    <c:extLst xmlns:c15="http://schemas.microsoft.com/office/drawing/2012/chart">
                      <c:ext xmlns:c15="http://schemas.microsoft.com/office/drawing/2012/chart" uri="{02D57815-91ED-43cb-92C2-25804820EDAC}">
                        <c15:formulaRef>
                          <c15:sqref>'структура пр-ва по ОО'!$C$18:$H$18</c15:sqref>
                        </c15:formulaRef>
                      </c:ext>
                    </c:extLst>
                    <c:numCache>
                      <c:formatCode>0.0</c:formatCode>
                      <c:ptCount val="6"/>
                      <c:pt idx="0">
                        <c:v>50.3</c:v>
                      </c:pt>
                      <c:pt idx="1">
                        <c:v>52.4</c:v>
                      </c:pt>
                      <c:pt idx="2">
                        <c:v>53.8</c:v>
                      </c:pt>
                      <c:pt idx="3">
                        <c:v>54.2</c:v>
                      </c:pt>
                      <c:pt idx="4">
                        <c:v>55.7</c:v>
                      </c:pt>
                      <c:pt idx="5">
                        <c:v>55.3</c:v>
                      </c:pt>
                    </c:numCache>
                  </c:numRef>
                </c:val>
                <c:extLst xmlns:c15="http://schemas.microsoft.com/office/drawing/2012/chart">
                  <c:ext xmlns:c16="http://schemas.microsoft.com/office/drawing/2014/chart" uri="{C3380CC4-5D6E-409C-BE32-E72D297353CC}">
                    <c16:uniqueId val="{00000006-5BA2-4F95-8B21-24405E6E6F11}"/>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'структура пр-ва по ОО'!$B$19</c15:sqref>
                        </c15:formulaRef>
                      </c:ext>
                    </c:extLst>
                    <c:strCache>
                      <c:ptCount val="1"/>
                      <c:pt idx="0">
                        <c:v>хозяйства населения ПФО</c:v>
                      </c:pt>
                    </c:strCache>
                  </c:strRef>
                </c:tx>
                <c:spPr>
                  <a:solidFill>
                    <a:schemeClr val="accent2">
                      <a:lumMod val="60000"/>
                    </a:schemeClr>
                  </a:solidFill>
                  <a:ln>
                    <a:noFill/>
                  </a:ln>
                  <a:effectLst/>
                </c:spPr>
                <c:invertIfNegative val="0"/>
                <c:val>
                  <c:numRef>
                    <c:extLst xmlns:c15="http://schemas.microsoft.com/office/drawing/2012/chart">
                      <c:ext xmlns:c15="http://schemas.microsoft.com/office/drawing/2012/chart" uri="{02D57815-91ED-43cb-92C2-25804820EDAC}">
                        <c15:formulaRef>
                          <c15:sqref>'структура пр-ва по ОО'!$C$19:$H$19</c15:sqref>
                        </c15:formulaRef>
                      </c:ext>
                    </c:extLst>
                    <c:numCache>
                      <c:formatCode>0.0</c:formatCode>
                      <c:ptCount val="6"/>
                      <c:pt idx="0">
                        <c:v>37.9</c:v>
                      </c:pt>
                      <c:pt idx="1">
                        <c:v>34.700000000000003</c:v>
                      </c:pt>
                      <c:pt idx="2">
                        <c:v>30.9</c:v>
                      </c:pt>
                      <c:pt idx="3">
                        <c:v>31.1</c:v>
                      </c:pt>
                      <c:pt idx="4">
                        <c:v>28.3</c:v>
                      </c:pt>
                      <c:pt idx="5">
                        <c:v>30.2</c:v>
                      </c:pt>
                    </c:numCache>
                  </c:numRef>
                </c:val>
                <c:extLst xmlns:c15="http://schemas.microsoft.com/office/drawing/2012/chart">
                  <c:ext xmlns:c16="http://schemas.microsoft.com/office/drawing/2014/chart" uri="{C3380CC4-5D6E-409C-BE32-E72D297353CC}">
                    <c16:uniqueId val="{00000007-5BA2-4F95-8B21-24405E6E6F11}"/>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'структура пр-ва по ОО'!$B$20</c15:sqref>
                        </c15:formulaRef>
                      </c:ext>
                    </c:extLst>
                    <c:strCache>
                      <c:ptCount val="1"/>
                      <c:pt idx="0">
                        <c:v>крестьянские (фермерские) хозяйства ПФО</c:v>
                      </c:pt>
                    </c:strCache>
                  </c:strRef>
                </c:tx>
                <c:spPr>
                  <a:solidFill>
                    <a:schemeClr val="accent3">
                      <a:lumMod val="60000"/>
                    </a:schemeClr>
                  </a:solidFill>
                  <a:ln>
                    <a:noFill/>
                  </a:ln>
                  <a:effectLst/>
                </c:spPr>
                <c:invertIfNegative val="0"/>
                <c:val>
                  <c:numRef>
                    <c:extLst xmlns:c15="http://schemas.microsoft.com/office/drawing/2012/chart">
                      <c:ext xmlns:c15="http://schemas.microsoft.com/office/drawing/2012/chart" uri="{02D57815-91ED-43cb-92C2-25804820EDAC}">
                        <c15:formulaRef>
                          <c15:sqref>'структура пр-ва по ОО'!$C$20:$H$20</c15:sqref>
                        </c15:formulaRef>
                      </c:ext>
                    </c:extLst>
                    <c:numCache>
                      <c:formatCode>0.0</c:formatCode>
                      <c:ptCount val="6"/>
                      <c:pt idx="0">
                        <c:v>11.8</c:v>
                      </c:pt>
                      <c:pt idx="1">
                        <c:v>12.9</c:v>
                      </c:pt>
                      <c:pt idx="2">
                        <c:v>15.3</c:v>
                      </c:pt>
                      <c:pt idx="3">
                        <c:v>14.7</c:v>
                      </c:pt>
                      <c:pt idx="4">
                        <c:v>16</c:v>
                      </c:pt>
                      <c:pt idx="5">
                        <c:v>14.5</c:v>
                      </c:pt>
                    </c:numCache>
                  </c:numRef>
                </c:val>
                <c:extLst xmlns:c15="http://schemas.microsoft.com/office/drawing/2012/chart">
                  <c:ext xmlns:c16="http://schemas.microsoft.com/office/drawing/2014/chart" uri="{C3380CC4-5D6E-409C-BE32-E72D297353CC}">
                    <c16:uniqueId val="{00000008-5BA2-4F95-8B21-24405E6E6F11}"/>
                  </c:ext>
                </c:extLst>
              </c15:ser>
            </c15:filteredBarSeries>
          </c:ext>
        </c:extLst>
      </c:barChart>
      <c:catAx>
        <c:axId val="95502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504640"/>
        <c:crosses val="autoZero"/>
        <c:auto val="1"/>
        <c:lblAlgn val="ctr"/>
        <c:lblOffset val="100"/>
        <c:noMultiLvlLbl val="0"/>
      </c:catAx>
      <c:valAx>
        <c:axId val="95504640"/>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502720"/>
        <c:crosses val="autoZero"/>
        <c:crossBetween val="between"/>
      </c:valAx>
      <c:spPr>
        <a:noFill/>
        <a:ln>
          <a:noFill/>
        </a:ln>
        <a:effectLst/>
      </c:spPr>
    </c:plotArea>
    <c:legend>
      <c:legendPos val="b"/>
      <c:layout>
        <c:manualLayout>
          <c:xMode val="edge"/>
          <c:yMode val="edge"/>
          <c:x val="7.000238986451808E-2"/>
          <c:y val="0.8792198646282271"/>
          <c:w val="0.90893257145174922"/>
          <c:h val="0.1093083819068070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0442305822883272E-2"/>
          <c:y val="5.9087388666580622E-2"/>
          <c:w val="0.9023972003499563"/>
          <c:h val="0.70777034658577553"/>
        </c:manualLayout>
      </c:layout>
      <c:barChart>
        <c:barDir val="col"/>
        <c:grouping val="stacked"/>
        <c:varyColors val="0"/>
        <c:ser>
          <c:idx val="0"/>
          <c:order val="0"/>
          <c:tx>
            <c:strRef>
              <c:f>'пр-во основных видов сх пр-ии'!$A$6</c:f>
              <c:strCache>
                <c:ptCount val="1"/>
                <c:pt idx="0">
                  <c:v>Зерновые и зернобобовые культуры</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'пр-во основных видов сх пр-ии'!$B$5:$F$5</c:f>
              <c:numCache>
                <c:formatCode>General</c:formatCode>
                <c:ptCount val="5"/>
                <c:pt idx="0">
                  <c:v>2019</c:v>
                </c:pt>
                <c:pt idx="1">
                  <c:v>2020</c:v>
                </c:pt>
                <c:pt idx="2">
                  <c:v>2021</c:v>
                </c:pt>
                <c:pt idx="3">
                  <c:v>2022</c:v>
                </c:pt>
                <c:pt idx="4">
                  <c:v>2023</c:v>
                </c:pt>
              </c:numCache>
            </c:numRef>
          </c:cat>
          <c:val>
            <c:numRef>
              <c:f>'пр-во основных видов сх пр-ии'!$B$6:$F$6</c:f>
              <c:numCache>
                <c:formatCode>General</c:formatCode>
                <c:ptCount val="5"/>
                <c:pt idx="0">
                  <c:v>34.6</c:v>
                </c:pt>
                <c:pt idx="1">
                  <c:v>44.8</c:v>
                </c:pt>
                <c:pt idx="2">
                  <c:v>27.5</c:v>
                </c:pt>
                <c:pt idx="3">
                  <c:v>36.300000000000004</c:v>
                </c:pt>
                <c:pt idx="4">
                  <c:v>33.300000000000004</c:v>
                </c:pt>
              </c:numCache>
            </c:numRef>
          </c:val>
          <c:extLst>
            <c:ext xmlns:c16="http://schemas.microsoft.com/office/drawing/2014/chart" uri="{C3380CC4-5D6E-409C-BE32-E72D297353CC}">
              <c16:uniqueId val="{00000000-BA58-4E2C-BD8D-8426AC902CE3}"/>
            </c:ext>
          </c:extLst>
        </c:ser>
        <c:ser>
          <c:idx val="1"/>
          <c:order val="1"/>
          <c:tx>
            <c:strRef>
              <c:f>'пр-во основных видов сх пр-ии'!$A$7</c:f>
              <c:strCache>
                <c:ptCount val="1"/>
                <c:pt idx="0">
                  <c:v>технические культуры</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'пр-во основных видов сх пр-ии'!$B$5:$F$5</c:f>
              <c:numCache>
                <c:formatCode>General</c:formatCode>
                <c:ptCount val="5"/>
                <c:pt idx="0">
                  <c:v>2019</c:v>
                </c:pt>
                <c:pt idx="1">
                  <c:v>2020</c:v>
                </c:pt>
                <c:pt idx="2">
                  <c:v>2021</c:v>
                </c:pt>
                <c:pt idx="3">
                  <c:v>2022</c:v>
                </c:pt>
                <c:pt idx="4">
                  <c:v>2023</c:v>
                </c:pt>
              </c:numCache>
            </c:numRef>
          </c:cat>
          <c:val>
            <c:numRef>
              <c:f>'пр-во основных видов сх пр-ии'!$B$7:$F$7</c:f>
              <c:numCache>
                <c:formatCode>General</c:formatCode>
                <c:ptCount val="5"/>
                <c:pt idx="0">
                  <c:v>34.700000000000003</c:v>
                </c:pt>
                <c:pt idx="1">
                  <c:v>29.3</c:v>
                </c:pt>
                <c:pt idx="2">
                  <c:v>45.1</c:v>
                </c:pt>
                <c:pt idx="3">
                  <c:v>34.4</c:v>
                </c:pt>
                <c:pt idx="4">
                  <c:v>31.6</c:v>
                </c:pt>
              </c:numCache>
            </c:numRef>
          </c:val>
          <c:extLst>
            <c:ext xmlns:c16="http://schemas.microsoft.com/office/drawing/2014/chart" uri="{C3380CC4-5D6E-409C-BE32-E72D297353CC}">
              <c16:uniqueId val="{00000001-BA58-4E2C-BD8D-8426AC902CE3}"/>
            </c:ext>
          </c:extLst>
        </c:ser>
        <c:ser>
          <c:idx val="2"/>
          <c:order val="2"/>
          <c:tx>
            <c:strRef>
              <c:f>'пр-во основных видов сх пр-ии'!$A$8</c:f>
              <c:strCache>
                <c:ptCount val="1"/>
                <c:pt idx="0">
                  <c:v>картофель</c:v>
                </c:pt>
              </c:strCache>
            </c:strRef>
          </c:tx>
          <c:spPr>
            <a:solidFill>
              <a:schemeClr val="accent3"/>
            </a:solidFill>
            <a:ln>
              <a:noFill/>
            </a:ln>
            <a:effectLst/>
          </c:spPr>
          <c:invertIfNegative val="0"/>
          <c:cat>
            <c:numRef>
              <c:f>'пр-во основных видов сх пр-ии'!$B$5:$F$5</c:f>
              <c:numCache>
                <c:formatCode>General</c:formatCode>
                <c:ptCount val="5"/>
                <c:pt idx="0">
                  <c:v>2019</c:v>
                </c:pt>
                <c:pt idx="1">
                  <c:v>2020</c:v>
                </c:pt>
                <c:pt idx="2">
                  <c:v>2021</c:v>
                </c:pt>
                <c:pt idx="3">
                  <c:v>2022</c:v>
                </c:pt>
                <c:pt idx="4">
                  <c:v>2023</c:v>
                </c:pt>
              </c:numCache>
            </c:numRef>
          </c:cat>
          <c:val>
            <c:numRef>
              <c:f>'пр-во основных видов сх пр-ии'!$B$8:$F$8</c:f>
              <c:numCache>
                <c:formatCode>General</c:formatCode>
                <c:ptCount val="5"/>
                <c:pt idx="0">
                  <c:v>3.3</c:v>
                </c:pt>
                <c:pt idx="1">
                  <c:v>3.1</c:v>
                </c:pt>
                <c:pt idx="2">
                  <c:v>5</c:v>
                </c:pt>
                <c:pt idx="3">
                  <c:v>3.5</c:v>
                </c:pt>
                <c:pt idx="4">
                  <c:v>3.5</c:v>
                </c:pt>
              </c:numCache>
            </c:numRef>
          </c:val>
          <c:extLst>
            <c:ext xmlns:c16="http://schemas.microsoft.com/office/drawing/2014/chart" uri="{C3380CC4-5D6E-409C-BE32-E72D297353CC}">
              <c16:uniqueId val="{00000002-BA58-4E2C-BD8D-8426AC902CE3}"/>
            </c:ext>
          </c:extLst>
        </c:ser>
        <c:ser>
          <c:idx val="3"/>
          <c:order val="3"/>
          <c:tx>
            <c:strRef>
              <c:f>'пр-во основных видов сх пр-ии'!$A$9</c:f>
              <c:strCache>
                <c:ptCount val="1"/>
                <c:pt idx="0">
                  <c:v>обощебахчевые культуры</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'пр-во основных видов сх пр-ии'!$B$5:$F$5</c:f>
              <c:numCache>
                <c:formatCode>General</c:formatCode>
                <c:ptCount val="5"/>
                <c:pt idx="0">
                  <c:v>2019</c:v>
                </c:pt>
                <c:pt idx="1">
                  <c:v>2020</c:v>
                </c:pt>
                <c:pt idx="2">
                  <c:v>2021</c:v>
                </c:pt>
                <c:pt idx="3">
                  <c:v>2022</c:v>
                </c:pt>
                <c:pt idx="4">
                  <c:v>2023</c:v>
                </c:pt>
              </c:numCache>
            </c:numRef>
          </c:cat>
          <c:val>
            <c:numRef>
              <c:f>'пр-во основных видов сх пр-ии'!$B$9:$F$9</c:f>
              <c:numCache>
                <c:formatCode>General</c:formatCode>
                <c:ptCount val="5"/>
                <c:pt idx="0">
                  <c:v>13.7</c:v>
                </c:pt>
                <c:pt idx="1">
                  <c:v>10.200000000000001</c:v>
                </c:pt>
                <c:pt idx="2">
                  <c:v>12.8</c:v>
                </c:pt>
                <c:pt idx="3">
                  <c:v>12.6</c:v>
                </c:pt>
                <c:pt idx="4">
                  <c:v>18.399999999999999</c:v>
                </c:pt>
              </c:numCache>
            </c:numRef>
          </c:val>
          <c:extLst>
            <c:ext xmlns:c16="http://schemas.microsoft.com/office/drawing/2014/chart" uri="{C3380CC4-5D6E-409C-BE32-E72D297353CC}">
              <c16:uniqueId val="{00000003-BA58-4E2C-BD8D-8426AC902CE3}"/>
            </c:ext>
          </c:extLst>
        </c:ser>
        <c:ser>
          <c:idx val="4"/>
          <c:order val="4"/>
          <c:tx>
            <c:strRef>
              <c:f>'пр-во основных видов сх пр-ии'!$A$10</c:f>
              <c:strCache>
                <c:ptCount val="1"/>
                <c:pt idx="0">
                  <c:v>кармовые культуры</c:v>
                </c:pt>
              </c:strCache>
            </c:strRef>
          </c:tx>
          <c:spPr>
            <a:solidFill>
              <a:schemeClr val="accent5"/>
            </a:solidFill>
            <a:ln>
              <a:noFill/>
            </a:ln>
            <a:effectLst/>
          </c:spPr>
          <c:invertIfNegative val="0"/>
          <c:cat>
            <c:numRef>
              <c:f>'пр-во основных видов сх пр-ии'!$B$5:$F$5</c:f>
              <c:numCache>
                <c:formatCode>General</c:formatCode>
                <c:ptCount val="5"/>
                <c:pt idx="0">
                  <c:v>2019</c:v>
                </c:pt>
                <c:pt idx="1">
                  <c:v>2020</c:v>
                </c:pt>
                <c:pt idx="2">
                  <c:v>2021</c:v>
                </c:pt>
                <c:pt idx="3">
                  <c:v>2022</c:v>
                </c:pt>
                <c:pt idx="4">
                  <c:v>2023</c:v>
                </c:pt>
              </c:numCache>
            </c:numRef>
          </c:cat>
          <c:val>
            <c:numRef>
              <c:f>'пр-во основных видов сх пр-ии'!$B$10:$F$10</c:f>
              <c:numCache>
                <c:formatCode>General</c:formatCode>
                <c:ptCount val="5"/>
                <c:pt idx="0">
                  <c:v>7</c:v>
                </c:pt>
                <c:pt idx="1">
                  <c:v>6.2</c:v>
                </c:pt>
                <c:pt idx="2">
                  <c:v>4.5</c:v>
                </c:pt>
                <c:pt idx="3">
                  <c:v>6.8</c:v>
                </c:pt>
                <c:pt idx="4">
                  <c:v>6.8</c:v>
                </c:pt>
              </c:numCache>
            </c:numRef>
          </c:val>
          <c:extLst>
            <c:ext xmlns:c16="http://schemas.microsoft.com/office/drawing/2014/chart" uri="{C3380CC4-5D6E-409C-BE32-E72D297353CC}">
              <c16:uniqueId val="{00000004-BA58-4E2C-BD8D-8426AC902CE3}"/>
            </c:ext>
          </c:extLst>
        </c:ser>
        <c:ser>
          <c:idx val="5"/>
          <c:order val="5"/>
          <c:tx>
            <c:strRef>
              <c:f>'пр-во основных видов сх пр-ии'!$A$11</c:f>
              <c:strCache>
                <c:ptCount val="1"/>
                <c:pt idx="0">
                  <c:v>плодово-ягодные культуры</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'пр-во основных видов сх пр-ии'!$B$5:$F$5</c:f>
              <c:numCache>
                <c:formatCode>General</c:formatCode>
                <c:ptCount val="5"/>
                <c:pt idx="0">
                  <c:v>2019</c:v>
                </c:pt>
                <c:pt idx="1">
                  <c:v>2020</c:v>
                </c:pt>
                <c:pt idx="2">
                  <c:v>2021</c:v>
                </c:pt>
                <c:pt idx="3">
                  <c:v>2022</c:v>
                </c:pt>
                <c:pt idx="4">
                  <c:v>2023</c:v>
                </c:pt>
              </c:numCache>
            </c:numRef>
          </c:cat>
          <c:val>
            <c:numRef>
              <c:f>'пр-во основных видов сх пр-ии'!$B$11:$F$11</c:f>
              <c:numCache>
                <c:formatCode>General</c:formatCode>
                <c:ptCount val="5"/>
                <c:pt idx="0">
                  <c:v>5.9</c:v>
                </c:pt>
                <c:pt idx="1">
                  <c:v>4.7</c:v>
                </c:pt>
                <c:pt idx="2">
                  <c:v>5.0999999999999996</c:v>
                </c:pt>
                <c:pt idx="3">
                  <c:v>4.3</c:v>
                </c:pt>
                <c:pt idx="4">
                  <c:v>4.0999999999999996</c:v>
                </c:pt>
              </c:numCache>
            </c:numRef>
          </c:val>
          <c:extLst>
            <c:ext xmlns:c16="http://schemas.microsoft.com/office/drawing/2014/chart" uri="{C3380CC4-5D6E-409C-BE32-E72D297353CC}">
              <c16:uniqueId val="{00000005-BA58-4E2C-BD8D-8426AC902CE3}"/>
            </c:ext>
          </c:extLst>
        </c:ser>
        <c:ser>
          <c:idx val="6"/>
          <c:order val="6"/>
          <c:tx>
            <c:strRef>
              <c:f>'пр-во основных видов сх пр-ии'!$A$12</c:f>
              <c:strCache>
                <c:ptCount val="1"/>
                <c:pt idx="0">
                  <c:v>прочая продукция</c:v>
                </c:pt>
              </c:strCache>
            </c:strRef>
          </c:tx>
          <c:spPr>
            <a:solidFill>
              <a:schemeClr val="accent1">
                <a:lumMod val="60000"/>
              </a:schemeClr>
            </a:solidFill>
            <a:ln>
              <a:noFill/>
            </a:ln>
            <a:effectLst/>
          </c:spPr>
          <c:invertIfNegative val="0"/>
          <c:cat>
            <c:numRef>
              <c:f>'пр-во основных видов сх пр-ии'!$B$5:$F$5</c:f>
              <c:numCache>
                <c:formatCode>General</c:formatCode>
                <c:ptCount val="5"/>
                <c:pt idx="0">
                  <c:v>2019</c:v>
                </c:pt>
                <c:pt idx="1">
                  <c:v>2020</c:v>
                </c:pt>
                <c:pt idx="2">
                  <c:v>2021</c:v>
                </c:pt>
                <c:pt idx="3">
                  <c:v>2022</c:v>
                </c:pt>
                <c:pt idx="4">
                  <c:v>2023</c:v>
                </c:pt>
              </c:numCache>
            </c:numRef>
          </c:cat>
          <c:val>
            <c:numRef>
              <c:f>'пр-во основных видов сх пр-ии'!$B$12:$F$12</c:f>
              <c:numCache>
                <c:formatCode>General</c:formatCode>
                <c:ptCount val="5"/>
                <c:pt idx="0">
                  <c:v>0.8</c:v>
                </c:pt>
                <c:pt idx="1">
                  <c:v>1.7</c:v>
                </c:pt>
                <c:pt idx="3">
                  <c:v>2.1</c:v>
                </c:pt>
                <c:pt idx="4">
                  <c:v>2.2999999999999998</c:v>
                </c:pt>
              </c:numCache>
            </c:numRef>
          </c:val>
          <c:extLst>
            <c:ext xmlns:c16="http://schemas.microsoft.com/office/drawing/2014/chart" uri="{C3380CC4-5D6E-409C-BE32-E72D297353CC}">
              <c16:uniqueId val="{00000006-BA58-4E2C-BD8D-8426AC902CE3}"/>
            </c:ext>
          </c:extLst>
        </c:ser>
        <c:dLbls>
          <c:showLegendKey val="0"/>
          <c:showVal val="0"/>
          <c:showCatName val="0"/>
          <c:showSerName val="0"/>
          <c:showPercent val="0"/>
          <c:showBubbleSize val="0"/>
        </c:dLbls>
        <c:gapWidth val="150"/>
        <c:overlap val="100"/>
        <c:axId val="95931776"/>
        <c:axId val="95995008"/>
      </c:barChart>
      <c:catAx>
        <c:axId val="95931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995008"/>
        <c:crosses val="autoZero"/>
        <c:auto val="1"/>
        <c:lblAlgn val="ctr"/>
        <c:lblOffset val="100"/>
        <c:noMultiLvlLbl val="0"/>
      </c:catAx>
      <c:valAx>
        <c:axId val="95995008"/>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ru-RU"/>
          </a:p>
        </c:txPr>
        <c:crossAx val="95931776"/>
        <c:crosses val="autoZero"/>
        <c:crossBetween val="between"/>
      </c:valAx>
      <c:spPr>
        <a:noFill/>
        <a:ln>
          <a:noFill/>
        </a:ln>
        <a:effectLst/>
      </c:spPr>
    </c:plotArea>
    <c:legend>
      <c:legendPos val="b"/>
      <c:layout>
        <c:manualLayout>
          <c:xMode val="edge"/>
          <c:yMode val="edge"/>
          <c:x val="0.12848996832101375"/>
          <c:y val="0.86017530979734069"/>
          <c:w val="0.80721765334888751"/>
          <c:h val="0.13693561673572874"/>
        </c:manualLayout>
      </c:layout>
      <c:overlay val="0"/>
      <c:spPr>
        <a:noFill/>
        <a:ln>
          <a:noFill/>
        </a:ln>
        <a:effectLst/>
      </c:spPr>
      <c:txPr>
        <a:bodyPr rot="0" spcFirstLastPara="1" vertOverflow="ellipsis" vert="horz" wrap="square" anchor="ctr" anchorCtr="1"/>
        <a:lstStyle/>
        <a:p>
          <a:pPr>
            <a:defRPr sz="5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'пр-во основных видов сх пр-ии'!$I$6</c:f>
              <c:strCache>
                <c:ptCount val="1"/>
                <c:pt idx="0">
                  <c:v>Скот и птица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'пр-во основных видов сх пр-ии'!$J$5:$N$5</c:f>
              <c:numCache>
                <c:formatCode>General</c:formatCode>
                <c:ptCount val="5"/>
                <c:pt idx="0">
                  <c:v>2019</c:v>
                </c:pt>
                <c:pt idx="1">
                  <c:v>2020</c:v>
                </c:pt>
                <c:pt idx="2">
                  <c:v>2021</c:v>
                </c:pt>
                <c:pt idx="3">
                  <c:v>2022</c:v>
                </c:pt>
                <c:pt idx="4">
                  <c:v>2023</c:v>
                </c:pt>
              </c:numCache>
            </c:numRef>
          </c:cat>
          <c:val>
            <c:numRef>
              <c:f>'пр-во основных видов сх пр-ии'!$J$6:$N$6</c:f>
              <c:numCache>
                <c:formatCode>General</c:formatCode>
                <c:ptCount val="5"/>
                <c:pt idx="0">
                  <c:v>47.2</c:v>
                </c:pt>
                <c:pt idx="1">
                  <c:v>48</c:v>
                </c:pt>
                <c:pt idx="2">
                  <c:v>48</c:v>
                </c:pt>
                <c:pt idx="3">
                  <c:v>52.5</c:v>
                </c:pt>
                <c:pt idx="4">
                  <c:v>52.5</c:v>
                </c:pt>
              </c:numCache>
            </c:numRef>
          </c:val>
          <c:extLst>
            <c:ext xmlns:c16="http://schemas.microsoft.com/office/drawing/2014/chart" uri="{C3380CC4-5D6E-409C-BE32-E72D297353CC}">
              <c16:uniqueId val="{00000000-9D50-4BD7-B52E-80A5B28E8DFC}"/>
            </c:ext>
          </c:extLst>
        </c:ser>
        <c:ser>
          <c:idx val="1"/>
          <c:order val="1"/>
          <c:tx>
            <c:strRef>
              <c:f>'пр-во основных видов сх пр-ии'!$I$7</c:f>
              <c:strCache>
                <c:ptCount val="1"/>
                <c:pt idx="0">
                  <c:v>Молоко</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'пр-во основных видов сх пр-ии'!$J$5:$N$5</c:f>
              <c:numCache>
                <c:formatCode>General</c:formatCode>
                <c:ptCount val="5"/>
                <c:pt idx="0">
                  <c:v>2019</c:v>
                </c:pt>
                <c:pt idx="1">
                  <c:v>2020</c:v>
                </c:pt>
                <c:pt idx="2">
                  <c:v>2021</c:v>
                </c:pt>
                <c:pt idx="3">
                  <c:v>2022</c:v>
                </c:pt>
                <c:pt idx="4">
                  <c:v>2023</c:v>
                </c:pt>
              </c:numCache>
            </c:numRef>
          </c:cat>
          <c:val>
            <c:numRef>
              <c:f>'пр-во основных видов сх пр-ии'!$J$7:$N$7</c:f>
              <c:numCache>
                <c:formatCode>General</c:formatCode>
                <c:ptCount val="5"/>
                <c:pt idx="0">
                  <c:v>43.2</c:v>
                </c:pt>
                <c:pt idx="1">
                  <c:v>41.2</c:v>
                </c:pt>
                <c:pt idx="2">
                  <c:v>41.2</c:v>
                </c:pt>
                <c:pt idx="3">
                  <c:v>37.4</c:v>
                </c:pt>
                <c:pt idx="4">
                  <c:v>37.4</c:v>
                </c:pt>
              </c:numCache>
            </c:numRef>
          </c:val>
          <c:extLst>
            <c:ext xmlns:c16="http://schemas.microsoft.com/office/drawing/2014/chart" uri="{C3380CC4-5D6E-409C-BE32-E72D297353CC}">
              <c16:uniqueId val="{00000001-9D50-4BD7-B52E-80A5B28E8DFC}"/>
            </c:ext>
          </c:extLst>
        </c:ser>
        <c:ser>
          <c:idx val="2"/>
          <c:order val="2"/>
          <c:tx>
            <c:strRef>
              <c:f>'пр-во основных видов сх пр-ии'!$I$8</c:f>
              <c:strCache>
                <c:ptCount val="1"/>
                <c:pt idx="0">
                  <c:v>Яйца</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'пр-во основных видов сх пр-ии'!$J$5:$N$5</c:f>
              <c:numCache>
                <c:formatCode>General</c:formatCode>
                <c:ptCount val="5"/>
                <c:pt idx="0">
                  <c:v>2019</c:v>
                </c:pt>
                <c:pt idx="1">
                  <c:v>2020</c:v>
                </c:pt>
                <c:pt idx="2">
                  <c:v>2021</c:v>
                </c:pt>
                <c:pt idx="3">
                  <c:v>2022</c:v>
                </c:pt>
                <c:pt idx="4">
                  <c:v>2023</c:v>
                </c:pt>
              </c:numCache>
            </c:numRef>
          </c:cat>
          <c:val>
            <c:numRef>
              <c:f>'пр-во основных видов сх пр-ии'!$J$8:$N$8</c:f>
              <c:numCache>
                <c:formatCode>General</c:formatCode>
                <c:ptCount val="5"/>
                <c:pt idx="0">
                  <c:v>7.8</c:v>
                </c:pt>
                <c:pt idx="1">
                  <c:v>8.8000000000000007</c:v>
                </c:pt>
                <c:pt idx="2">
                  <c:v>8.8000000000000007</c:v>
                </c:pt>
                <c:pt idx="3">
                  <c:v>7.7</c:v>
                </c:pt>
                <c:pt idx="4">
                  <c:v>7.7</c:v>
                </c:pt>
              </c:numCache>
            </c:numRef>
          </c:val>
          <c:extLst>
            <c:ext xmlns:c16="http://schemas.microsoft.com/office/drawing/2014/chart" uri="{C3380CC4-5D6E-409C-BE32-E72D297353CC}">
              <c16:uniqueId val="{00000002-9D50-4BD7-B52E-80A5B28E8DFC}"/>
            </c:ext>
          </c:extLst>
        </c:ser>
        <c:ser>
          <c:idx val="3"/>
          <c:order val="3"/>
          <c:tx>
            <c:strRef>
              <c:f>'пр-во основных видов сх пр-ии'!$I$9</c:f>
              <c:strCache>
                <c:ptCount val="1"/>
                <c:pt idx="0">
                  <c:v>Шерсть</c:v>
                </c:pt>
              </c:strCache>
            </c:strRef>
          </c:tx>
          <c:spPr>
            <a:solidFill>
              <a:schemeClr val="accent4"/>
            </a:solidFill>
            <a:ln>
              <a:noFill/>
            </a:ln>
            <a:effectLst/>
          </c:spPr>
          <c:invertIfNegative val="0"/>
          <c:cat>
            <c:numRef>
              <c:f>'пр-во основных видов сх пр-ии'!$J$5:$N$5</c:f>
              <c:numCache>
                <c:formatCode>General</c:formatCode>
                <c:ptCount val="5"/>
                <c:pt idx="0">
                  <c:v>2019</c:v>
                </c:pt>
                <c:pt idx="1">
                  <c:v>2020</c:v>
                </c:pt>
                <c:pt idx="2">
                  <c:v>2021</c:v>
                </c:pt>
                <c:pt idx="3">
                  <c:v>2022</c:v>
                </c:pt>
                <c:pt idx="4">
                  <c:v>2023</c:v>
                </c:pt>
              </c:numCache>
            </c:numRef>
          </c:cat>
          <c:val>
            <c:numRef>
              <c:f>'пр-во основных видов сх пр-ии'!$J$9:$N$9</c:f>
              <c:numCache>
                <c:formatCode>General</c:formatCode>
                <c:ptCount val="5"/>
                <c:pt idx="0">
                  <c:v>0.1</c:v>
                </c:pt>
                <c:pt idx="1">
                  <c:v>0.1</c:v>
                </c:pt>
                <c:pt idx="2">
                  <c:v>0.1</c:v>
                </c:pt>
                <c:pt idx="3">
                  <c:v>0.1</c:v>
                </c:pt>
                <c:pt idx="4">
                  <c:v>0.1</c:v>
                </c:pt>
              </c:numCache>
            </c:numRef>
          </c:val>
          <c:extLst>
            <c:ext xmlns:c16="http://schemas.microsoft.com/office/drawing/2014/chart" uri="{C3380CC4-5D6E-409C-BE32-E72D297353CC}">
              <c16:uniqueId val="{00000003-9D50-4BD7-B52E-80A5B28E8DFC}"/>
            </c:ext>
          </c:extLst>
        </c:ser>
        <c:ser>
          <c:idx val="4"/>
          <c:order val="4"/>
          <c:tx>
            <c:strRef>
              <c:f>'пр-во основных видов сх пр-ии'!$I$10</c:f>
              <c:strCache>
                <c:ptCount val="1"/>
                <c:pt idx="0">
                  <c:v>Прочая продукция</c:v>
                </c:pt>
              </c:strCache>
            </c:strRef>
          </c:tx>
          <c:spPr>
            <a:solidFill>
              <a:schemeClr val="accent5"/>
            </a:solidFill>
            <a:ln>
              <a:noFill/>
            </a:ln>
            <a:effectLst/>
          </c:spPr>
          <c:invertIfNegative val="0"/>
          <c:dLbls>
            <c:dLbl>
              <c:idx val="0"/>
              <c:layout>
                <c:manualLayout>
                  <c:x val="0"/>
                  <c:y val="-2.55558395093278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D50-4BD7-B52E-80A5B28E8DFC}"/>
                </c:ext>
              </c:extLst>
            </c:dLbl>
            <c:dLbl>
              <c:idx val="1"/>
              <c:layout>
                <c:manualLayout>
                  <c:x val="0"/>
                  <c:y val="-2.55558395093278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D50-4BD7-B52E-80A5B28E8DFC}"/>
                </c:ext>
              </c:extLst>
            </c:dLbl>
            <c:dLbl>
              <c:idx val="2"/>
              <c:layout>
                <c:manualLayout>
                  <c:x val="0"/>
                  <c:y val="-3.06670074111934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D50-4BD7-B52E-80A5B28E8DFC}"/>
                </c:ext>
              </c:extLst>
            </c:dLbl>
            <c:dLbl>
              <c:idx val="3"/>
              <c:layout>
                <c:manualLayout>
                  <c:x val="-7.5476004724367328E-17"/>
                  <c:y val="-3.06670074111934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D50-4BD7-B52E-80A5B28E8DFC}"/>
                </c:ext>
              </c:extLst>
            </c:dLbl>
            <c:dLbl>
              <c:idx val="4"/>
              <c:layout>
                <c:manualLayout>
                  <c:x val="0"/>
                  <c:y val="-3.06670074111934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9D50-4BD7-B52E-80A5B28E8DFC}"/>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'пр-во основных видов сх пр-ии'!$J$5:$N$5</c:f>
              <c:numCache>
                <c:formatCode>General</c:formatCode>
                <c:ptCount val="5"/>
                <c:pt idx="0">
                  <c:v>2019</c:v>
                </c:pt>
                <c:pt idx="1">
                  <c:v>2020</c:v>
                </c:pt>
                <c:pt idx="2">
                  <c:v>2021</c:v>
                </c:pt>
                <c:pt idx="3">
                  <c:v>2022</c:v>
                </c:pt>
                <c:pt idx="4">
                  <c:v>2023</c:v>
                </c:pt>
              </c:numCache>
            </c:numRef>
          </c:cat>
          <c:val>
            <c:numRef>
              <c:f>'пр-во основных видов сх пр-ии'!$J$10:$N$10</c:f>
              <c:numCache>
                <c:formatCode>General</c:formatCode>
                <c:ptCount val="5"/>
                <c:pt idx="0">
                  <c:v>1.7</c:v>
                </c:pt>
                <c:pt idx="1">
                  <c:v>1.9000000000000001</c:v>
                </c:pt>
                <c:pt idx="2">
                  <c:v>1.9000000000000001</c:v>
                </c:pt>
                <c:pt idx="3">
                  <c:v>2.2999999999999998</c:v>
                </c:pt>
                <c:pt idx="4">
                  <c:v>2.2999999999999998</c:v>
                </c:pt>
              </c:numCache>
            </c:numRef>
          </c:val>
          <c:extLst>
            <c:ext xmlns:c16="http://schemas.microsoft.com/office/drawing/2014/chart" uri="{C3380CC4-5D6E-409C-BE32-E72D297353CC}">
              <c16:uniqueId val="{00000004-9D50-4BD7-B52E-80A5B28E8DFC}"/>
            </c:ext>
          </c:extLst>
        </c:ser>
        <c:dLbls>
          <c:showLegendKey val="0"/>
          <c:showVal val="0"/>
          <c:showCatName val="0"/>
          <c:showSerName val="0"/>
          <c:showPercent val="0"/>
          <c:showBubbleSize val="0"/>
        </c:dLbls>
        <c:gapWidth val="150"/>
        <c:overlap val="100"/>
        <c:axId val="100715520"/>
        <c:axId val="106239104"/>
      </c:barChart>
      <c:catAx>
        <c:axId val="100715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6239104"/>
        <c:crosses val="autoZero"/>
        <c:auto val="1"/>
        <c:lblAlgn val="ctr"/>
        <c:lblOffset val="100"/>
        <c:noMultiLvlLbl val="0"/>
      </c:catAx>
      <c:valAx>
        <c:axId val="106239104"/>
        <c:scaling>
          <c:orientation val="minMax"/>
          <c:max val="100"/>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00715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5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244326629605119E-2"/>
          <c:y val="3.1509265233019564E-2"/>
          <c:w val="0.94450493632139865"/>
          <c:h val="0.77042224751959831"/>
        </c:manualLayout>
      </c:layout>
      <c:lineChart>
        <c:grouping val="standard"/>
        <c:varyColors val="0"/>
        <c:ser>
          <c:idx val="0"/>
          <c:order val="0"/>
          <c:tx>
            <c:strRef>
              <c:f>обеспеченность!$C$4</c:f>
              <c:strCache>
                <c:ptCount val="1"/>
                <c:pt idx="0">
                  <c:v>Мясо и мясопродукты</c:v>
                </c:pt>
              </c:strCache>
            </c:strRef>
          </c:tx>
          <c:spPr>
            <a:ln w="28575" cap="rnd">
              <a:solidFill>
                <a:schemeClr val="accent1"/>
              </a:solidFill>
              <a:round/>
            </a:ln>
            <a:effectLst/>
          </c:spPr>
          <c:marker>
            <c:symbol val="none"/>
          </c:marker>
          <c:dLbls>
            <c:dLbl>
              <c:idx val="0"/>
              <c:layout>
                <c:manualLayout>
                  <c:x val="-1.5442931349150672E-2"/>
                  <c:y val="3.05110602593440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2F8-4ECF-8C1C-A77ABD5431A5}"/>
                </c:ext>
              </c:extLst>
            </c:dLbl>
            <c:dLbl>
              <c:idx val="1"/>
              <c:layout>
                <c:manualLayout>
                  <c:x val="-1.8250737048996209E-2"/>
                  <c:y val="-2.28832951945080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2F8-4ECF-8C1C-A77ABD5431A5}"/>
                </c:ext>
              </c:extLst>
            </c:dLbl>
            <c:dLbl>
              <c:idx val="2"/>
              <c:layout>
                <c:manualLayout>
                  <c:x val="-1.4039028499227859E-2"/>
                  <c:y val="2.28832951945079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2F8-4ECF-8C1C-A77ABD5431A5}"/>
                </c:ext>
              </c:extLst>
            </c:dLbl>
            <c:dLbl>
              <c:idx val="3"/>
              <c:layout>
                <c:manualLayout>
                  <c:x val="-1.7759562841530161E-2"/>
                  <c:y val="-3.56083030587470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2F8-4ECF-8C1C-A77ABD5431A5}"/>
                </c:ext>
              </c:extLst>
            </c:dLbl>
            <c:dLbl>
              <c:idx val="4"/>
              <c:layout>
                <c:manualLayout>
                  <c:x val="-8.4234170995368222E-3"/>
                  <c:y val="-1.71624713958810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2F8-4ECF-8C1C-A77ABD5431A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обеспеченность!$D$3:$H$3</c:f>
              <c:numCache>
                <c:formatCode>General</c:formatCode>
                <c:ptCount val="5"/>
                <c:pt idx="0">
                  <c:v>2019</c:v>
                </c:pt>
                <c:pt idx="1">
                  <c:v>2020</c:v>
                </c:pt>
                <c:pt idx="2">
                  <c:v>2021</c:v>
                </c:pt>
                <c:pt idx="3">
                  <c:v>2022</c:v>
                </c:pt>
                <c:pt idx="4">
                  <c:v>2023</c:v>
                </c:pt>
              </c:numCache>
            </c:numRef>
          </c:cat>
          <c:val>
            <c:numRef>
              <c:f>обеспеченность!$D$4:$H$4</c:f>
              <c:numCache>
                <c:formatCode>General</c:formatCode>
                <c:ptCount val="5"/>
                <c:pt idx="0">
                  <c:v>97.8</c:v>
                </c:pt>
                <c:pt idx="1">
                  <c:v>99.4</c:v>
                </c:pt>
                <c:pt idx="2">
                  <c:v>95.9</c:v>
                </c:pt>
                <c:pt idx="3">
                  <c:v>103.6</c:v>
                </c:pt>
                <c:pt idx="4">
                  <c:v>99.6</c:v>
                </c:pt>
              </c:numCache>
            </c:numRef>
          </c:val>
          <c:smooth val="0"/>
          <c:extLst>
            <c:ext xmlns:c16="http://schemas.microsoft.com/office/drawing/2014/chart" uri="{C3380CC4-5D6E-409C-BE32-E72D297353CC}">
              <c16:uniqueId val="{00000005-12F8-4ECF-8C1C-A77ABD5431A5}"/>
            </c:ext>
          </c:extLst>
        </c:ser>
        <c:ser>
          <c:idx val="1"/>
          <c:order val="1"/>
          <c:tx>
            <c:strRef>
              <c:f>обеспеченность!$C$5</c:f>
              <c:strCache>
                <c:ptCount val="1"/>
                <c:pt idx="0">
                  <c:v>Молоко и молокопродукты</c:v>
                </c:pt>
              </c:strCache>
            </c:strRef>
          </c:tx>
          <c:spPr>
            <a:ln w="28575" cap="rnd">
              <a:solidFill>
                <a:schemeClr val="accent2"/>
              </a:solidFill>
              <a:round/>
            </a:ln>
            <a:effectLst/>
          </c:spPr>
          <c:marker>
            <c:symbol val="none"/>
          </c:marker>
          <c:dLbls>
            <c:dLbl>
              <c:idx val="0"/>
              <c:layout>
                <c:manualLayout>
                  <c:x val="-2.1058542748841787E-2"/>
                  <c:y val="-3.05110602593440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2F8-4ECF-8C1C-A77ABD5431A5}"/>
                </c:ext>
              </c:extLst>
            </c:dLbl>
            <c:dLbl>
              <c:idx val="1"/>
              <c:layout>
                <c:manualLayout>
                  <c:x val="-8.4234170995367164E-3"/>
                  <c:y val="1.90694126620900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2F8-4ECF-8C1C-A77ABD5431A5}"/>
                </c:ext>
              </c:extLst>
            </c:dLbl>
            <c:dLbl>
              <c:idx val="2"/>
              <c:layout>
                <c:manualLayout>
                  <c:x val="-1.5442931349150646E-2"/>
                  <c:y val="-3.24180015255530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12F8-4ECF-8C1C-A77ABD5431A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обеспеченность!$D$3:$H$3</c:f>
              <c:numCache>
                <c:formatCode>General</c:formatCode>
                <c:ptCount val="5"/>
                <c:pt idx="0">
                  <c:v>2019</c:v>
                </c:pt>
                <c:pt idx="1">
                  <c:v>2020</c:v>
                </c:pt>
                <c:pt idx="2">
                  <c:v>2021</c:v>
                </c:pt>
                <c:pt idx="3">
                  <c:v>2022</c:v>
                </c:pt>
                <c:pt idx="4">
                  <c:v>2023</c:v>
                </c:pt>
              </c:numCache>
            </c:numRef>
          </c:cat>
          <c:val>
            <c:numRef>
              <c:f>обеспеченность!$D$5:$H$5</c:f>
              <c:numCache>
                <c:formatCode>General</c:formatCode>
                <c:ptCount val="5"/>
                <c:pt idx="0">
                  <c:v>96</c:v>
                </c:pt>
                <c:pt idx="1">
                  <c:v>96.1</c:v>
                </c:pt>
                <c:pt idx="2">
                  <c:v>94.4</c:v>
                </c:pt>
                <c:pt idx="3">
                  <c:v>95.4</c:v>
                </c:pt>
                <c:pt idx="4">
                  <c:v>96</c:v>
                </c:pt>
              </c:numCache>
            </c:numRef>
          </c:val>
          <c:smooth val="0"/>
          <c:extLst>
            <c:ext xmlns:c16="http://schemas.microsoft.com/office/drawing/2014/chart" uri="{C3380CC4-5D6E-409C-BE32-E72D297353CC}">
              <c16:uniqueId val="{00000009-12F8-4ECF-8C1C-A77ABD5431A5}"/>
            </c:ext>
          </c:extLst>
        </c:ser>
        <c:ser>
          <c:idx val="2"/>
          <c:order val="2"/>
          <c:tx>
            <c:strRef>
              <c:f>обеспеченность!$C$6</c:f>
              <c:strCache>
                <c:ptCount val="1"/>
                <c:pt idx="0">
                  <c:v>Яйца</c:v>
                </c:pt>
              </c:strCache>
            </c:strRef>
          </c:tx>
          <c:spPr>
            <a:ln w="28575" cap="rnd">
              <a:solidFill>
                <a:schemeClr val="accent3"/>
              </a:solidFill>
              <a:round/>
            </a:ln>
            <a:effectLst/>
          </c:spPr>
          <c:marker>
            <c:symbol val="none"/>
          </c:marker>
          <c:dLbls>
            <c:dLbl>
              <c:idx val="1"/>
              <c:layout>
                <c:manualLayout>
                  <c:x val="-2.386634844868735E-2"/>
                  <c:y val="3.62318840579710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12F8-4ECF-8C1C-A77ABD5431A5}"/>
                </c:ext>
              </c:extLst>
            </c:dLbl>
            <c:dLbl>
              <c:idx val="2"/>
              <c:layout>
                <c:manualLayout>
                  <c:x val="-1.4039028499227859E-3"/>
                  <c:y val="2.479023646071698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12F8-4ECF-8C1C-A77ABD5431A5}"/>
                </c:ext>
              </c:extLst>
            </c:dLbl>
            <c:dLbl>
              <c:idx val="3"/>
              <c:layout>
                <c:manualLayout>
                  <c:x val="-1.1231222799382287E-2"/>
                  <c:y val="1.71624713958810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12F8-4ECF-8C1C-A77ABD5431A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обеспеченность!$D$3:$H$3</c:f>
              <c:numCache>
                <c:formatCode>General</c:formatCode>
                <c:ptCount val="5"/>
                <c:pt idx="0">
                  <c:v>2019</c:v>
                </c:pt>
                <c:pt idx="1">
                  <c:v>2020</c:v>
                </c:pt>
                <c:pt idx="2">
                  <c:v>2021</c:v>
                </c:pt>
                <c:pt idx="3">
                  <c:v>2022</c:v>
                </c:pt>
                <c:pt idx="4">
                  <c:v>2023</c:v>
                </c:pt>
              </c:numCache>
            </c:numRef>
          </c:cat>
          <c:val>
            <c:numRef>
              <c:f>обеспеченность!$D$6:$H$6</c:f>
              <c:numCache>
                <c:formatCode>General</c:formatCode>
                <c:ptCount val="5"/>
                <c:pt idx="0">
                  <c:v>155.5</c:v>
                </c:pt>
                <c:pt idx="1">
                  <c:v>155.5</c:v>
                </c:pt>
                <c:pt idx="2">
                  <c:v>156.80000000000001</c:v>
                </c:pt>
                <c:pt idx="3">
                  <c:v>157.4</c:v>
                </c:pt>
                <c:pt idx="4">
                  <c:v>163.5</c:v>
                </c:pt>
              </c:numCache>
            </c:numRef>
          </c:val>
          <c:smooth val="0"/>
          <c:extLst>
            <c:ext xmlns:c16="http://schemas.microsoft.com/office/drawing/2014/chart" uri="{C3380CC4-5D6E-409C-BE32-E72D297353CC}">
              <c16:uniqueId val="{0000000D-12F8-4ECF-8C1C-A77ABD5431A5}"/>
            </c:ext>
          </c:extLst>
        </c:ser>
        <c:ser>
          <c:idx val="3"/>
          <c:order val="3"/>
          <c:tx>
            <c:strRef>
              <c:f>обеспеченность!$C$7</c:f>
              <c:strCache>
                <c:ptCount val="1"/>
                <c:pt idx="0">
                  <c:v>Картофель</c:v>
                </c:pt>
              </c:strCache>
            </c:strRef>
          </c:tx>
          <c:spPr>
            <a:ln w="28575" cap="rnd">
              <a:solidFill>
                <a:schemeClr val="accent4"/>
              </a:solidFill>
              <a:round/>
            </a:ln>
            <a:effectLst/>
          </c:spPr>
          <c:marker>
            <c:symbol val="none"/>
          </c:marker>
          <c:dLbls>
            <c:dLbl>
              <c:idx val="1"/>
              <c:layout>
                <c:manualLayout>
                  <c:x val="-8.4234170995367164E-3"/>
                  <c:y val="1.71624713958810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12F8-4ECF-8C1C-A77ABD5431A5}"/>
                </c:ext>
              </c:extLst>
            </c:dLbl>
            <c:dLbl>
              <c:idx val="2"/>
              <c:layout>
                <c:manualLayout>
                  <c:x val="-1.4039028499227859E-3"/>
                  <c:y val="1.71624713958810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12F8-4ECF-8C1C-A77ABD5431A5}"/>
                </c:ext>
              </c:extLst>
            </c:dLbl>
            <c:dLbl>
              <c:idx val="3"/>
              <c:layout>
                <c:manualLayout>
                  <c:x val="4.2117085497683573E-3"/>
                  <c:y val="1.14416475972539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12F8-4ECF-8C1C-A77ABD5431A5}"/>
                </c:ext>
              </c:extLst>
            </c:dLbl>
            <c:dLbl>
              <c:idx val="4"/>
              <c:layout>
                <c:manualLayout>
                  <c:x val="0"/>
                  <c:y val="3.05110602593440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12F8-4ECF-8C1C-A77ABD5431A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обеспеченность!$D$3:$H$3</c:f>
              <c:numCache>
                <c:formatCode>General</c:formatCode>
                <c:ptCount val="5"/>
                <c:pt idx="0">
                  <c:v>2019</c:v>
                </c:pt>
                <c:pt idx="1">
                  <c:v>2020</c:v>
                </c:pt>
                <c:pt idx="2">
                  <c:v>2021</c:v>
                </c:pt>
                <c:pt idx="3">
                  <c:v>2022</c:v>
                </c:pt>
                <c:pt idx="4">
                  <c:v>2023</c:v>
                </c:pt>
              </c:numCache>
            </c:numRef>
          </c:cat>
          <c:val>
            <c:numRef>
              <c:f>обеспеченность!$D$7:$H$7</c:f>
              <c:numCache>
                <c:formatCode>General</c:formatCode>
                <c:ptCount val="5"/>
                <c:pt idx="0">
                  <c:v>74.400000000000006</c:v>
                </c:pt>
                <c:pt idx="1">
                  <c:v>84.2</c:v>
                </c:pt>
                <c:pt idx="2">
                  <c:v>84.4</c:v>
                </c:pt>
                <c:pt idx="3">
                  <c:v>89.3</c:v>
                </c:pt>
                <c:pt idx="4">
                  <c:v>94.9</c:v>
                </c:pt>
              </c:numCache>
            </c:numRef>
          </c:val>
          <c:smooth val="0"/>
          <c:extLst>
            <c:ext xmlns:c16="http://schemas.microsoft.com/office/drawing/2014/chart" uri="{C3380CC4-5D6E-409C-BE32-E72D297353CC}">
              <c16:uniqueId val="{00000012-12F8-4ECF-8C1C-A77ABD5431A5}"/>
            </c:ext>
          </c:extLst>
        </c:ser>
        <c:ser>
          <c:idx val="4"/>
          <c:order val="4"/>
          <c:tx>
            <c:strRef>
              <c:f>обеспеченность!$C$8</c:f>
              <c:strCache>
                <c:ptCount val="1"/>
                <c:pt idx="0">
                  <c:v>Овощи и продовольственные бахчевые культуры</c:v>
                </c:pt>
              </c:strCache>
            </c:strRef>
          </c:tx>
          <c:spPr>
            <a:ln w="28575" cap="rnd">
              <a:solidFill>
                <a:schemeClr val="accent5"/>
              </a:solidFill>
              <a:round/>
            </a:ln>
            <a:effectLst/>
          </c:spPr>
          <c:marker>
            <c:symbol val="none"/>
          </c:marker>
          <c:dLbls>
            <c:dLbl>
              <c:idx val="1"/>
              <c:layout>
                <c:manualLayout>
                  <c:x val="-3.3693668398146845E-2"/>
                  <c:y val="-2.4790236460717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12F8-4ECF-8C1C-A77ABD5431A5}"/>
                </c:ext>
              </c:extLst>
            </c:dLbl>
            <c:dLbl>
              <c:idx val="2"/>
              <c:layout>
                <c:manualLayout>
                  <c:x val="-2.8078056998455708E-2"/>
                  <c:y val="-2.47902364607170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12F8-4ECF-8C1C-A77ABD5431A5}"/>
                </c:ext>
              </c:extLst>
            </c:dLbl>
            <c:dLbl>
              <c:idx val="3"/>
              <c:layout>
                <c:manualLayout>
                  <c:x val="-2.6674154148532921E-2"/>
                  <c:y val="2.4790236460717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12F8-4ECF-8C1C-A77ABD5431A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обеспеченность!$D$3:$H$3</c:f>
              <c:numCache>
                <c:formatCode>General</c:formatCode>
                <c:ptCount val="5"/>
                <c:pt idx="0">
                  <c:v>2019</c:v>
                </c:pt>
                <c:pt idx="1">
                  <c:v>2020</c:v>
                </c:pt>
                <c:pt idx="2">
                  <c:v>2021</c:v>
                </c:pt>
                <c:pt idx="3">
                  <c:v>2022</c:v>
                </c:pt>
                <c:pt idx="4">
                  <c:v>2023</c:v>
                </c:pt>
              </c:numCache>
            </c:numRef>
          </c:cat>
          <c:val>
            <c:numRef>
              <c:f>обеспеченность!$D$8:$H$8</c:f>
              <c:numCache>
                <c:formatCode>General</c:formatCode>
                <c:ptCount val="5"/>
                <c:pt idx="0">
                  <c:v>168.5</c:v>
                </c:pt>
                <c:pt idx="1">
                  <c:v>159.5</c:v>
                </c:pt>
                <c:pt idx="2">
                  <c:v>186.9</c:v>
                </c:pt>
                <c:pt idx="3">
                  <c:v>175.4</c:v>
                </c:pt>
                <c:pt idx="4">
                  <c:v>183.6</c:v>
                </c:pt>
              </c:numCache>
            </c:numRef>
          </c:val>
          <c:smooth val="0"/>
          <c:extLst>
            <c:ext xmlns:c16="http://schemas.microsoft.com/office/drawing/2014/chart" uri="{C3380CC4-5D6E-409C-BE32-E72D297353CC}">
              <c16:uniqueId val="{00000016-12F8-4ECF-8C1C-A77ABD5431A5}"/>
            </c:ext>
          </c:extLst>
        </c:ser>
        <c:ser>
          <c:idx val="5"/>
          <c:order val="5"/>
          <c:tx>
            <c:strRef>
              <c:f>обеспеченность!$C$9</c:f>
              <c:strCache>
                <c:ptCount val="1"/>
                <c:pt idx="0">
                  <c:v>Фрукты и ягоды</c:v>
                </c:pt>
              </c:strCache>
            </c:strRef>
          </c:tx>
          <c:spPr>
            <a:ln w="28575" cap="rnd">
              <a:solidFill>
                <a:schemeClr val="accent6"/>
              </a:solidFill>
              <a:round/>
            </a:ln>
            <a:effectLst/>
          </c:spPr>
          <c:marker>
            <c:symbol val="none"/>
          </c:marker>
          <c:dLbls>
            <c:dLbl>
              <c:idx val="0"/>
              <c:layout>
                <c:manualLayout>
                  <c:x val="-2.0491803278688533E-2"/>
                  <c:y val="3.758654211756629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12F8-4ECF-8C1C-A77ABD5431A5}"/>
                </c:ext>
              </c:extLst>
            </c:dLbl>
            <c:dLbl>
              <c:idx val="1"/>
              <c:layout>
                <c:manualLayout>
                  <c:x val="-2.1857923497267777E-2"/>
                  <c:y val="-1.186943435291567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8-12F8-4ECF-8C1C-A77ABD5431A5}"/>
                </c:ext>
              </c:extLst>
            </c:dLbl>
            <c:dLbl>
              <c:idx val="2"/>
              <c:layout>
                <c:manualLayout>
                  <c:x val="-2.5956284153005566E-2"/>
                  <c:y val="4.15430202352048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9-12F8-4ECF-8C1C-A77ABD5431A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обеспеченность!$D$3:$H$3</c:f>
              <c:numCache>
                <c:formatCode>General</c:formatCode>
                <c:ptCount val="5"/>
                <c:pt idx="0">
                  <c:v>2019</c:v>
                </c:pt>
                <c:pt idx="1">
                  <c:v>2020</c:v>
                </c:pt>
                <c:pt idx="2">
                  <c:v>2021</c:v>
                </c:pt>
                <c:pt idx="3">
                  <c:v>2022</c:v>
                </c:pt>
                <c:pt idx="4">
                  <c:v>2023</c:v>
                </c:pt>
              </c:numCache>
            </c:numRef>
          </c:cat>
          <c:val>
            <c:numRef>
              <c:f>обеспеченность!$D$9:$H$9</c:f>
              <c:numCache>
                <c:formatCode>General</c:formatCode>
                <c:ptCount val="5"/>
                <c:pt idx="0">
                  <c:v>40.1</c:v>
                </c:pt>
                <c:pt idx="1">
                  <c:v>51.6</c:v>
                </c:pt>
                <c:pt idx="2">
                  <c:v>38.1</c:v>
                </c:pt>
                <c:pt idx="3">
                  <c:v>47.3</c:v>
                </c:pt>
                <c:pt idx="4">
                  <c:v>33.300000000000004</c:v>
                </c:pt>
              </c:numCache>
            </c:numRef>
          </c:val>
          <c:smooth val="0"/>
          <c:extLst>
            <c:ext xmlns:c16="http://schemas.microsoft.com/office/drawing/2014/chart" uri="{C3380CC4-5D6E-409C-BE32-E72D297353CC}">
              <c16:uniqueId val="{0000001A-12F8-4ECF-8C1C-A77ABD5431A5}"/>
            </c:ext>
          </c:extLst>
        </c:ser>
        <c:dLbls>
          <c:showLegendKey val="0"/>
          <c:showVal val="0"/>
          <c:showCatName val="0"/>
          <c:showSerName val="0"/>
          <c:showPercent val="0"/>
          <c:showBubbleSize val="0"/>
        </c:dLbls>
        <c:smooth val="0"/>
        <c:axId val="117093888"/>
        <c:axId val="120529664"/>
      </c:lineChart>
      <c:catAx>
        <c:axId val="117093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0529664"/>
        <c:crosses val="autoZero"/>
        <c:auto val="1"/>
        <c:lblAlgn val="ctr"/>
        <c:lblOffset val="100"/>
        <c:noMultiLvlLbl val="0"/>
      </c:catAx>
      <c:valAx>
        <c:axId val="120529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7093888"/>
        <c:crosses val="autoZero"/>
        <c:crossBetween val="between"/>
      </c:valAx>
      <c:spPr>
        <a:noFill/>
        <a:ln>
          <a:noFill/>
        </a:ln>
        <a:effectLst/>
      </c:spPr>
    </c:plotArea>
    <c:legend>
      <c:legendPos val="b"/>
      <c:layout>
        <c:manualLayout>
          <c:xMode val="edge"/>
          <c:yMode val="edge"/>
          <c:x val="6.3291139240506333E-2"/>
          <c:y val="0.87622459057841506"/>
          <c:w val="0.93359618178045189"/>
          <c:h val="0.1079577681432704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2A36E5-0401-4960-BBB7-63318569A4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2548</Words>
  <Characters>14525</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Екатерина Д. Копытова</cp:lastModifiedBy>
  <cp:revision>2</cp:revision>
  <cp:lastPrinted>2025-05-18T23:48:00Z</cp:lastPrinted>
  <dcterms:created xsi:type="dcterms:W3CDTF">2025-05-19T05:42:00Z</dcterms:created>
  <dcterms:modified xsi:type="dcterms:W3CDTF">2025-05-19T05:42:00Z</dcterms:modified>
</cp:coreProperties>
</file>