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55BBD9D" w14:textId="77777777" w:rsidR="006827A0" w:rsidRPr="002E1784" w:rsidRDefault="00034C23" w:rsidP="006827A0">
      <w:pPr>
        <w:spacing w:after="0" w:line="240" w:lineRule="auto"/>
        <w:ind w:left="-540" w:firstLine="540"/>
        <w:rPr>
          <w:rFonts w:ascii="Times New Roman" w:eastAsia="Times New Roman" w:hAnsi="Times New Roman" w:cs="Times New Roman"/>
          <w:b/>
          <w:sz w:val="24"/>
          <w:lang w:eastAsia="ru-RU"/>
        </w:rPr>
      </w:pPr>
      <w:r>
        <w:rPr>
          <w:rFonts w:ascii="Times New Roman" w:eastAsia="Times New Roman" w:hAnsi="Times New Roman" w:cs="Times New Roman"/>
          <w:b/>
          <w:sz w:val="24"/>
          <w:lang w:eastAsia="ru-RU"/>
        </w:rPr>
        <w:t>332/65</w:t>
      </w:r>
    </w:p>
    <w:p w14:paraId="5B862C31" w14:textId="77777777" w:rsidR="00005A41" w:rsidRDefault="00005A41" w:rsidP="00005A41">
      <w:pPr>
        <w:spacing w:after="0" w:line="240" w:lineRule="auto"/>
        <w:ind w:firstLine="709"/>
        <w:jc w:val="right"/>
        <w:rPr>
          <w:rFonts w:ascii="Times New Roman" w:eastAsia="Times New Roman" w:hAnsi="Times New Roman" w:cs="Times New Roman"/>
          <w:b/>
          <w:bCs/>
          <w:color w:val="40404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color w:val="404040"/>
          <w:sz w:val="24"/>
          <w:szCs w:val="24"/>
          <w:lang w:eastAsia="ru-RU"/>
        </w:rPr>
        <w:t>Волкова Т.А., Волкова С.А.</w:t>
      </w:r>
    </w:p>
    <w:p w14:paraId="455A2CE4" w14:textId="77777777" w:rsidR="00005A41" w:rsidRDefault="00005A41" w:rsidP="00005A41">
      <w:pPr>
        <w:spacing w:after="0" w:line="240" w:lineRule="auto"/>
        <w:ind w:firstLine="709"/>
        <w:jc w:val="right"/>
        <w:rPr>
          <w:rFonts w:ascii="Times New Roman" w:eastAsia="Times New Roman" w:hAnsi="Times New Roman" w:cs="Times New Roman"/>
          <w:b/>
          <w:bCs/>
          <w:color w:val="404040"/>
          <w:sz w:val="24"/>
          <w:szCs w:val="24"/>
          <w:lang w:eastAsia="ru-RU"/>
        </w:rPr>
      </w:pPr>
    </w:p>
    <w:p w14:paraId="2F78FF8B" w14:textId="77777777" w:rsidR="00BA4411" w:rsidRDefault="00005A41" w:rsidP="00BA4411">
      <w:pPr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b/>
          <w:bCs/>
          <w:color w:val="404040"/>
          <w:sz w:val="24"/>
          <w:szCs w:val="24"/>
          <w:lang w:eastAsia="ru-RU"/>
        </w:rPr>
      </w:pPr>
      <w:r w:rsidRPr="00005A41">
        <w:rPr>
          <w:rFonts w:ascii="Times New Roman" w:eastAsia="Times New Roman" w:hAnsi="Times New Roman" w:cs="Times New Roman"/>
          <w:b/>
          <w:bCs/>
          <w:color w:val="404040"/>
          <w:sz w:val="24"/>
          <w:szCs w:val="24"/>
          <w:lang w:eastAsia="ru-RU"/>
        </w:rPr>
        <w:t>ПРОСТРАНСТВЕННОЕ РАЗВИТИЕ РОССИИ: ВЫЗОВЫ И ПЕРСПЕКТИВЫ ТЕРРИТОРИАЛЬНОГО БАЛАНСА</w:t>
      </w:r>
    </w:p>
    <w:p w14:paraId="4FF053BB" w14:textId="77777777" w:rsidR="00BA4411" w:rsidRDefault="00BA4411" w:rsidP="00BA4411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b/>
          <w:bCs/>
          <w:color w:val="404040"/>
          <w:sz w:val="28"/>
          <w:szCs w:val="28"/>
          <w:lang w:eastAsia="ru-RU"/>
        </w:rPr>
      </w:pPr>
    </w:p>
    <w:p w14:paraId="51C91DC6" w14:textId="77777777" w:rsidR="00005A41" w:rsidRPr="002E1784" w:rsidRDefault="00005A41" w:rsidP="006827A0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iCs/>
          <w:sz w:val="24"/>
          <w:lang w:eastAsia="ru-RU"/>
        </w:rPr>
      </w:pPr>
      <w:r w:rsidRPr="002E1784">
        <w:rPr>
          <w:rFonts w:ascii="Times New Roman" w:eastAsia="Times New Roman" w:hAnsi="Times New Roman" w:cs="Times New Roman"/>
          <w:b/>
          <w:sz w:val="24"/>
          <w:lang w:eastAsia="ru-RU"/>
        </w:rPr>
        <w:t>Аннотация</w:t>
      </w:r>
      <w:r>
        <w:rPr>
          <w:rFonts w:ascii="Times New Roman" w:eastAsia="Times New Roman" w:hAnsi="Times New Roman" w:cs="Times New Roman"/>
          <w:b/>
          <w:sz w:val="24"/>
          <w:lang w:eastAsia="ru-RU"/>
        </w:rPr>
        <w:t>.</w:t>
      </w:r>
      <w:r w:rsidRPr="002E1784">
        <w:rPr>
          <w:rFonts w:ascii="Times New Roman" w:eastAsia="Times New Roman" w:hAnsi="Times New Roman" w:cs="Times New Roman"/>
          <w:b/>
          <w:sz w:val="24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b/>
          <w:sz w:val="24"/>
          <w:lang w:eastAsia="ru-RU"/>
        </w:rPr>
        <w:t xml:space="preserve">В статье рассмотрены ключевые проблемы пространственного развития Российской Федерации, выявлены причины дисбаланса в социально-экономическом развитии территорий и концентрации экономической активности в ограниченном </w:t>
      </w:r>
      <w:r w:rsidR="006827A0">
        <w:rPr>
          <w:rFonts w:ascii="Times New Roman" w:eastAsia="Times New Roman" w:hAnsi="Times New Roman" w:cs="Times New Roman"/>
          <w:b/>
          <w:sz w:val="24"/>
          <w:lang w:eastAsia="ru-RU"/>
        </w:rPr>
        <w:t>числе регионов</w:t>
      </w:r>
      <w:r>
        <w:rPr>
          <w:rFonts w:ascii="Times New Roman" w:eastAsia="Times New Roman" w:hAnsi="Times New Roman" w:cs="Times New Roman"/>
          <w:b/>
          <w:sz w:val="24"/>
          <w:lang w:eastAsia="ru-RU"/>
        </w:rPr>
        <w:t>, а</w:t>
      </w:r>
      <w:r w:rsidR="006827A0">
        <w:rPr>
          <w:rFonts w:ascii="Times New Roman" w:eastAsia="Times New Roman" w:hAnsi="Times New Roman" w:cs="Times New Roman"/>
          <w:b/>
          <w:sz w:val="24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b/>
          <w:sz w:val="24"/>
          <w:lang w:eastAsia="ru-RU"/>
        </w:rPr>
        <w:t>также определены пути преодоления</w:t>
      </w:r>
      <w:r w:rsidR="006827A0">
        <w:rPr>
          <w:rFonts w:ascii="Times New Roman" w:eastAsia="Times New Roman" w:hAnsi="Times New Roman" w:cs="Times New Roman"/>
          <w:b/>
          <w:sz w:val="24"/>
          <w:lang w:eastAsia="ru-RU"/>
        </w:rPr>
        <w:t xml:space="preserve"> выявленных проблем</w:t>
      </w:r>
      <w:r w:rsidRPr="002E1784">
        <w:rPr>
          <w:rFonts w:ascii="Times New Roman" w:eastAsia="Times New Roman" w:hAnsi="Times New Roman" w:cs="Times New Roman"/>
          <w:iCs/>
          <w:sz w:val="24"/>
          <w:lang w:eastAsia="ru-RU"/>
        </w:rPr>
        <w:t>.</w:t>
      </w:r>
    </w:p>
    <w:p w14:paraId="2B8823E6" w14:textId="77777777" w:rsidR="00005A41" w:rsidRPr="002E1784" w:rsidRDefault="00005A41" w:rsidP="006827A0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iCs/>
          <w:sz w:val="24"/>
          <w:lang w:eastAsia="ru-RU"/>
        </w:rPr>
      </w:pPr>
      <w:r w:rsidRPr="002E1784">
        <w:rPr>
          <w:rFonts w:ascii="Times New Roman" w:eastAsia="Times New Roman" w:hAnsi="Times New Roman" w:cs="Times New Roman"/>
          <w:b/>
          <w:sz w:val="24"/>
          <w:lang w:eastAsia="ru-RU"/>
        </w:rPr>
        <w:t>Ключевые слова</w:t>
      </w:r>
      <w:r w:rsidR="006827A0">
        <w:rPr>
          <w:rFonts w:ascii="Times New Roman" w:eastAsia="Times New Roman" w:hAnsi="Times New Roman" w:cs="Times New Roman"/>
          <w:b/>
          <w:sz w:val="24"/>
          <w:lang w:eastAsia="ru-RU"/>
        </w:rPr>
        <w:t>:</w:t>
      </w:r>
      <w:r w:rsidRPr="002E1784">
        <w:rPr>
          <w:rFonts w:ascii="Times New Roman" w:eastAsia="Times New Roman" w:hAnsi="Times New Roman" w:cs="Times New Roman"/>
          <w:b/>
          <w:sz w:val="24"/>
          <w:lang w:eastAsia="ru-RU"/>
        </w:rPr>
        <w:t xml:space="preserve"> </w:t>
      </w:r>
      <w:r w:rsidR="006827A0">
        <w:rPr>
          <w:rFonts w:ascii="Times New Roman" w:eastAsia="Times New Roman" w:hAnsi="Times New Roman" w:cs="Times New Roman"/>
          <w:b/>
          <w:sz w:val="24"/>
          <w:lang w:eastAsia="ru-RU"/>
        </w:rPr>
        <w:t>пространственное развитие, межрегиональные диспропорции, региональная политика, агломерации.</w:t>
      </w:r>
    </w:p>
    <w:p w14:paraId="20D608C5" w14:textId="77777777" w:rsidR="006827A0" w:rsidRDefault="006827A0" w:rsidP="006827A0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404040"/>
          <w:sz w:val="28"/>
          <w:szCs w:val="28"/>
          <w:lang w:eastAsia="ru-RU"/>
        </w:rPr>
      </w:pPr>
    </w:p>
    <w:p w14:paraId="4E1B3BB7" w14:textId="77777777" w:rsidR="00BA4411" w:rsidRPr="006827A0" w:rsidRDefault="00BA4411" w:rsidP="006827A0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6827A0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В последние десятилетия пространственное развитие Российской Федерации столкнулось с рядом системных вызовов, требующих комплексного осмысления и выработки сбалансированных решений. На фоне глобальных геополитических изменений и трансформации экономической модели особенно остро встает вопрос о поиске оптимального соотношения между развитием крупных агломераций и необходимостью поддержания жизнеспособности периферийных территорий. </w:t>
      </w:r>
    </w:p>
    <w:p w14:paraId="05CEC6A2" w14:textId="77777777" w:rsidR="00192624" w:rsidRPr="006827A0" w:rsidRDefault="00192624" w:rsidP="00192624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6827A0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Анализ последних данных </w:t>
      </w:r>
      <w:r w:rsidR="00A051EA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показывает </w:t>
      </w:r>
      <w:r w:rsidRPr="006827A0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нарастающую асимметрию в развитии российских регионов. За период с 2017 по 2023 год разрыв между регионами-лидерами и аутсайдерами по объему промышленного производства на душу населения увеличился в 1,5 раза, достигнув критических значений. Особенно показателен контраст между нефтегазовыми регионами и депрессивными территориями: если в Ямало-Ненецком автономном округе объем инвестиций в основной капитал на душу населения превышает 700 тыс. рублей, то в ряде республик Северного Кавказа этот показатель едва достигает 50 тыс. рублей.</w:t>
      </w:r>
    </w:p>
    <w:p w14:paraId="68A6DE96" w14:textId="77777777" w:rsidR="00192624" w:rsidRPr="006827A0" w:rsidRDefault="00192624" w:rsidP="00192624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6827A0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Бюджетная обеспеченность регионов, несмотря на меры поддержки, продолжает демонстрировать значительный разброс. В 2023 году расчетная бюджетная обеспеченность 19 субъектов Федерации превысила среднероссийский уровень, тогда как в 2017 году таких регионов было лишь 13. Однако в этой позитивной динамике кроется серьезная проблема - рост обеспеченности происходит преимущественно за счет экспортно-ориентированных регионов (Мурманская и Иркутская области, Красноярский край), тогда как субъекты Северо-Кавказского федерального округа, Республика Крым и Севастополь остаются в зоне хронического бюджетного дефицита.</w:t>
      </w:r>
    </w:p>
    <w:p w14:paraId="64B600FF" w14:textId="77777777" w:rsidR="00537A6A" w:rsidRDefault="00C805C7" w:rsidP="00BA4411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В настоящее время в</w:t>
      </w:r>
      <w:r w:rsidR="00BA4411" w:rsidRPr="006827A0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 России 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наблюдается </w:t>
      </w:r>
      <w:r w:rsidR="00BA4411" w:rsidRPr="006827A0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устойчив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ая</w:t>
      </w:r>
      <w:r w:rsidR="00BA4411" w:rsidRPr="006827A0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 тенденци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я</w:t>
      </w:r>
      <w:r w:rsidR="00BA4411" w:rsidRPr="006827A0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 к пространственной концентрации</w:t>
      </w:r>
      <w:r w:rsidR="006827A0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 деловой активности</w:t>
      </w:r>
      <w:r w:rsidR="00BA4411" w:rsidRPr="006827A0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. </w:t>
      </w:r>
      <w:r w:rsidR="00537A6A" w:rsidRPr="00537A6A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В 2023–2024 годах поляризация экономики усилилась: 65% ВРП формируют 10 регионов, включая Москву (26%), Тюменскую область (8,5%) и Краснодарский край (3%). Рост их доли на 3–5 </w:t>
      </w:r>
      <w:proofErr w:type="spellStart"/>
      <w:r w:rsidR="00537A6A" w:rsidRPr="00537A6A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п.п</w:t>
      </w:r>
      <w:proofErr w:type="spellEnd"/>
      <w:r w:rsidR="00537A6A" w:rsidRPr="00537A6A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. с 2016 года связан с концентрацией инвестиций в IT, нефтегазовый и агропром</w:t>
      </w:r>
      <w:r w:rsidR="00537A6A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ышленный сектор</w:t>
      </w:r>
      <w:r w:rsidR="00951FAA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ы</w:t>
      </w:r>
      <w:r w:rsidR="00537A6A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 </w:t>
      </w:r>
      <w:r w:rsidR="00537A6A" w:rsidRPr="00537A6A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[</w:t>
      </w:r>
      <w:r w:rsidR="00537A6A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1</w:t>
      </w:r>
      <w:r w:rsidR="00537A6A" w:rsidRPr="00537A6A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]</w:t>
      </w:r>
      <w:r w:rsidR="00537A6A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.</w:t>
      </w:r>
    </w:p>
    <w:p w14:paraId="3551350B" w14:textId="77777777" w:rsidR="00951FAA" w:rsidRDefault="00BA4411" w:rsidP="001F4EA9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6827A0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Особого внимания заслуживает феномен </w:t>
      </w:r>
      <w:r w:rsidR="00651F1F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«</w:t>
      </w:r>
      <w:r w:rsidRPr="006827A0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ресурсных регионов</w:t>
      </w:r>
      <w:r w:rsidR="00651F1F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»</w:t>
      </w:r>
      <w:r w:rsidRPr="006827A0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. Субъекты Федерации, располагающие значительными минерально-сырьевыми запасами (Ямало-Ненецкий и Ханты-Мансийский автономные округа, Красноярский край), не только сохраняют лидерские позиции по объему экономического производства, но и становятся центрами технологических инноваций. Однако такая модель развития создает существенные риски, связанные с зависимостью от конъюнктуры сырьевых рынков и ограниченными возможностями диверсификации экономики.</w:t>
      </w:r>
      <w:r w:rsidR="00951FAA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 </w:t>
      </w:r>
    </w:p>
    <w:p w14:paraId="076CAAE3" w14:textId="77777777" w:rsidR="00BA4411" w:rsidRDefault="00951FAA" w:rsidP="001F4EA9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Экономическое развитие регионов требует наличия соответствующих кадров, вместе с тем, </w:t>
      </w:r>
      <w:r w:rsidR="00A051EA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в последние</w:t>
      </w:r>
      <w:r w:rsidR="00BA4411" w:rsidRPr="006827A0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 двадцат</w:t>
      </w:r>
      <w:r w:rsidR="00A051EA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ь </w:t>
      </w:r>
      <w:r w:rsidR="00BA4411" w:rsidRPr="006827A0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лет </w:t>
      </w:r>
      <w:r w:rsidR="00A051EA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отмечается </w:t>
      </w:r>
      <w:r w:rsidR="00BA4411" w:rsidRPr="006827A0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устойчив</w:t>
      </w:r>
      <w:r w:rsidR="00A051EA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ая</w:t>
      </w:r>
      <w:r w:rsidR="00BA4411" w:rsidRPr="006827A0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 </w:t>
      </w:r>
      <w:proofErr w:type="spellStart"/>
      <w:r w:rsidR="00BA4411" w:rsidRPr="006827A0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концентрацие</w:t>
      </w:r>
      <w:r w:rsidR="00A051EA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я</w:t>
      </w:r>
      <w:proofErr w:type="spellEnd"/>
      <w:r w:rsidR="00BA4411" w:rsidRPr="006827A0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 населения в крупных городских центрах. </w:t>
      </w:r>
      <w:r w:rsidR="001F4EA9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Для населения России, проживающего в городах–</w:t>
      </w:r>
      <w:proofErr w:type="spellStart"/>
      <w:r w:rsidR="001F4EA9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милионниках</w:t>
      </w:r>
      <w:proofErr w:type="spellEnd"/>
      <w:r w:rsidR="001F4EA9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, представлена в таблице 1.</w:t>
      </w:r>
    </w:p>
    <w:p w14:paraId="6EE4694E" w14:textId="77777777" w:rsidR="00A051EA" w:rsidRDefault="00A051EA" w:rsidP="001F4EA9">
      <w:pPr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</w:p>
    <w:p w14:paraId="4BA8C0EF" w14:textId="77777777" w:rsidR="001F4EA9" w:rsidRDefault="001F4EA9" w:rsidP="00034C23">
      <w:pPr>
        <w:spacing w:after="0" w:line="240" w:lineRule="auto"/>
        <w:ind w:firstLine="709"/>
        <w:jc w:val="right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lastRenderedPageBreak/>
        <w:t>Таблица1</w:t>
      </w:r>
    </w:p>
    <w:p w14:paraId="23FE645F" w14:textId="77777777" w:rsidR="001F4EA9" w:rsidRPr="001F4EA9" w:rsidRDefault="001F4EA9" w:rsidP="001F4EA9">
      <w:pPr>
        <w:shd w:val="clear" w:color="auto" w:fill="FFFFFF"/>
        <w:spacing w:after="0" w:line="240" w:lineRule="auto"/>
        <w:jc w:val="center"/>
        <w:outlineLvl w:val="3"/>
        <w:rPr>
          <w:rFonts w:ascii="Times New Roman" w:eastAsia="Times New Roman" w:hAnsi="Times New Roman" w:cs="Times New Roman"/>
          <w:color w:val="404040"/>
          <w:sz w:val="24"/>
          <w:szCs w:val="24"/>
          <w:lang w:eastAsia="ru-RU"/>
        </w:rPr>
      </w:pPr>
      <w:r w:rsidRPr="001F4EA9">
        <w:rPr>
          <w:rFonts w:ascii="Times New Roman" w:eastAsia="Times New Roman" w:hAnsi="Times New Roman" w:cs="Times New Roman"/>
          <w:b/>
          <w:bCs/>
          <w:color w:val="404040"/>
          <w:sz w:val="24"/>
          <w:szCs w:val="24"/>
          <w:lang w:eastAsia="ru-RU"/>
        </w:rPr>
        <w:t>Доля городов-миллионников в населении России</w:t>
      </w:r>
      <w:r>
        <w:rPr>
          <w:rFonts w:ascii="Times New Roman" w:eastAsia="Times New Roman" w:hAnsi="Times New Roman" w:cs="Times New Roman"/>
          <w:b/>
          <w:bCs/>
          <w:color w:val="404040"/>
          <w:sz w:val="24"/>
          <w:szCs w:val="24"/>
          <w:lang w:eastAsia="ru-RU"/>
        </w:rPr>
        <w:t xml:space="preserve"> </w:t>
      </w:r>
    </w:p>
    <w:tbl>
      <w:tblPr>
        <w:tblW w:w="5000" w:type="pct"/>
        <w:jc w:val="center"/>
        <w:tblBorders>
          <w:top w:val="single" w:sz="4" w:space="0" w:color="E5E5E5"/>
          <w:left w:val="single" w:sz="4" w:space="0" w:color="E5E5E5"/>
          <w:bottom w:val="single" w:sz="4" w:space="0" w:color="E5E5E5"/>
          <w:right w:val="single" w:sz="4" w:space="0" w:color="E5E5E5"/>
          <w:insideH w:val="single" w:sz="4" w:space="0" w:color="E5E5E5"/>
          <w:insideV w:val="single" w:sz="4" w:space="0" w:color="E5E5E5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754"/>
        <w:gridCol w:w="3222"/>
        <w:gridCol w:w="2507"/>
        <w:gridCol w:w="3145"/>
      </w:tblGrid>
      <w:tr w:rsidR="001F4EA9" w:rsidRPr="00E34482" w14:paraId="5C7E0223" w14:textId="77777777" w:rsidTr="00E34482">
        <w:trPr>
          <w:tblHeader/>
          <w:jc w:val="center"/>
        </w:trPr>
        <w:tc>
          <w:tcPr>
            <w:tcW w:w="392" w:type="pct"/>
            <w:tcMar>
              <w:top w:w="150" w:type="dxa"/>
              <w:left w:w="0" w:type="dxa"/>
              <w:bottom w:w="150" w:type="dxa"/>
              <w:right w:w="150" w:type="dxa"/>
            </w:tcMar>
            <w:vAlign w:val="center"/>
            <w:hideMark/>
          </w:tcPr>
          <w:p w14:paraId="715D584A" w14:textId="77777777" w:rsidR="001F4EA9" w:rsidRPr="00E34482" w:rsidRDefault="001F4EA9" w:rsidP="001F4EA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404040"/>
                <w:sz w:val="20"/>
                <w:szCs w:val="20"/>
                <w:lang w:eastAsia="ru-RU"/>
              </w:rPr>
            </w:pPr>
            <w:r w:rsidRPr="00E34482">
              <w:rPr>
                <w:rFonts w:ascii="Times New Roman" w:eastAsia="Times New Roman" w:hAnsi="Times New Roman" w:cs="Times New Roman"/>
                <w:b/>
                <w:bCs/>
                <w:color w:val="404040"/>
                <w:sz w:val="20"/>
                <w:szCs w:val="20"/>
                <w:lang w:eastAsia="ru-RU"/>
              </w:rPr>
              <w:t>Год</w:t>
            </w:r>
          </w:p>
        </w:tc>
        <w:tc>
          <w:tcPr>
            <w:tcW w:w="1673" w:type="pct"/>
            <w:tcMar>
              <w:top w:w="150" w:type="dxa"/>
              <w:left w:w="150" w:type="dxa"/>
              <w:bottom w:w="150" w:type="dxa"/>
              <w:right w:w="150" w:type="dxa"/>
            </w:tcMar>
            <w:vAlign w:val="center"/>
            <w:hideMark/>
          </w:tcPr>
          <w:p w14:paraId="25110F89" w14:textId="77777777" w:rsidR="001F4EA9" w:rsidRPr="00E34482" w:rsidRDefault="001F4EA9" w:rsidP="001F4EA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404040"/>
                <w:sz w:val="20"/>
                <w:szCs w:val="20"/>
                <w:lang w:eastAsia="ru-RU"/>
              </w:rPr>
            </w:pPr>
            <w:r w:rsidRPr="00E34482">
              <w:rPr>
                <w:rFonts w:ascii="Times New Roman" w:eastAsia="Times New Roman" w:hAnsi="Times New Roman" w:cs="Times New Roman"/>
                <w:b/>
                <w:bCs/>
                <w:color w:val="404040"/>
                <w:sz w:val="20"/>
                <w:szCs w:val="20"/>
                <w:lang w:eastAsia="ru-RU"/>
              </w:rPr>
              <w:t>Число городов &gt;1 млн</w:t>
            </w:r>
          </w:p>
        </w:tc>
        <w:tc>
          <w:tcPr>
            <w:tcW w:w="1302" w:type="pct"/>
            <w:tcMar>
              <w:top w:w="150" w:type="dxa"/>
              <w:left w:w="150" w:type="dxa"/>
              <w:bottom w:w="150" w:type="dxa"/>
              <w:right w:w="150" w:type="dxa"/>
            </w:tcMar>
            <w:vAlign w:val="center"/>
            <w:hideMark/>
          </w:tcPr>
          <w:p w14:paraId="1A8DCFF7" w14:textId="77777777" w:rsidR="001F4EA9" w:rsidRPr="00E34482" w:rsidRDefault="001F4EA9" w:rsidP="001F4EA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404040"/>
                <w:sz w:val="20"/>
                <w:szCs w:val="20"/>
                <w:lang w:eastAsia="ru-RU"/>
              </w:rPr>
            </w:pPr>
            <w:r w:rsidRPr="00E34482">
              <w:rPr>
                <w:rFonts w:ascii="Times New Roman" w:eastAsia="Times New Roman" w:hAnsi="Times New Roman" w:cs="Times New Roman"/>
                <w:b/>
                <w:bCs/>
                <w:color w:val="404040"/>
                <w:sz w:val="20"/>
                <w:szCs w:val="20"/>
                <w:lang w:eastAsia="ru-RU"/>
              </w:rPr>
              <w:t>Население (млн)</w:t>
            </w:r>
          </w:p>
        </w:tc>
        <w:tc>
          <w:tcPr>
            <w:tcW w:w="1633" w:type="pct"/>
            <w:tcMar>
              <w:top w:w="150" w:type="dxa"/>
              <w:left w:w="150" w:type="dxa"/>
              <w:bottom w:w="150" w:type="dxa"/>
              <w:right w:w="150" w:type="dxa"/>
            </w:tcMar>
            <w:vAlign w:val="center"/>
            <w:hideMark/>
          </w:tcPr>
          <w:p w14:paraId="4D6FFE5D" w14:textId="77777777" w:rsidR="001F4EA9" w:rsidRPr="00E34482" w:rsidRDefault="001F4EA9" w:rsidP="001F4EA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404040"/>
                <w:sz w:val="20"/>
                <w:szCs w:val="20"/>
                <w:lang w:eastAsia="ru-RU"/>
              </w:rPr>
            </w:pPr>
            <w:r w:rsidRPr="00E34482">
              <w:rPr>
                <w:rFonts w:ascii="Times New Roman" w:eastAsia="Times New Roman" w:hAnsi="Times New Roman" w:cs="Times New Roman"/>
                <w:b/>
                <w:bCs/>
                <w:color w:val="404040"/>
                <w:sz w:val="20"/>
                <w:szCs w:val="20"/>
                <w:lang w:eastAsia="ru-RU"/>
              </w:rPr>
              <w:t>Доля в населении РФ</w:t>
            </w:r>
          </w:p>
        </w:tc>
      </w:tr>
      <w:tr w:rsidR="001F4EA9" w:rsidRPr="00E34482" w14:paraId="6862E0F8" w14:textId="77777777" w:rsidTr="00E34482">
        <w:trPr>
          <w:trHeight w:val="16"/>
          <w:jc w:val="center"/>
        </w:trPr>
        <w:tc>
          <w:tcPr>
            <w:tcW w:w="392" w:type="pct"/>
            <w:tcMar>
              <w:top w:w="150" w:type="dxa"/>
              <w:left w:w="0" w:type="dxa"/>
              <w:bottom w:w="150" w:type="dxa"/>
              <w:right w:w="150" w:type="dxa"/>
            </w:tcMar>
            <w:vAlign w:val="center"/>
            <w:hideMark/>
          </w:tcPr>
          <w:p w14:paraId="6924D613" w14:textId="77777777" w:rsidR="001F4EA9" w:rsidRPr="00E34482" w:rsidRDefault="001F4EA9" w:rsidP="001F4EA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E3448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2002</w:t>
            </w:r>
          </w:p>
        </w:tc>
        <w:tc>
          <w:tcPr>
            <w:tcW w:w="1673" w:type="pct"/>
            <w:tcMar>
              <w:top w:w="150" w:type="dxa"/>
              <w:left w:w="150" w:type="dxa"/>
              <w:bottom w:w="150" w:type="dxa"/>
              <w:right w:w="150" w:type="dxa"/>
            </w:tcMar>
            <w:vAlign w:val="center"/>
            <w:hideMark/>
          </w:tcPr>
          <w:p w14:paraId="45357D2E" w14:textId="77777777" w:rsidR="001F4EA9" w:rsidRPr="00E34482" w:rsidRDefault="001F4EA9" w:rsidP="009667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E3448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13</w:t>
            </w:r>
          </w:p>
        </w:tc>
        <w:tc>
          <w:tcPr>
            <w:tcW w:w="1302" w:type="pct"/>
            <w:tcMar>
              <w:top w:w="150" w:type="dxa"/>
              <w:left w:w="150" w:type="dxa"/>
              <w:bottom w:w="150" w:type="dxa"/>
              <w:right w:w="150" w:type="dxa"/>
            </w:tcMar>
            <w:vAlign w:val="center"/>
            <w:hideMark/>
          </w:tcPr>
          <w:p w14:paraId="3010253A" w14:textId="77777777" w:rsidR="001F4EA9" w:rsidRPr="00E34482" w:rsidRDefault="001F4EA9" w:rsidP="009667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E3448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27,7</w:t>
            </w:r>
          </w:p>
        </w:tc>
        <w:tc>
          <w:tcPr>
            <w:tcW w:w="1633" w:type="pct"/>
            <w:tcMar>
              <w:top w:w="150" w:type="dxa"/>
              <w:left w:w="150" w:type="dxa"/>
              <w:bottom w:w="150" w:type="dxa"/>
              <w:right w:w="150" w:type="dxa"/>
            </w:tcMar>
            <w:vAlign w:val="center"/>
            <w:hideMark/>
          </w:tcPr>
          <w:p w14:paraId="767101E7" w14:textId="77777777" w:rsidR="001F4EA9" w:rsidRPr="00E34482" w:rsidRDefault="001F4EA9" w:rsidP="009667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E3448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19,3%</w:t>
            </w:r>
          </w:p>
        </w:tc>
      </w:tr>
      <w:tr w:rsidR="001F4EA9" w:rsidRPr="00E34482" w14:paraId="1953BB78" w14:textId="77777777" w:rsidTr="00E34482">
        <w:trPr>
          <w:jc w:val="center"/>
        </w:trPr>
        <w:tc>
          <w:tcPr>
            <w:tcW w:w="392" w:type="pct"/>
            <w:tcMar>
              <w:top w:w="150" w:type="dxa"/>
              <w:left w:w="0" w:type="dxa"/>
              <w:bottom w:w="150" w:type="dxa"/>
              <w:right w:w="150" w:type="dxa"/>
            </w:tcMar>
            <w:vAlign w:val="center"/>
            <w:hideMark/>
          </w:tcPr>
          <w:p w14:paraId="345D7338" w14:textId="77777777" w:rsidR="001F4EA9" w:rsidRPr="00E34482" w:rsidRDefault="001F4EA9" w:rsidP="001F4EA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E3448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2010</w:t>
            </w:r>
          </w:p>
        </w:tc>
        <w:tc>
          <w:tcPr>
            <w:tcW w:w="1673" w:type="pct"/>
            <w:tcMar>
              <w:top w:w="150" w:type="dxa"/>
              <w:left w:w="150" w:type="dxa"/>
              <w:bottom w:w="150" w:type="dxa"/>
              <w:right w:w="150" w:type="dxa"/>
            </w:tcMar>
            <w:vAlign w:val="center"/>
            <w:hideMark/>
          </w:tcPr>
          <w:p w14:paraId="0019FF1E" w14:textId="77777777" w:rsidR="001F4EA9" w:rsidRPr="00E34482" w:rsidRDefault="001F4EA9" w:rsidP="009667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E3448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12*</w:t>
            </w:r>
          </w:p>
        </w:tc>
        <w:tc>
          <w:tcPr>
            <w:tcW w:w="1302" w:type="pct"/>
            <w:tcMar>
              <w:top w:w="150" w:type="dxa"/>
              <w:left w:w="150" w:type="dxa"/>
              <w:bottom w:w="150" w:type="dxa"/>
              <w:right w:w="150" w:type="dxa"/>
            </w:tcMar>
            <w:vAlign w:val="center"/>
            <w:hideMark/>
          </w:tcPr>
          <w:p w14:paraId="005CD83A" w14:textId="77777777" w:rsidR="001F4EA9" w:rsidRPr="00E34482" w:rsidRDefault="001F4EA9" w:rsidP="009667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E3448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32,0</w:t>
            </w:r>
          </w:p>
        </w:tc>
        <w:tc>
          <w:tcPr>
            <w:tcW w:w="1633" w:type="pct"/>
            <w:tcMar>
              <w:top w:w="150" w:type="dxa"/>
              <w:left w:w="150" w:type="dxa"/>
              <w:bottom w:w="150" w:type="dxa"/>
              <w:right w:w="150" w:type="dxa"/>
            </w:tcMar>
            <w:vAlign w:val="center"/>
            <w:hideMark/>
          </w:tcPr>
          <w:p w14:paraId="04DFD0A3" w14:textId="77777777" w:rsidR="001F4EA9" w:rsidRPr="00E34482" w:rsidRDefault="001F4EA9" w:rsidP="009667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E3448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22,5%</w:t>
            </w:r>
          </w:p>
        </w:tc>
      </w:tr>
      <w:tr w:rsidR="001F4EA9" w:rsidRPr="00E34482" w14:paraId="2C2A3CBA" w14:textId="77777777" w:rsidTr="00E34482">
        <w:trPr>
          <w:jc w:val="center"/>
        </w:trPr>
        <w:tc>
          <w:tcPr>
            <w:tcW w:w="392" w:type="pct"/>
            <w:tcMar>
              <w:top w:w="150" w:type="dxa"/>
              <w:left w:w="0" w:type="dxa"/>
              <w:bottom w:w="150" w:type="dxa"/>
              <w:right w:w="150" w:type="dxa"/>
            </w:tcMar>
            <w:vAlign w:val="center"/>
            <w:hideMark/>
          </w:tcPr>
          <w:p w14:paraId="3C4BBC9F" w14:textId="77777777" w:rsidR="001F4EA9" w:rsidRPr="00E34482" w:rsidRDefault="001F4EA9" w:rsidP="001F4EA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E3448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2021</w:t>
            </w:r>
          </w:p>
        </w:tc>
        <w:tc>
          <w:tcPr>
            <w:tcW w:w="1673" w:type="pct"/>
            <w:tcMar>
              <w:top w:w="150" w:type="dxa"/>
              <w:left w:w="150" w:type="dxa"/>
              <w:bottom w:w="150" w:type="dxa"/>
              <w:right w:w="150" w:type="dxa"/>
            </w:tcMar>
            <w:vAlign w:val="center"/>
            <w:hideMark/>
          </w:tcPr>
          <w:p w14:paraId="408FFD7B" w14:textId="77777777" w:rsidR="001F4EA9" w:rsidRPr="00E34482" w:rsidRDefault="001F4EA9" w:rsidP="009667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E3448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16</w:t>
            </w:r>
          </w:p>
        </w:tc>
        <w:tc>
          <w:tcPr>
            <w:tcW w:w="1302" w:type="pct"/>
            <w:tcMar>
              <w:top w:w="150" w:type="dxa"/>
              <w:left w:w="150" w:type="dxa"/>
              <w:bottom w:w="150" w:type="dxa"/>
              <w:right w:w="150" w:type="dxa"/>
            </w:tcMar>
            <w:vAlign w:val="center"/>
            <w:hideMark/>
          </w:tcPr>
          <w:p w14:paraId="6EFC1BF1" w14:textId="77777777" w:rsidR="001F4EA9" w:rsidRPr="00E34482" w:rsidRDefault="001F4EA9" w:rsidP="009667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E3448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35,5</w:t>
            </w:r>
          </w:p>
        </w:tc>
        <w:tc>
          <w:tcPr>
            <w:tcW w:w="1633" w:type="pct"/>
            <w:tcMar>
              <w:top w:w="150" w:type="dxa"/>
              <w:left w:w="150" w:type="dxa"/>
              <w:bottom w:w="150" w:type="dxa"/>
              <w:right w:w="150" w:type="dxa"/>
            </w:tcMar>
            <w:vAlign w:val="center"/>
            <w:hideMark/>
          </w:tcPr>
          <w:p w14:paraId="58C8D899" w14:textId="77777777" w:rsidR="001F4EA9" w:rsidRPr="00E34482" w:rsidRDefault="001F4EA9" w:rsidP="009667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E3448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24,1%</w:t>
            </w:r>
          </w:p>
        </w:tc>
      </w:tr>
      <w:tr w:rsidR="001F4EA9" w:rsidRPr="00E34482" w14:paraId="0E58FD40" w14:textId="77777777" w:rsidTr="00E34482">
        <w:trPr>
          <w:jc w:val="center"/>
        </w:trPr>
        <w:tc>
          <w:tcPr>
            <w:tcW w:w="392" w:type="pct"/>
            <w:tcMar>
              <w:top w:w="150" w:type="dxa"/>
              <w:left w:w="0" w:type="dxa"/>
              <w:bottom w:w="150" w:type="dxa"/>
              <w:right w:w="150" w:type="dxa"/>
            </w:tcMar>
            <w:vAlign w:val="center"/>
            <w:hideMark/>
          </w:tcPr>
          <w:p w14:paraId="6B68688F" w14:textId="77777777" w:rsidR="001F4EA9" w:rsidRPr="00E34482" w:rsidRDefault="001F4EA9" w:rsidP="001F4EA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E3448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2024</w:t>
            </w:r>
          </w:p>
        </w:tc>
        <w:tc>
          <w:tcPr>
            <w:tcW w:w="1673" w:type="pct"/>
            <w:tcMar>
              <w:top w:w="150" w:type="dxa"/>
              <w:left w:w="150" w:type="dxa"/>
              <w:bottom w:w="150" w:type="dxa"/>
              <w:right w:w="150" w:type="dxa"/>
            </w:tcMar>
            <w:vAlign w:val="center"/>
            <w:hideMark/>
          </w:tcPr>
          <w:p w14:paraId="1F80309C" w14:textId="77777777" w:rsidR="001F4EA9" w:rsidRPr="00E34482" w:rsidRDefault="001F4EA9" w:rsidP="009667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E3448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17</w:t>
            </w:r>
          </w:p>
        </w:tc>
        <w:tc>
          <w:tcPr>
            <w:tcW w:w="1302" w:type="pct"/>
            <w:tcMar>
              <w:top w:w="150" w:type="dxa"/>
              <w:left w:w="150" w:type="dxa"/>
              <w:bottom w:w="150" w:type="dxa"/>
              <w:right w:w="150" w:type="dxa"/>
            </w:tcMar>
            <w:vAlign w:val="center"/>
            <w:hideMark/>
          </w:tcPr>
          <w:p w14:paraId="13D5917D" w14:textId="77777777" w:rsidR="001F4EA9" w:rsidRPr="00E34482" w:rsidRDefault="001F4EA9" w:rsidP="009667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E3448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37–38</w:t>
            </w:r>
          </w:p>
        </w:tc>
        <w:tc>
          <w:tcPr>
            <w:tcW w:w="1633" w:type="pct"/>
            <w:tcMar>
              <w:top w:w="150" w:type="dxa"/>
              <w:left w:w="150" w:type="dxa"/>
              <w:bottom w:w="150" w:type="dxa"/>
              <w:right w:w="150" w:type="dxa"/>
            </w:tcMar>
            <w:vAlign w:val="center"/>
            <w:hideMark/>
          </w:tcPr>
          <w:p w14:paraId="033B2076" w14:textId="77777777" w:rsidR="001F4EA9" w:rsidRPr="00E34482" w:rsidRDefault="001F4EA9" w:rsidP="009667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E3448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25–26%</w:t>
            </w:r>
          </w:p>
        </w:tc>
      </w:tr>
    </w:tbl>
    <w:p w14:paraId="06F84471" w14:textId="77777777" w:rsidR="00034C23" w:rsidRDefault="00034C23" w:rsidP="009667C7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</w:p>
    <w:p w14:paraId="7D665267" w14:textId="77777777" w:rsidR="009667C7" w:rsidRPr="009667C7" w:rsidRDefault="001F4EA9" w:rsidP="009667C7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6827A0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Статистика наглядно показывает: если в 2002 году в городах с численностью более 1 </w:t>
      </w:r>
      <w:r w:rsidRPr="009667C7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миллиона человек проживало 27,7 миллионов россиян (19,3% населения страны), то к 2024 году этот показатель вырос до 37 миллионов (25 %). За этот период четыре города - Воронеж, Краснодар, Красноярск и Пермь - преодолели миллионный рубеж.</w:t>
      </w:r>
      <w:r w:rsidR="009667C7" w:rsidRPr="009667C7">
        <w:rPr>
          <w:rFonts w:ascii="Times New Roman" w:hAnsi="Times New Roman" w:cs="Times New Roman"/>
          <w:sz w:val="24"/>
          <w:szCs w:val="24"/>
        </w:rPr>
        <w:t xml:space="preserve"> Основными драйверами </w:t>
      </w:r>
      <w:r w:rsidR="00C805C7">
        <w:rPr>
          <w:rFonts w:ascii="Times New Roman" w:hAnsi="Times New Roman" w:cs="Times New Roman"/>
          <w:sz w:val="24"/>
          <w:szCs w:val="24"/>
        </w:rPr>
        <w:t xml:space="preserve">прироста городского населения </w:t>
      </w:r>
      <w:r w:rsidR="009667C7" w:rsidRPr="009667C7">
        <w:rPr>
          <w:rFonts w:ascii="Times New Roman" w:hAnsi="Times New Roman" w:cs="Times New Roman"/>
          <w:sz w:val="24"/>
          <w:szCs w:val="24"/>
        </w:rPr>
        <w:t>стали</w:t>
      </w:r>
      <w:r w:rsidR="00C805C7">
        <w:rPr>
          <w:rFonts w:ascii="Times New Roman" w:hAnsi="Times New Roman" w:cs="Times New Roman"/>
          <w:sz w:val="24"/>
          <w:szCs w:val="24"/>
        </w:rPr>
        <w:t>:</w:t>
      </w:r>
      <w:r w:rsidR="009667C7" w:rsidRPr="009667C7">
        <w:rPr>
          <w:rFonts w:ascii="Times New Roman" w:hAnsi="Times New Roman" w:cs="Times New Roman"/>
          <w:sz w:val="24"/>
          <w:szCs w:val="24"/>
        </w:rPr>
        <w:t xml:space="preserve"> экономическая миграция, создание высокотехнологичных </w:t>
      </w:r>
      <w:r w:rsidR="00A051EA">
        <w:rPr>
          <w:rFonts w:ascii="Times New Roman" w:hAnsi="Times New Roman" w:cs="Times New Roman"/>
          <w:sz w:val="24"/>
          <w:szCs w:val="24"/>
        </w:rPr>
        <w:t>рабочих мест</w:t>
      </w:r>
      <w:r w:rsidR="009667C7" w:rsidRPr="009667C7">
        <w:rPr>
          <w:rFonts w:ascii="Times New Roman" w:hAnsi="Times New Roman" w:cs="Times New Roman"/>
          <w:sz w:val="24"/>
          <w:szCs w:val="24"/>
        </w:rPr>
        <w:t xml:space="preserve"> в столичных агломерациях </w:t>
      </w:r>
      <w:r w:rsidR="009667C7" w:rsidRPr="009667C7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[1].</w:t>
      </w:r>
      <w:r w:rsidR="009667C7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 </w:t>
      </w:r>
      <w:r w:rsidR="00C805C7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Ч</w:t>
      </w:r>
      <w:r w:rsidR="009667C7" w:rsidRPr="009667C7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астичный приток населения в крупные города (Краснодар, Ростов-на-Дону, Москва) произошел за счет беженцев из Донбасса и Украины.</w:t>
      </w:r>
    </w:p>
    <w:p w14:paraId="597431D4" w14:textId="77777777" w:rsidR="00BA4411" w:rsidRDefault="00BA4411" w:rsidP="00BA4411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9667C7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Параллельно наблюдается тревожная тенденция сокращения численности населения в малых и средних городах. Особенно показательна ситуация с городами, где проживает от 100 до 500 тысяч человек: за два десятилетия их совокупное население уменьшилось на 1,9%, а количество таких городов сократилось со 134 до 132</w:t>
      </w:r>
      <w:r w:rsidR="00034C23" w:rsidRPr="00034C23">
        <w:rPr>
          <w:rFonts w:ascii="Times New Roman" w:eastAsia="Times New Roman" w:hAnsi="Times New Roman" w:cs="Times New Roman"/>
          <w:bCs/>
          <w:color w:val="404040"/>
          <w:sz w:val="24"/>
          <w:szCs w:val="24"/>
          <w:lang w:eastAsia="ru-RU"/>
        </w:rPr>
        <w:t>[1]</w:t>
      </w:r>
      <w:r w:rsidRPr="009667C7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. Еще более драматично выглядит ситуация в сельской местности, где общая численность населения снизилась на 4</w:t>
      </w:r>
      <w:r w:rsidRPr="006827A0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%, а в отдельных регионах Центрального и Северо-Западного федеральных округов - на 16,9%.</w:t>
      </w:r>
    </w:p>
    <w:p w14:paraId="59A867F5" w14:textId="77777777" w:rsidR="00951FAA" w:rsidRPr="006827A0" w:rsidRDefault="00951FAA" w:rsidP="00951FAA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6827A0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Демографическая ситуация в России продолжает ухудшаться</w:t>
      </w:r>
      <w:r w:rsidR="00E34482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, при этом г</w:t>
      </w:r>
      <w:r w:rsidRPr="006827A0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еография демографического неблагополучия имеет выраженную территориальную специфику:</w:t>
      </w:r>
    </w:p>
    <w:p w14:paraId="2CA908F5" w14:textId="77777777" w:rsidR="00951FAA" w:rsidRPr="006827A0" w:rsidRDefault="00951FAA" w:rsidP="00951FAA">
      <w:pPr>
        <w:numPr>
          <w:ilvl w:val="0"/>
          <w:numId w:val="11"/>
        </w:numPr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6827A0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В Центральном, Приволжском и Северо-Западном федеральных округах естественная убыль приобрела хронический характер. Здесь </w:t>
      </w:r>
      <w:r w:rsidR="00C805C7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находятся</w:t>
      </w:r>
      <w:r w:rsidRPr="006827A0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 46 из 70 регионов с отрицательным естественным приростом.</w:t>
      </w:r>
    </w:p>
    <w:p w14:paraId="6BC96882" w14:textId="77777777" w:rsidR="00951FAA" w:rsidRPr="006827A0" w:rsidRDefault="00951FAA" w:rsidP="00951FAA">
      <w:pPr>
        <w:numPr>
          <w:ilvl w:val="0"/>
          <w:numId w:val="11"/>
        </w:numPr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6827A0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Северо-Кавказский федеральный округ остается единственным макрорегионом с устойчивым естественным приростом (+15,5% роста сельского населения за 20 лет).</w:t>
      </w:r>
    </w:p>
    <w:p w14:paraId="28BB2456" w14:textId="77777777" w:rsidR="00951FAA" w:rsidRPr="006827A0" w:rsidRDefault="00951FAA" w:rsidP="00951FAA">
      <w:pPr>
        <w:numPr>
          <w:ilvl w:val="0"/>
          <w:numId w:val="11"/>
        </w:numPr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6827A0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В Дальневосточном и Сибирском округах демографические проблемы усугубляются миграционным оттоком - за 2017-202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3 </w:t>
      </w:r>
      <w:r w:rsidRPr="006827A0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годы отрицательное сальдо миграции зафиксировано в 54 субъектах РФ.</w:t>
      </w:r>
    </w:p>
    <w:p w14:paraId="2E6DBA4E" w14:textId="77777777" w:rsidR="00951FAA" w:rsidRPr="006827A0" w:rsidRDefault="00951FAA" w:rsidP="00951FAA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6827A0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Анализ демографических показателей выявляет три ключевые структурные проблемы:</w:t>
      </w:r>
    </w:p>
    <w:p w14:paraId="42910B9E" w14:textId="77777777" w:rsidR="00951FAA" w:rsidRPr="00951FAA" w:rsidRDefault="00951FAA" w:rsidP="00951FAA">
      <w:pPr>
        <w:numPr>
          <w:ilvl w:val="0"/>
          <w:numId w:val="12"/>
        </w:numPr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  <w:lang w:eastAsia="ru-RU"/>
        </w:rPr>
        <w:t>к</w:t>
      </w:r>
      <w:r w:rsidRPr="00951FAA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  <w:lang w:eastAsia="ru-RU"/>
        </w:rPr>
        <w:t>ризис рождаемости</w:t>
      </w:r>
      <w:r w:rsidRPr="00951FAA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: Суммарный коэффициент рождаемости</w:t>
      </w:r>
      <w:r w:rsidR="00E34482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 (1,4)</w:t>
      </w:r>
      <w:r w:rsidRPr="00951FAA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 остается значительно ниже уровня простого воспроизводства (2,1). При этом в 23 регионах этот показатель не превышает 1,3.</w:t>
      </w:r>
    </w:p>
    <w:p w14:paraId="5177789A" w14:textId="77777777" w:rsidR="00951FAA" w:rsidRPr="00951FAA" w:rsidRDefault="00951FAA" w:rsidP="00951FAA">
      <w:pPr>
        <w:numPr>
          <w:ilvl w:val="0"/>
          <w:numId w:val="12"/>
        </w:numPr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  <w:lang w:eastAsia="ru-RU"/>
        </w:rPr>
        <w:t>с</w:t>
      </w:r>
      <w:r w:rsidRPr="00951FAA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  <w:lang w:eastAsia="ru-RU"/>
        </w:rPr>
        <w:t>тарение населения</w:t>
      </w:r>
      <w:r w:rsidRPr="00951FAA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: Доля лиц старше трудоспособного возраста в сельской местности достигает 30%, что создает дополнительную нагрузку на социальную инфраструктуру.</w:t>
      </w:r>
    </w:p>
    <w:p w14:paraId="6F5A7B5E" w14:textId="77777777" w:rsidR="00951FAA" w:rsidRPr="00951FAA" w:rsidRDefault="00951FAA" w:rsidP="00951FAA">
      <w:pPr>
        <w:numPr>
          <w:ilvl w:val="0"/>
          <w:numId w:val="12"/>
        </w:numPr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  <w:lang w:eastAsia="ru-RU"/>
        </w:rPr>
        <w:t>п</w:t>
      </w:r>
      <w:r w:rsidRPr="00951FAA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  <w:lang w:eastAsia="ru-RU"/>
        </w:rPr>
        <w:t>ространственный дисбаланс</w:t>
      </w:r>
      <w:r w:rsidRPr="00951FAA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: Концентрация молодежи в крупных агломерациях (Москва, Санкт-Петербург) при старении населения в малых городах и сельской местности.</w:t>
      </w:r>
    </w:p>
    <w:p w14:paraId="7D3BB3AA" w14:textId="77777777" w:rsidR="00951FAA" w:rsidRPr="006827A0" w:rsidRDefault="00951FAA" w:rsidP="00951FAA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6827A0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Согласно прогнозам Росстата, к 2030 году численность населения в трудоспособном возрасте достигнет пика в 87,3 млн человек, после чего начнет сокращаться, создавая дефицит рабочей силы в 2 млн человек. Однако эта проблема имеет ярко выраженное территориальное измерение:</w:t>
      </w:r>
    </w:p>
    <w:p w14:paraId="76687DF6" w14:textId="77777777" w:rsidR="00951FAA" w:rsidRPr="006827A0" w:rsidRDefault="00951FAA" w:rsidP="00951FAA">
      <w:pPr>
        <w:numPr>
          <w:ilvl w:val="0"/>
          <w:numId w:val="8"/>
        </w:numPr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6827A0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lastRenderedPageBreak/>
        <w:t>В Сибирском федеральном округе планируется создание 377,6 тыс. новых рабочих мест к 2030 году, тогда как прогнозируемый прирост трудоспособного населения составит лишь 270 тыс. человек.</w:t>
      </w:r>
    </w:p>
    <w:p w14:paraId="21B5344A" w14:textId="77777777" w:rsidR="00951FAA" w:rsidRPr="006827A0" w:rsidRDefault="00951FAA" w:rsidP="00951FAA">
      <w:pPr>
        <w:numPr>
          <w:ilvl w:val="0"/>
          <w:numId w:val="8"/>
        </w:numPr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6827A0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В Центральном и Северо-Западном округах наблюдается переизбыток квалифицированных кадров, тогда как в регионах нового освоения (Дальний Восток, Арктическая зона) формируется острый дефицит специалистов.</w:t>
      </w:r>
    </w:p>
    <w:p w14:paraId="3FA3C057" w14:textId="77777777" w:rsidR="00951FAA" w:rsidRPr="006827A0" w:rsidRDefault="00951FAA" w:rsidP="00951FAA">
      <w:pPr>
        <w:numPr>
          <w:ilvl w:val="0"/>
          <w:numId w:val="8"/>
        </w:numPr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6827A0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Миграционные потоки не компенсируют кадровый голод: коэффициент миграционного прироста снизился с 27,1 на 10 тыс. человек в 2016 году до 13,9 в 2023 году.</w:t>
      </w:r>
    </w:p>
    <w:p w14:paraId="0816B20F" w14:textId="77777777" w:rsidR="00951FAA" w:rsidRPr="006827A0" w:rsidRDefault="00951FAA" w:rsidP="00951FAA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6827A0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Пространственные диспропорции и кадровый кризис образуют порочный круг:</w:t>
      </w:r>
    </w:p>
    <w:p w14:paraId="69B9A4DD" w14:textId="77777777" w:rsidR="00951FAA" w:rsidRPr="006827A0" w:rsidRDefault="00951FAA" w:rsidP="00E34482">
      <w:pPr>
        <w:numPr>
          <w:ilvl w:val="0"/>
          <w:numId w:val="9"/>
        </w:numPr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к</w:t>
      </w:r>
      <w:r w:rsidRPr="006827A0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онцентрация высокопроизводительных рабочих мест в ограниченном числе регионов (Москва, Санкт-Петербург, нефтегазовые центры) стимулирует отток активного населения из периферии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;</w:t>
      </w:r>
    </w:p>
    <w:p w14:paraId="11F6B410" w14:textId="77777777" w:rsidR="00951FAA" w:rsidRPr="006827A0" w:rsidRDefault="00951FAA" w:rsidP="00E34482">
      <w:pPr>
        <w:numPr>
          <w:ilvl w:val="0"/>
          <w:numId w:val="9"/>
        </w:numPr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д</w:t>
      </w:r>
      <w:r w:rsidRPr="006827A0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ефицит кадров в депрессивных регионах снижает их инвестиционную привлекательность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;</w:t>
      </w:r>
    </w:p>
    <w:p w14:paraId="4066945E" w14:textId="77777777" w:rsidR="00951FAA" w:rsidRPr="006827A0" w:rsidRDefault="00951FAA" w:rsidP="00E34482">
      <w:pPr>
        <w:numPr>
          <w:ilvl w:val="0"/>
          <w:numId w:val="9"/>
        </w:numPr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у</w:t>
      </w:r>
      <w:r w:rsidRPr="006827A0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худшение экономической ситуации провоцирует новую волну миграции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.</w:t>
      </w:r>
    </w:p>
    <w:p w14:paraId="3A56A9B9" w14:textId="77777777" w:rsidR="00951FAA" w:rsidRPr="006827A0" w:rsidRDefault="00951FAA" w:rsidP="00E34482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6827A0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Особую тревогу вызывает ситуация в моногородах и сельской местности, где сокращение экономической активности приводит к деградации человеческого капитала. По данным мониторинга, в малых городах с населением менее 100 тыс. человек численность жителей сократилась на 7,4% за 20 лет, что существенно выше среднероссийских показателей.</w:t>
      </w:r>
    </w:p>
    <w:p w14:paraId="29B9F44D" w14:textId="77777777" w:rsidR="00BA4411" w:rsidRPr="006827A0" w:rsidRDefault="00BA4411" w:rsidP="00E34482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6827A0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Проведенный анализ позволяет сделать вывод о нарастании пространственных диспропорций в развитии Российской Федерации. Усиление концентрации экономической активности и населения в ограниченном числе регионов создает серьезные вызовы для долгосрочного устойчивого развития страны. Особую остроту этим проблемам придают демографический кризис</w:t>
      </w:r>
      <w:r w:rsidR="00E34482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.</w:t>
      </w:r>
    </w:p>
    <w:p w14:paraId="5DDDFC7F" w14:textId="77777777" w:rsidR="00B54F8C" w:rsidRPr="006827A0" w:rsidRDefault="00B54F8C" w:rsidP="00E34482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6827A0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Для преодоления нарастающих диспропорций необходимы:</w:t>
      </w:r>
    </w:p>
    <w:p w14:paraId="282C7BC4" w14:textId="77777777" w:rsidR="00E34482" w:rsidRPr="00E34482" w:rsidRDefault="00E34482" w:rsidP="00E34482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- с</w:t>
      </w:r>
      <w:r w:rsidRPr="00E34482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нижение региональной асимметрии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. В рамках этого направления предполагается д</w:t>
      </w:r>
      <w:r w:rsidRPr="00E34482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иверсификация региональных экономик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; с</w:t>
      </w:r>
      <w:r w:rsidRPr="00E34482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овершенствование межбюджетного регулирования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; р</w:t>
      </w:r>
      <w:r w:rsidRPr="00E34482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азвитие транспортной связанности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 (т</w:t>
      </w:r>
      <w:r w:rsidRPr="00E34482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ранспортная изоляция многих регионов усугубляет их отставание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). </w:t>
      </w:r>
    </w:p>
    <w:p w14:paraId="4D94C9B2" w14:textId="77777777" w:rsidR="00E34482" w:rsidRPr="00E34482" w:rsidRDefault="00E34482" w:rsidP="00E34482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- </w:t>
      </w:r>
      <w:r w:rsidRPr="00E34482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д</w:t>
      </w:r>
      <w:r w:rsidRPr="00E34482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емографическая стабилизация и миграционная политика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, направленные на с</w:t>
      </w:r>
      <w:r w:rsidRPr="00E34482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тимулирование рождаемости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, с</w:t>
      </w:r>
      <w:r w:rsidRPr="00E34482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держивание миграционного оттока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, п</w:t>
      </w:r>
      <w:r w:rsidRPr="00E34482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ривлечение квалифицированных мигрантов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;</w:t>
      </w:r>
    </w:p>
    <w:p w14:paraId="600A940B" w14:textId="77777777" w:rsidR="00E34482" w:rsidRPr="00E34482" w:rsidRDefault="00E34482" w:rsidP="00E34482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- продуманная к</w:t>
      </w:r>
      <w:r w:rsidRPr="00E34482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адровая политика и образование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;</w:t>
      </w:r>
    </w:p>
    <w:p w14:paraId="10DE56CC" w14:textId="77777777" w:rsidR="00E34482" w:rsidRPr="00E34482" w:rsidRDefault="00E34482" w:rsidP="00E34482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- р</w:t>
      </w:r>
      <w:r w:rsidRPr="00E34482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азвитие малых городов и сельских территорий</w:t>
      </w:r>
    </w:p>
    <w:p w14:paraId="3CB479B2" w14:textId="77777777" w:rsidR="00E34482" w:rsidRPr="00E34482" w:rsidRDefault="00E34482" w:rsidP="00E34482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E34482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Предложенные меры направлены на формирование </w:t>
      </w:r>
      <w:proofErr w:type="spellStart"/>
      <w:r w:rsidRPr="00E34482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полицентричной</w:t>
      </w:r>
      <w:proofErr w:type="spellEnd"/>
      <w:r w:rsidRPr="00E34482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 модели развития России, при которой:</w:t>
      </w:r>
      <w:r w:rsidR="00C805C7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 </w:t>
      </w:r>
      <w:r w:rsidRPr="00E34482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сокращается разрыв между регионами-донорами и дотационными территориями;</w:t>
      </w:r>
      <w:r w:rsidR="00C805C7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 </w:t>
      </w:r>
      <w:r w:rsidRPr="00E34482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создаются условия для закрепления населения в малых городах и сельской местности;</w:t>
      </w:r>
      <w:r w:rsidR="00C805C7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 </w:t>
      </w:r>
      <w:r w:rsidRPr="00E34482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снижается зависимость экономики от сырьевого экспорта.</w:t>
      </w:r>
    </w:p>
    <w:p w14:paraId="72AD743B" w14:textId="77777777" w:rsidR="00E34482" w:rsidRPr="00E34482" w:rsidRDefault="00E34482" w:rsidP="00E34482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E34482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Ключевым условием </w:t>
      </w:r>
      <w:r w:rsidR="00A051EA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сбалансированного развития территорий </w:t>
      </w:r>
      <w:r w:rsidRPr="00E34482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является координация между федеральным центром, регионами и бизнесом, а также долгосрочное финансирование приоритетных проектов. </w:t>
      </w:r>
    </w:p>
    <w:p w14:paraId="03510215" w14:textId="77777777" w:rsidR="00034C23" w:rsidRDefault="00034C23" w:rsidP="00721A9E">
      <w:pPr>
        <w:spacing w:after="0" w:line="240" w:lineRule="auto"/>
        <w:ind w:left="720"/>
        <w:jc w:val="center"/>
        <w:rPr>
          <w:rFonts w:ascii="Times New Roman" w:eastAsia="Times New Roman" w:hAnsi="Times New Roman" w:cs="Times New Roman"/>
          <w:b/>
          <w:sz w:val="24"/>
          <w:lang w:eastAsia="ru-RU"/>
        </w:rPr>
      </w:pPr>
    </w:p>
    <w:p w14:paraId="55C9A2D7" w14:textId="77777777" w:rsidR="00721A9E" w:rsidRDefault="008C4169" w:rsidP="00721A9E">
      <w:pPr>
        <w:spacing w:after="0" w:line="240" w:lineRule="auto"/>
        <w:ind w:left="720"/>
        <w:jc w:val="center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2E1784">
        <w:rPr>
          <w:rFonts w:ascii="Times New Roman" w:eastAsia="Times New Roman" w:hAnsi="Times New Roman" w:cs="Times New Roman"/>
          <w:b/>
          <w:sz w:val="24"/>
          <w:lang w:eastAsia="ru-RU"/>
        </w:rPr>
        <w:t>Библиографический список</w:t>
      </w:r>
      <w:r w:rsidR="00721A9E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:</w:t>
      </w:r>
    </w:p>
    <w:p w14:paraId="3378E953" w14:textId="77777777" w:rsidR="00721A9E" w:rsidRPr="00FF1D88" w:rsidRDefault="00FF1D88" w:rsidP="00FF1D88">
      <w:pPr>
        <w:pStyle w:val="a5"/>
        <w:numPr>
          <w:ilvl w:val="0"/>
          <w:numId w:val="23"/>
        </w:numPr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FF1D8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Росстат. Официальная статистика. Эффективность экономики России URL: </w:t>
      </w:r>
      <w:hyperlink r:id="rId5" w:history="1">
        <w:r w:rsidR="00721A9E" w:rsidRPr="00FF1D88">
          <w:rPr>
            <w:rStyle w:val="a6"/>
            <w:rFonts w:ascii="Times New Roman" w:eastAsia="Times New Roman" w:hAnsi="Times New Roman" w:cs="Times New Roman"/>
            <w:color w:val="000000" w:themeColor="text1"/>
            <w:sz w:val="24"/>
            <w:szCs w:val="24"/>
            <w:lang w:eastAsia="ru-RU"/>
          </w:rPr>
          <w:t>https://rosstat.gov.ru/search?q=%D0%B2%D1%80%D0%BF</w:t>
        </w:r>
      </w:hyperlink>
    </w:p>
    <w:p w14:paraId="409BF01E" w14:textId="77777777" w:rsidR="00721A9E" w:rsidRPr="00FF1D88" w:rsidRDefault="00721A9E" w:rsidP="00FF1D88">
      <w:pPr>
        <w:pStyle w:val="a5"/>
        <w:numPr>
          <w:ilvl w:val="0"/>
          <w:numId w:val="23"/>
        </w:numPr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FF1D88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Волкова Т.А., Серебрякова Н.А., Волкова С.А. Детерминанты современного пространственного развития России //</w:t>
      </w:r>
      <w:r w:rsidRPr="00FF1D88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ab/>
        <w:t>Вестник Алтайской академии экономики и права. 2024. № 12-2. С. 199-205.</w:t>
      </w:r>
      <w:r w:rsidRPr="00FF1D88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ab/>
      </w:r>
    </w:p>
    <w:p w14:paraId="39577602" w14:textId="77777777" w:rsidR="00E34482" w:rsidRPr="00FF1D88" w:rsidRDefault="00721A9E" w:rsidP="00FF1D88">
      <w:pPr>
        <w:pStyle w:val="a5"/>
        <w:numPr>
          <w:ilvl w:val="0"/>
          <w:numId w:val="23"/>
        </w:numPr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en-US" w:eastAsia="ru-RU"/>
        </w:rPr>
      </w:pPr>
      <w:r w:rsidRPr="00FF1D88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Стратегия пространственного развития Российской Федерации на период до 2030 года с прогнозом до 2036 года [Электронный ресурс]. </w:t>
      </w:r>
      <w:r w:rsidRPr="00FF1D88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en-US" w:eastAsia="ru-RU"/>
        </w:rPr>
        <w:t xml:space="preserve">URL: </w:t>
      </w:r>
      <w:hyperlink r:id="rId6" w:history="1">
        <w:r w:rsidR="00034C23" w:rsidRPr="00FF1D88">
          <w:rPr>
            <w:rStyle w:val="a6"/>
            <w:rFonts w:ascii="Times New Roman" w:eastAsia="Times New Roman" w:hAnsi="Times New Roman" w:cs="Times New Roman"/>
            <w:color w:val="000000" w:themeColor="text1"/>
            <w:sz w:val="24"/>
            <w:szCs w:val="24"/>
            <w:lang w:val="en-US" w:eastAsia="ru-RU"/>
          </w:rPr>
          <w:t>https://www.economy.gov.ru/material/directions/strategiya_prostranstvennogo_razvitiya_rossiyskoy_federacii_na_period_do_2030_goda_s_prognozom_do_2036_goda.html</w:t>
        </w:r>
      </w:hyperlink>
    </w:p>
    <w:p w14:paraId="6B56ECA9" w14:textId="77777777" w:rsidR="00034C23" w:rsidRPr="008413DE" w:rsidRDefault="00034C23" w:rsidP="00034C23">
      <w:pPr>
        <w:pStyle w:val="a5"/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en-US" w:eastAsia="ru-RU"/>
        </w:rPr>
      </w:pPr>
    </w:p>
    <w:p w14:paraId="00C2099B" w14:textId="77777777" w:rsidR="00034C23" w:rsidRPr="002E1784" w:rsidRDefault="00034C23" w:rsidP="00034C23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</w:rPr>
      </w:pPr>
      <w:r>
        <w:rPr>
          <w:rFonts w:ascii="Times New Roman" w:eastAsia="Calibri" w:hAnsi="Times New Roman" w:cs="Times New Roman"/>
          <w:sz w:val="24"/>
        </w:rPr>
        <w:t>Волкова Татьяна Александровна</w:t>
      </w:r>
      <w:r w:rsidRPr="002E1784">
        <w:rPr>
          <w:rFonts w:ascii="Times New Roman" w:eastAsia="Calibri" w:hAnsi="Times New Roman" w:cs="Times New Roman"/>
          <w:sz w:val="24"/>
        </w:rPr>
        <w:t xml:space="preserve"> (</w:t>
      </w:r>
      <w:r>
        <w:rPr>
          <w:rFonts w:ascii="Times New Roman" w:eastAsia="Calibri" w:hAnsi="Times New Roman" w:cs="Times New Roman"/>
          <w:sz w:val="24"/>
        </w:rPr>
        <w:t>Россия, г. Воронеж</w:t>
      </w:r>
      <w:r w:rsidRPr="002E1784">
        <w:rPr>
          <w:rFonts w:ascii="Times New Roman" w:eastAsia="Calibri" w:hAnsi="Times New Roman" w:cs="Times New Roman"/>
          <w:sz w:val="24"/>
        </w:rPr>
        <w:t xml:space="preserve">) – </w:t>
      </w:r>
      <w:r>
        <w:rPr>
          <w:rFonts w:ascii="Times New Roman" w:eastAsia="Calibri" w:hAnsi="Times New Roman" w:cs="Times New Roman"/>
          <w:sz w:val="24"/>
        </w:rPr>
        <w:t xml:space="preserve">к.э.н., доцент, </w:t>
      </w:r>
      <w:r w:rsidRPr="00034C23">
        <w:rPr>
          <w:rFonts w:ascii="Times New Roman" w:eastAsia="Calibri" w:hAnsi="Times New Roman" w:cs="Times New Roman"/>
          <w:sz w:val="24"/>
        </w:rPr>
        <w:tab/>
        <w:t>Воронежский филиал федерального государственного бюджетного образовательного учреждения высшего образования «Российский экономический университет имени Г.В. Плеханова»</w:t>
      </w:r>
      <w:r w:rsidRPr="002E1784">
        <w:rPr>
          <w:rFonts w:ascii="Times New Roman" w:eastAsia="Calibri" w:hAnsi="Times New Roman" w:cs="Times New Roman"/>
          <w:sz w:val="24"/>
        </w:rPr>
        <w:t xml:space="preserve"> (</w:t>
      </w:r>
      <w:r w:rsidRPr="00034C23">
        <w:rPr>
          <w:rFonts w:ascii="Times New Roman" w:eastAsia="Calibri" w:hAnsi="Times New Roman" w:cs="Times New Roman"/>
          <w:sz w:val="24"/>
        </w:rPr>
        <w:t>394030, Воронежская область, г. Воронеж, ул. Карла Маркса, д.67а</w:t>
      </w:r>
      <w:r w:rsidRPr="002E1784">
        <w:rPr>
          <w:rFonts w:ascii="Times New Roman" w:eastAsia="Calibri" w:hAnsi="Times New Roman" w:cs="Times New Roman"/>
          <w:sz w:val="24"/>
        </w:rPr>
        <w:t xml:space="preserve">, </w:t>
      </w:r>
      <w:r w:rsidRPr="002E1784">
        <w:rPr>
          <w:rFonts w:ascii="Times New Roman" w:eastAsia="Calibri" w:hAnsi="Times New Roman" w:cs="Times New Roman"/>
          <w:sz w:val="24"/>
          <w:lang w:val="en-US"/>
        </w:rPr>
        <w:t>e</w:t>
      </w:r>
      <w:r w:rsidRPr="002E1784">
        <w:rPr>
          <w:rFonts w:ascii="Times New Roman" w:eastAsia="Calibri" w:hAnsi="Times New Roman" w:cs="Times New Roman"/>
          <w:sz w:val="24"/>
        </w:rPr>
        <w:t>-</w:t>
      </w:r>
      <w:r w:rsidRPr="002E1784">
        <w:rPr>
          <w:rFonts w:ascii="Times New Roman" w:eastAsia="Calibri" w:hAnsi="Times New Roman" w:cs="Times New Roman"/>
          <w:sz w:val="24"/>
          <w:lang w:val="en-US"/>
        </w:rPr>
        <w:t>mail</w:t>
      </w:r>
      <w:r>
        <w:rPr>
          <w:rFonts w:ascii="Times New Roman" w:eastAsia="Calibri" w:hAnsi="Times New Roman" w:cs="Times New Roman"/>
          <w:sz w:val="24"/>
        </w:rPr>
        <w:t xml:space="preserve"> – </w:t>
      </w:r>
      <w:r>
        <w:rPr>
          <w:rFonts w:ascii="Times New Roman" w:eastAsia="Calibri" w:hAnsi="Times New Roman" w:cs="Times New Roman"/>
          <w:sz w:val="24"/>
          <w:lang w:val="en-US"/>
        </w:rPr>
        <w:t>volkovata14@mail.ru</w:t>
      </w:r>
      <w:r w:rsidR="008413DE">
        <w:rPr>
          <w:rFonts w:ascii="Times New Roman" w:eastAsia="Calibri" w:hAnsi="Times New Roman" w:cs="Times New Roman"/>
          <w:sz w:val="24"/>
        </w:rPr>
        <w:t>)</w:t>
      </w:r>
    </w:p>
    <w:p w14:paraId="2EF73CAD" w14:textId="77777777" w:rsidR="00034C23" w:rsidRDefault="00034C23" w:rsidP="00034C23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u w:val="single"/>
          <w:lang w:eastAsia="ru-RU"/>
        </w:rPr>
      </w:pPr>
      <w:r>
        <w:rPr>
          <w:rFonts w:ascii="Times New Roman" w:eastAsia="Calibri" w:hAnsi="Times New Roman" w:cs="Times New Roman"/>
          <w:sz w:val="24"/>
        </w:rPr>
        <w:t>Волкова Светлана Александровна</w:t>
      </w:r>
      <w:r w:rsidRPr="002E1784">
        <w:rPr>
          <w:rFonts w:ascii="Times New Roman" w:eastAsia="Calibri" w:hAnsi="Times New Roman" w:cs="Times New Roman"/>
          <w:sz w:val="24"/>
        </w:rPr>
        <w:t xml:space="preserve"> (</w:t>
      </w:r>
      <w:r>
        <w:rPr>
          <w:rFonts w:ascii="Times New Roman" w:eastAsia="Calibri" w:hAnsi="Times New Roman" w:cs="Times New Roman"/>
          <w:sz w:val="24"/>
        </w:rPr>
        <w:t>Россия, г. Воронеж</w:t>
      </w:r>
      <w:r w:rsidRPr="002E1784">
        <w:rPr>
          <w:rFonts w:ascii="Times New Roman" w:eastAsia="Calibri" w:hAnsi="Times New Roman" w:cs="Times New Roman"/>
          <w:sz w:val="24"/>
        </w:rPr>
        <w:t xml:space="preserve">) – </w:t>
      </w:r>
      <w:r>
        <w:rPr>
          <w:rFonts w:ascii="Times New Roman" w:eastAsia="Calibri" w:hAnsi="Times New Roman" w:cs="Times New Roman"/>
          <w:sz w:val="24"/>
        </w:rPr>
        <w:t>к.э.н., доцент,</w:t>
      </w:r>
      <w:r w:rsidRPr="00034C23">
        <w:t xml:space="preserve"> </w:t>
      </w:r>
      <w:r w:rsidRPr="00034C23">
        <w:rPr>
          <w:rFonts w:ascii="Times New Roman" w:eastAsia="Calibri" w:hAnsi="Times New Roman" w:cs="Times New Roman"/>
          <w:sz w:val="24"/>
        </w:rPr>
        <w:t>ФГБОУ ВО Воронежский государственный технический университет</w:t>
      </w:r>
      <w:r>
        <w:rPr>
          <w:rFonts w:ascii="Times New Roman" w:eastAsia="Calibri" w:hAnsi="Times New Roman" w:cs="Times New Roman"/>
          <w:sz w:val="24"/>
        </w:rPr>
        <w:t xml:space="preserve"> (</w:t>
      </w:r>
      <w:r w:rsidRPr="00034C23">
        <w:rPr>
          <w:rFonts w:ascii="Times New Roman" w:eastAsia="Calibri" w:hAnsi="Times New Roman" w:cs="Times New Roman"/>
          <w:sz w:val="24"/>
        </w:rPr>
        <w:t>394006, Воронежская область, город Воронеж, ул. 20-летия Октября, д. 84</w:t>
      </w:r>
      <w:r>
        <w:rPr>
          <w:rFonts w:ascii="Times New Roman" w:eastAsia="Calibri" w:hAnsi="Times New Roman" w:cs="Times New Roman"/>
          <w:sz w:val="24"/>
        </w:rPr>
        <w:t>,</w:t>
      </w:r>
      <w:r w:rsidRPr="00034C23">
        <w:t xml:space="preserve"> </w:t>
      </w:r>
      <w:proofErr w:type="spellStart"/>
      <w:r w:rsidRPr="00034C23">
        <w:rPr>
          <w:rFonts w:ascii="Times New Roman" w:eastAsia="Calibri" w:hAnsi="Times New Roman" w:cs="Times New Roman"/>
          <w:sz w:val="24"/>
        </w:rPr>
        <w:t>e-mail</w:t>
      </w:r>
      <w:proofErr w:type="spellEnd"/>
      <w:r w:rsidRPr="00034C23">
        <w:rPr>
          <w:rFonts w:ascii="Times New Roman" w:eastAsia="Calibri" w:hAnsi="Times New Roman" w:cs="Times New Roman"/>
          <w:sz w:val="24"/>
        </w:rPr>
        <w:t xml:space="preserve"> – volkovata14@mail.ru)</w:t>
      </w:r>
    </w:p>
    <w:p w14:paraId="5DDF899F" w14:textId="77777777" w:rsidR="00034C23" w:rsidRDefault="00034C23" w:rsidP="00034C23">
      <w:pPr>
        <w:pStyle w:val="a5"/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en-US" w:eastAsia="ru-RU"/>
        </w:rPr>
      </w:pPr>
    </w:p>
    <w:p w14:paraId="63AF76C2" w14:textId="77777777" w:rsidR="008413DE" w:rsidRDefault="008413DE" w:rsidP="008413DE">
      <w:pPr>
        <w:pStyle w:val="a5"/>
        <w:spacing w:after="0" w:line="240" w:lineRule="auto"/>
        <w:ind w:left="0" w:firstLine="709"/>
        <w:jc w:val="right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en-US" w:eastAsia="ru-RU"/>
        </w:rPr>
      </w:pPr>
      <w:r w:rsidRPr="008413DE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en-US" w:eastAsia="ru-RU"/>
        </w:rPr>
        <w:t>Volkova T.A., Volkova S.A.</w:t>
      </w:r>
    </w:p>
    <w:p w14:paraId="5D6BD87A" w14:textId="77777777" w:rsidR="008413DE" w:rsidRPr="008413DE" w:rsidRDefault="008413DE" w:rsidP="008413DE">
      <w:pPr>
        <w:pStyle w:val="a5"/>
        <w:spacing w:after="0" w:line="240" w:lineRule="auto"/>
        <w:ind w:left="0" w:firstLine="709"/>
        <w:jc w:val="center"/>
        <w:rPr>
          <w:rFonts w:ascii="Times New Roman" w:eastAsia="Aptos" w:hAnsi="Times New Roman" w:cs="Times New Roman"/>
          <w:b/>
          <w:color w:val="000000"/>
          <w:kern w:val="2"/>
          <w:lang w:val="en-US"/>
          <w14:ligatures w14:val="standardContextual"/>
        </w:rPr>
      </w:pPr>
      <w:r w:rsidRPr="008413DE">
        <w:rPr>
          <w:rFonts w:ascii="Times New Roman" w:eastAsia="Aptos" w:hAnsi="Times New Roman" w:cs="Times New Roman"/>
          <w:b/>
          <w:color w:val="000000"/>
          <w:kern w:val="2"/>
          <w:lang w:val="en-US"/>
          <w14:ligatures w14:val="standardContextual"/>
        </w:rPr>
        <w:t>SPATIAL DEVELOPMENT OF RUSSIA: CHALLENGES AND PROSPECTS OF TERRITORIAL BALANCE</w:t>
      </w:r>
    </w:p>
    <w:p w14:paraId="0D5C9EA9" w14:textId="77777777" w:rsidR="008413DE" w:rsidRDefault="008413DE" w:rsidP="008413DE">
      <w:pPr>
        <w:pStyle w:val="a5"/>
        <w:spacing w:after="0" w:line="240" w:lineRule="auto"/>
        <w:ind w:left="0" w:firstLine="709"/>
        <w:jc w:val="center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en-US" w:eastAsia="ru-RU"/>
        </w:rPr>
      </w:pPr>
    </w:p>
    <w:p w14:paraId="353F60CF" w14:textId="77777777" w:rsidR="008413DE" w:rsidRPr="008413DE" w:rsidRDefault="008413DE" w:rsidP="008413DE">
      <w:pPr>
        <w:pStyle w:val="a5"/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en-US" w:eastAsia="ru-RU"/>
        </w:rPr>
      </w:pPr>
      <w:r w:rsidRPr="008413DE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val="en-US" w:eastAsia="ru-RU"/>
        </w:rPr>
        <w:t>Abstract</w:t>
      </w:r>
      <w:r w:rsidRPr="008413DE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en-US" w:eastAsia="ru-RU"/>
        </w:rPr>
        <w:t>. The article examines the key problems of the spatial development of the Russian Federation, identifies the causes of the imbalance in the socio-economic development of territories and the concentration of economic activity in a limited number of regions, and identifies ways to overcome the identified problems.</w:t>
      </w:r>
    </w:p>
    <w:p w14:paraId="5B71AD81" w14:textId="77777777" w:rsidR="008413DE" w:rsidRDefault="008413DE" w:rsidP="008413DE">
      <w:pPr>
        <w:pStyle w:val="a5"/>
        <w:spacing w:after="0" w:line="240" w:lineRule="auto"/>
        <w:ind w:left="0" w:firstLine="709"/>
        <w:jc w:val="center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en-US" w:eastAsia="ru-RU"/>
        </w:rPr>
      </w:pPr>
      <w:r w:rsidRPr="008413DE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val="en-US" w:eastAsia="ru-RU"/>
        </w:rPr>
        <w:t>Keywords:</w:t>
      </w:r>
      <w:r w:rsidRPr="008413DE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en-US" w:eastAsia="ru-RU"/>
        </w:rPr>
        <w:t xml:space="preserve"> spatial development, interregional imbalances, regional policy, agglomerations.</w:t>
      </w:r>
    </w:p>
    <w:p w14:paraId="331A1291" w14:textId="77777777" w:rsidR="008413DE" w:rsidRDefault="008413DE" w:rsidP="008413DE">
      <w:pPr>
        <w:pStyle w:val="a5"/>
        <w:spacing w:after="0" w:line="240" w:lineRule="auto"/>
        <w:ind w:left="0" w:firstLine="709"/>
        <w:jc w:val="center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en-US" w:eastAsia="ru-RU"/>
        </w:rPr>
      </w:pPr>
    </w:p>
    <w:p w14:paraId="0A472350" w14:textId="77777777" w:rsidR="008413DE" w:rsidRDefault="008413DE" w:rsidP="008413DE">
      <w:pPr>
        <w:pStyle w:val="a5"/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en-US" w:eastAsia="ru-RU"/>
        </w:rPr>
      </w:pPr>
    </w:p>
    <w:p w14:paraId="66227759" w14:textId="77777777" w:rsidR="008413DE" w:rsidRPr="008413DE" w:rsidRDefault="008413DE" w:rsidP="008413DE">
      <w:pPr>
        <w:pStyle w:val="a5"/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en-US" w:eastAsia="ru-RU"/>
        </w:rPr>
      </w:pPr>
      <w:r w:rsidRPr="008413DE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en-US" w:eastAsia="ru-RU"/>
        </w:rPr>
        <w:t xml:space="preserve">Tatyana </w:t>
      </w:r>
      <w:proofErr w:type="spellStart"/>
      <w:r w:rsidRPr="008413DE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en-US" w:eastAsia="ru-RU"/>
        </w:rPr>
        <w:t>Aleksandrovna</w:t>
      </w:r>
      <w:proofErr w:type="spellEnd"/>
      <w:r w:rsidRPr="008413DE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en-US" w:eastAsia="ru-RU"/>
        </w:rPr>
        <w:t xml:space="preserve"> Volkova (Voronezh, Russia) – Candidate of Economics, Associate Professor, Voronezh Branch of the Federal State Budgetary Educational Institution of Higher Education "Plekhanov Russian University of Economics" (67a Karl Marx St., Voronezh, 394030, Voronezh Region, e-mail address </w:t>
      </w:r>
      <w:proofErr w:type="gramStart"/>
      <w:r w:rsidRPr="008413DE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en-US" w:eastAsia="ru-RU"/>
        </w:rPr>
        <w:t>volkovata14@mail.ru )</w:t>
      </w:r>
      <w:proofErr w:type="gramEnd"/>
      <w:r w:rsidRPr="008413DE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en-US" w:eastAsia="ru-RU"/>
        </w:rPr>
        <w:t>.</w:t>
      </w:r>
    </w:p>
    <w:p w14:paraId="53496F84" w14:textId="77777777" w:rsidR="008413DE" w:rsidRDefault="008413DE" w:rsidP="008413DE">
      <w:pPr>
        <w:pStyle w:val="a5"/>
        <w:spacing w:after="0" w:line="240" w:lineRule="auto"/>
        <w:ind w:left="0" w:firstLine="709"/>
        <w:jc w:val="both"/>
        <w:rPr>
          <w:rFonts w:ascii="Times New Roman" w:hAnsi="Times New Roman" w:cs="Times New Roman"/>
          <w:color w:val="000000"/>
          <w:sz w:val="24"/>
          <w:szCs w:val="24"/>
          <w:lang w:val="en-US"/>
        </w:rPr>
      </w:pPr>
      <w:r w:rsidRPr="008413DE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Svetlana Alexandrovna Volkova (Voronezh, Russia) – Candidate of Economics, Associate Professor, Voronezh State Technical University (84 20th Anniversary of October str., Voronezh, 394006, Voronezh Region, e-mail – </w:t>
      </w:r>
      <w:proofErr w:type="gramStart"/>
      <w:r w:rsidRPr="008413DE">
        <w:rPr>
          <w:rFonts w:ascii="Times New Roman" w:hAnsi="Times New Roman" w:cs="Times New Roman"/>
          <w:color w:val="000000"/>
          <w:sz w:val="24"/>
          <w:szCs w:val="24"/>
          <w:lang w:val="en-US"/>
        </w:rPr>
        <w:t>volkovata14@mail.ru )</w:t>
      </w:r>
      <w:proofErr w:type="gramEnd"/>
    </w:p>
    <w:p w14:paraId="43480128" w14:textId="77777777" w:rsidR="008413DE" w:rsidRDefault="008413DE" w:rsidP="008413DE">
      <w:pPr>
        <w:pStyle w:val="a5"/>
        <w:spacing w:after="0" w:line="240" w:lineRule="auto"/>
        <w:ind w:left="0" w:firstLine="709"/>
        <w:jc w:val="both"/>
        <w:rPr>
          <w:rFonts w:ascii="Times New Roman" w:hAnsi="Times New Roman" w:cs="Times New Roman"/>
          <w:color w:val="000000"/>
          <w:sz w:val="24"/>
          <w:szCs w:val="24"/>
          <w:lang w:val="en-US"/>
        </w:rPr>
      </w:pPr>
    </w:p>
    <w:p w14:paraId="3C612C14" w14:textId="77777777" w:rsidR="008413DE" w:rsidRPr="008413DE" w:rsidRDefault="008413DE" w:rsidP="008413DE">
      <w:pPr>
        <w:pStyle w:val="a5"/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en-US" w:eastAsia="ru-RU"/>
        </w:rPr>
      </w:pPr>
      <w:r w:rsidRPr="008413DE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en-US" w:eastAsia="ru-RU"/>
        </w:rPr>
        <w:t>Bibliographic list:</w:t>
      </w:r>
    </w:p>
    <w:p w14:paraId="76E4DF38" w14:textId="77777777" w:rsidR="008413DE" w:rsidRPr="008413DE" w:rsidRDefault="008413DE" w:rsidP="008413DE">
      <w:pPr>
        <w:pStyle w:val="a5"/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en-US" w:eastAsia="ru-RU"/>
        </w:rPr>
      </w:pPr>
      <w:r w:rsidRPr="008413DE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en-US" w:eastAsia="ru-RU"/>
        </w:rPr>
        <w:t xml:space="preserve">1. </w:t>
      </w:r>
      <w:proofErr w:type="spellStart"/>
      <w:r w:rsidR="00FF1D88" w:rsidRPr="00FF1D88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en-US" w:eastAsia="ru-RU"/>
        </w:rPr>
        <w:t>Rosstat</w:t>
      </w:r>
      <w:proofErr w:type="spellEnd"/>
      <w:r w:rsidR="00FF1D88" w:rsidRPr="00FF1D88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en-US" w:eastAsia="ru-RU"/>
        </w:rPr>
        <w:t>. Official statistics. Efficiency of the Russian economy URL: https://rosstat.gov.ru/search?q=%D0%B2%D1%80%D0%BF</w:t>
      </w:r>
    </w:p>
    <w:p w14:paraId="45544D05" w14:textId="77777777" w:rsidR="008413DE" w:rsidRPr="008413DE" w:rsidRDefault="008413DE" w:rsidP="008413DE">
      <w:pPr>
        <w:pStyle w:val="a5"/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en-US" w:eastAsia="ru-RU"/>
        </w:rPr>
      </w:pPr>
      <w:r w:rsidRPr="008413DE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en-US" w:eastAsia="ru-RU"/>
        </w:rPr>
        <w:t xml:space="preserve">2. Volkova T.A., </w:t>
      </w:r>
      <w:proofErr w:type="spellStart"/>
      <w:r w:rsidRPr="008413DE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en-US" w:eastAsia="ru-RU"/>
        </w:rPr>
        <w:t>Serebryakova</w:t>
      </w:r>
      <w:proofErr w:type="spellEnd"/>
      <w:r w:rsidRPr="008413DE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en-US" w:eastAsia="ru-RU"/>
        </w:rPr>
        <w:t xml:space="preserve"> N.A., Volkova S.A. Determinants of modern spatial development of Russia // Bulletin of the Altai Academy of Economics and Law. 2024. No. 12-2. pp. 199-205.</w:t>
      </w:r>
    </w:p>
    <w:p w14:paraId="4E1BA563" w14:textId="77777777" w:rsidR="008413DE" w:rsidRPr="008413DE" w:rsidRDefault="008413DE" w:rsidP="008413DE">
      <w:pPr>
        <w:pStyle w:val="a5"/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en-US" w:eastAsia="ru-RU"/>
        </w:rPr>
      </w:pPr>
      <w:r w:rsidRPr="008413DE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en-US" w:eastAsia="ru-RU"/>
        </w:rPr>
        <w:t>3. Strategy of spatial development of the Russian Federation for the period up to 2030 with a forecast up to 2036 [Electronic resource]. URL: https://www.economy.gov.ru/material/directions/strategiya_prostranstvennogo_razvitiya_rossiyskoy_federacii_na_period_do_2030_goda_s_prognozom_do_2036_goda.html</w:t>
      </w:r>
    </w:p>
    <w:sectPr w:rsidR="008413DE" w:rsidRPr="008413DE" w:rsidSect="00034C23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ptos">
    <w:altName w:val="Calibri"/>
    <w:charset w:val="00"/>
    <w:family w:val="swiss"/>
    <w:pitch w:val="variable"/>
    <w:sig w:usb0="20000287" w:usb1="00000003" w:usb2="00000000" w:usb3="00000000" w:csb0="0000019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B4053C"/>
    <w:multiLevelType w:val="multilevel"/>
    <w:tmpl w:val="22AA40F2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066C09A8"/>
    <w:multiLevelType w:val="multilevel"/>
    <w:tmpl w:val="405C52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099377A1"/>
    <w:multiLevelType w:val="multilevel"/>
    <w:tmpl w:val="3A344EE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0C1A037F"/>
    <w:multiLevelType w:val="multilevel"/>
    <w:tmpl w:val="836C35D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1FA52E41"/>
    <w:multiLevelType w:val="multilevel"/>
    <w:tmpl w:val="8104E02E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202A2786"/>
    <w:multiLevelType w:val="multilevel"/>
    <w:tmpl w:val="0372A35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22183DC3"/>
    <w:multiLevelType w:val="multilevel"/>
    <w:tmpl w:val="31D8B01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253B066F"/>
    <w:multiLevelType w:val="multilevel"/>
    <w:tmpl w:val="EDA2EBB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2C376D40"/>
    <w:multiLevelType w:val="multilevel"/>
    <w:tmpl w:val="0832D08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2DC944CC"/>
    <w:multiLevelType w:val="multilevel"/>
    <w:tmpl w:val="0A4C5E1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36D12842"/>
    <w:multiLevelType w:val="multilevel"/>
    <w:tmpl w:val="5AF4A4A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 w15:restartNumberingAfterBreak="0">
    <w:nsid w:val="3F3D388F"/>
    <w:multiLevelType w:val="multilevel"/>
    <w:tmpl w:val="EFFC259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 w15:restartNumberingAfterBreak="0">
    <w:nsid w:val="4CE52CF0"/>
    <w:multiLevelType w:val="multilevel"/>
    <w:tmpl w:val="773EF1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 w15:restartNumberingAfterBreak="0">
    <w:nsid w:val="531A49B2"/>
    <w:multiLevelType w:val="multilevel"/>
    <w:tmpl w:val="9D183FEE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 w15:restartNumberingAfterBreak="0">
    <w:nsid w:val="567B76CC"/>
    <w:multiLevelType w:val="multilevel"/>
    <w:tmpl w:val="8D60035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 w15:restartNumberingAfterBreak="0">
    <w:nsid w:val="56EE43E4"/>
    <w:multiLevelType w:val="multilevel"/>
    <w:tmpl w:val="96547C9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 w15:restartNumberingAfterBreak="0">
    <w:nsid w:val="66546580"/>
    <w:multiLevelType w:val="multilevel"/>
    <w:tmpl w:val="78C0F49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689A3BBF"/>
    <w:multiLevelType w:val="multilevel"/>
    <w:tmpl w:val="80106EA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 w15:restartNumberingAfterBreak="0">
    <w:nsid w:val="68A53FF1"/>
    <w:multiLevelType w:val="multilevel"/>
    <w:tmpl w:val="9034815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 w15:restartNumberingAfterBreak="0">
    <w:nsid w:val="68B47FC3"/>
    <w:multiLevelType w:val="multilevel"/>
    <w:tmpl w:val="3E165CF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" w15:restartNumberingAfterBreak="0">
    <w:nsid w:val="6B892251"/>
    <w:multiLevelType w:val="multilevel"/>
    <w:tmpl w:val="66B804D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1" w15:restartNumberingAfterBreak="0">
    <w:nsid w:val="6F212292"/>
    <w:multiLevelType w:val="multilevel"/>
    <w:tmpl w:val="ABAA07E0"/>
    <w:lvl w:ilvl="0">
      <w:start w:val="1"/>
      <w:numFmt w:val="bullet"/>
      <w:lvlText w:val=""/>
      <w:lvlJc w:val="left"/>
      <w:pPr>
        <w:tabs>
          <w:tab w:val="num" w:pos="928"/>
        </w:tabs>
        <w:ind w:left="928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648"/>
        </w:tabs>
        <w:ind w:left="1648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368"/>
        </w:tabs>
        <w:ind w:left="2368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3088"/>
        </w:tabs>
        <w:ind w:left="3088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808"/>
        </w:tabs>
        <w:ind w:left="3808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528"/>
        </w:tabs>
        <w:ind w:left="4528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248"/>
        </w:tabs>
        <w:ind w:left="5248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968"/>
        </w:tabs>
        <w:ind w:left="5968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688"/>
        </w:tabs>
        <w:ind w:left="6688" w:hanging="360"/>
      </w:pPr>
      <w:rPr>
        <w:rFonts w:ascii="Wingdings" w:hAnsi="Wingdings" w:hint="default"/>
        <w:sz w:val="20"/>
      </w:rPr>
    </w:lvl>
  </w:abstractNum>
  <w:abstractNum w:abstractNumId="22" w15:restartNumberingAfterBreak="0">
    <w:nsid w:val="7B1E7CEE"/>
    <w:multiLevelType w:val="hybridMultilevel"/>
    <w:tmpl w:val="4436582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0"/>
  </w:num>
  <w:num w:numId="2">
    <w:abstractNumId w:val="2"/>
  </w:num>
  <w:num w:numId="3">
    <w:abstractNumId w:val="4"/>
  </w:num>
  <w:num w:numId="4">
    <w:abstractNumId w:val="17"/>
  </w:num>
  <w:num w:numId="5">
    <w:abstractNumId w:val="0"/>
  </w:num>
  <w:num w:numId="6">
    <w:abstractNumId w:val="3"/>
  </w:num>
  <w:num w:numId="7">
    <w:abstractNumId w:val="9"/>
  </w:num>
  <w:num w:numId="8">
    <w:abstractNumId w:val="19"/>
  </w:num>
  <w:num w:numId="9">
    <w:abstractNumId w:val="21"/>
  </w:num>
  <w:num w:numId="10">
    <w:abstractNumId w:val="5"/>
  </w:num>
  <w:num w:numId="11">
    <w:abstractNumId w:val="15"/>
  </w:num>
  <w:num w:numId="12">
    <w:abstractNumId w:val="13"/>
  </w:num>
  <w:num w:numId="13">
    <w:abstractNumId w:val="18"/>
  </w:num>
  <w:num w:numId="14">
    <w:abstractNumId w:val="11"/>
  </w:num>
  <w:num w:numId="15">
    <w:abstractNumId w:val="12"/>
  </w:num>
  <w:num w:numId="16">
    <w:abstractNumId w:val="14"/>
  </w:num>
  <w:num w:numId="17">
    <w:abstractNumId w:val="8"/>
  </w:num>
  <w:num w:numId="18">
    <w:abstractNumId w:val="16"/>
  </w:num>
  <w:num w:numId="19">
    <w:abstractNumId w:val="1"/>
  </w:num>
  <w:num w:numId="20">
    <w:abstractNumId w:val="7"/>
  </w:num>
  <w:num w:numId="21">
    <w:abstractNumId w:val="6"/>
  </w:num>
  <w:num w:numId="22">
    <w:abstractNumId w:val="20"/>
  </w:num>
  <w:num w:numId="23">
    <w:abstractNumId w:val="2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A4411"/>
    <w:rsid w:val="00005A41"/>
    <w:rsid w:val="00034C23"/>
    <w:rsid w:val="000B0AE3"/>
    <w:rsid w:val="00192624"/>
    <w:rsid w:val="001F4EA9"/>
    <w:rsid w:val="002E45CF"/>
    <w:rsid w:val="00452AAD"/>
    <w:rsid w:val="00537A6A"/>
    <w:rsid w:val="00651F1F"/>
    <w:rsid w:val="00674D0B"/>
    <w:rsid w:val="006827A0"/>
    <w:rsid w:val="00721A9E"/>
    <w:rsid w:val="008413DE"/>
    <w:rsid w:val="00847B88"/>
    <w:rsid w:val="008C4169"/>
    <w:rsid w:val="00951FAA"/>
    <w:rsid w:val="009667C7"/>
    <w:rsid w:val="009721ED"/>
    <w:rsid w:val="00A051EA"/>
    <w:rsid w:val="00B54F8C"/>
    <w:rsid w:val="00BA4411"/>
    <w:rsid w:val="00C805C7"/>
    <w:rsid w:val="00D56050"/>
    <w:rsid w:val="00DF3604"/>
    <w:rsid w:val="00E10D6D"/>
    <w:rsid w:val="00E34482"/>
    <w:rsid w:val="00FF1D88"/>
    <w:rsid w:val="00FF54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8DC2372"/>
  <w15:chartTrackingRefBased/>
  <w15:docId w15:val="{5CD8B73E-B419-412C-AC51-A4E21F05051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ds-markdown-paragraph">
    <w:name w:val="ds-markdown-paragraph"/>
    <w:basedOn w:val="a"/>
    <w:rsid w:val="00452AA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3">
    <w:name w:val="Strong"/>
    <w:basedOn w:val="a0"/>
    <w:uiPriority w:val="22"/>
    <w:qFormat/>
    <w:rsid w:val="00452AAD"/>
    <w:rPr>
      <w:b/>
      <w:bCs/>
    </w:rPr>
  </w:style>
  <w:style w:type="character" w:styleId="a4">
    <w:name w:val="Emphasis"/>
    <w:basedOn w:val="a0"/>
    <w:uiPriority w:val="20"/>
    <w:qFormat/>
    <w:rsid w:val="00452AAD"/>
    <w:rPr>
      <w:i/>
      <w:iCs/>
    </w:rPr>
  </w:style>
  <w:style w:type="paragraph" w:styleId="a5">
    <w:name w:val="List Paragraph"/>
    <w:basedOn w:val="a"/>
    <w:uiPriority w:val="34"/>
    <w:qFormat/>
    <w:rsid w:val="00537A6A"/>
    <w:pPr>
      <w:ind w:left="720"/>
      <w:contextualSpacing/>
    </w:pPr>
  </w:style>
  <w:style w:type="character" w:styleId="a6">
    <w:name w:val="Hyperlink"/>
    <w:basedOn w:val="a0"/>
    <w:uiPriority w:val="99"/>
    <w:unhideWhenUsed/>
    <w:rsid w:val="00E34482"/>
    <w:rPr>
      <w:color w:val="0563C1" w:themeColor="hyperlink"/>
      <w:u w:val="single"/>
    </w:rPr>
  </w:style>
  <w:style w:type="character" w:styleId="a7">
    <w:name w:val="FollowedHyperlink"/>
    <w:basedOn w:val="a0"/>
    <w:uiPriority w:val="99"/>
    <w:semiHidden/>
    <w:unhideWhenUsed/>
    <w:rsid w:val="00FF1D88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6427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410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653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384047">
          <w:marLeft w:val="0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90580969">
              <w:marLeft w:val="0"/>
              <w:marRight w:val="0"/>
              <w:marTop w:val="0"/>
              <w:marBottom w:val="18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457657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005324473">
              <w:marLeft w:val="0"/>
              <w:marRight w:val="0"/>
              <w:marTop w:val="0"/>
              <w:marBottom w:val="24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299904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55809412">
              <w:marLeft w:val="0"/>
              <w:marRight w:val="0"/>
              <w:marTop w:val="0"/>
              <w:marBottom w:val="18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288691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331324534">
              <w:marLeft w:val="0"/>
              <w:marRight w:val="0"/>
              <w:marTop w:val="0"/>
              <w:marBottom w:val="24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729390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021205053">
              <w:marLeft w:val="0"/>
              <w:marRight w:val="0"/>
              <w:marTop w:val="0"/>
              <w:marBottom w:val="18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347849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825627551">
              <w:marLeft w:val="0"/>
              <w:marRight w:val="0"/>
              <w:marTop w:val="0"/>
              <w:marBottom w:val="24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113023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388655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042292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28100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253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099888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ww.economy.gov.ru/material/directions/strategiya_prostranstvennogo_razvitiya_rossiyskoy_federacii_na_period_do_2030_goda_s_prognozom_do_2036_goda.html" TargetMode="External"/><Relationship Id="rId5" Type="http://schemas.openxmlformats.org/officeDocument/2006/relationships/hyperlink" Target="https://rosstat.gov.ru/search?q=%D0%B2%D1%80%D0%BF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1792</Words>
  <Characters>10218</Characters>
  <Application>Microsoft Office Word</Application>
  <DocSecurity>0</DocSecurity>
  <Lines>85</Lines>
  <Paragraphs>23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diakov.net</Company>
  <LinksUpToDate>false</LinksUpToDate>
  <CharactersWithSpaces>11987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Екатерина Д. Копытова</cp:lastModifiedBy>
  <cp:revision>2</cp:revision>
  <cp:lastPrinted>2025-04-29T07:06:00Z</cp:lastPrinted>
  <dcterms:created xsi:type="dcterms:W3CDTF">2025-05-16T04:54:00Z</dcterms:created>
  <dcterms:modified xsi:type="dcterms:W3CDTF">2025-05-16T04:54:00Z</dcterms:modified>
</cp:coreProperties>
</file>