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83AA47" w14:textId="77777777" w:rsidR="0071632B" w:rsidRPr="0071632B" w:rsidRDefault="0071632B" w:rsidP="00E82B89">
      <w:pPr>
        <w:spacing w:line="240" w:lineRule="auto"/>
        <w:jc w:val="right"/>
        <w:rPr>
          <w:rStyle w:val="a3"/>
          <w:rFonts w:ascii="Times New Roman" w:hAnsi="Times New Roman" w:cs="Times New Roman"/>
          <w:color w:val="404040"/>
          <w:sz w:val="24"/>
          <w:szCs w:val="24"/>
          <w:shd w:val="clear" w:color="auto" w:fill="FFFFFF"/>
        </w:rPr>
      </w:pPr>
      <w:r w:rsidRPr="0071632B">
        <w:rPr>
          <w:rFonts w:ascii="Times New Roman" w:hAnsi="Times New Roman" w:cs="Times New Roman"/>
          <w:sz w:val="24"/>
          <w:szCs w:val="24"/>
        </w:rPr>
        <w:t>Мотыгуллина С.М. Кашапова Д.Р.</w:t>
      </w:r>
      <w:r w:rsidR="00785CBE" w:rsidRPr="0071632B">
        <w:rPr>
          <w:rStyle w:val="a3"/>
          <w:rFonts w:ascii="Times New Roman" w:hAnsi="Times New Roman" w:cs="Times New Roman"/>
          <w:color w:val="404040"/>
          <w:sz w:val="24"/>
          <w:szCs w:val="24"/>
          <w:shd w:val="clear" w:color="auto" w:fill="FFFFFF"/>
        </w:rPr>
        <w:br/>
      </w:r>
    </w:p>
    <w:p w14:paraId="58F050FC" w14:textId="177F8E4C" w:rsidR="00DA51BC" w:rsidRPr="007449F9" w:rsidRDefault="0070344C" w:rsidP="00E82B89">
      <w:pPr>
        <w:spacing w:line="240" w:lineRule="auto"/>
        <w:jc w:val="center"/>
        <w:rPr>
          <w:rFonts w:ascii="Times New Roman" w:hAnsi="Times New Roman" w:cs="Times New Roman"/>
          <w:sz w:val="24"/>
          <w:szCs w:val="24"/>
          <w:shd w:val="clear" w:color="auto" w:fill="FFFFFF"/>
        </w:rPr>
      </w:pPr>
      <w:r w:rsidRPr="007449F9">
        <w:rPr>
          <w:rStyle w:val="a3"/>
          <w:rFonts w:ascii="Times New Roman" w:hAnsi="Times New Roman" w:cs="Times New Roman"/>
          <w:color w:val="404040"/>
          <w:sz w:val="24"/>
          <w:szCs w:val="24"/>
          <w:shd w:val="clear" w:color="auto" w:fill="FFFFFF"/>
        </w:rPr>
        <w:t>ПОТРЕБИТЕЛЬСКИЙ</w:t>
      </w:r>
      <w:r w:rsidR="007449F9" w:rsidRPr="007449F9">
        <w:rPr>
          <w:rStyle w:val="a3"/>
          <w:rFonts w:ascii="Times New Roman" w:hAnsi="Times New Roman" w:cs="Times New Roman"/>
          <w:color w:val="404040"/>
          <w:sz w:val="24"/>
          <w:szCs w:val="24"/>
          <w:shd w:val="clear" w:color="auto" w:fill="FFFFFF"/>
        </w:rPr>
        <w:t xml:space="preserve"> </w:t>
      </w:r>
      <w:r w:rsidRPr="007449F9">
        <w:rPr>
          <w:rStyle w:val="a3"/>
          <w:rFonts w:ascii="Times New Roman" w:hAnsi="Times New Roman" w:cs="Times New Roman"/>
          <w:color w:val="404040"/>
          <w:sz w:val="24"/>
          <w:szCs w:val="24"/>
          <w:shd w:val="clear" w:color="auto" w:fill="FFFFFF"/>
        </w:rPr>
        <w:t>ЭКСТРЕМИЗМ</w:t>
      </w:r>
      <w:r w:rsidR="007E308C">
        <w:rPr>
          <w:rStyle w:val="a3"/>
          <w:rFonts w:ascii="Times New Roman" w:hAnsi="Times New Roman" w:cs="Times New Roman"/>
          <w:color w:val="404040"/>
          <w:sz w:val="24"/>
          <w:szCs w:val="24"/>
          <w:shd w:val="clear" w:color="auto" w:fill="FFFFFF"/>
        </w:rPr>
        <w:t xml:space="preserve"> </w:t>
      </w:r>
      <w:r w:rsidR="00637020">
        <w:rPr>
          <w:rStyle w:val="a3"/>
          <w:rFonts w:ascii="Times New Roman" w:hAnsi="Times New Roman" w:cs="Times New Roman"/>
          <w:color w:val="404040"/>
          <w:sz w:val="24"/>
          <w:szCs w:val="24"/>
          <w:shd w:val="clear" w:color="auto" w:fill="FFFFFF"/>
        </w:rPr>
        <w:t xml:space="preserve">И </w:t>
      </w:r>
      <w:r w:rsidR="00C103A9">
        <w:rPr>
          <w:rStyle w:val="a3"/>
          <w:rFonts w:ascii="Times New Roman" w:hAnsi="Times New Roman" w:cs="Times New Roman"/>
          <w:color w:val="404040"/>
          <w:sz w:val="24"/>
          <w:szCs w:val="24"/>
          <w:shd w:val="clear" w:color="auto" w:fill="FFFFFF"/>
        </w:rPr>
        <w:t xml:space="preserve">БУМ </w:t>
      </w:r>
      <w:r w:rsidR="00AD271B">
        <w:rPr>
          <w:rStyle w:val="a3"/>
          <w:rFonts w:ascii="Times New Roman" w:hAnsi="Times New Roman" w:cs="Times New Roman"/>
          <w:color w:val="404040"/>
          <w:sz w:val="24"/>
          <w:szCs w:val="24"/>
          <w:shd w:val="clear" w:color="auto" w:fill="FFFFFF"/>
        </w:rPr>
        <w:t>НОВОГДНИХ</w:t>
      </w:r>
      <w:r w:rsidR="00C103A9">
        <w:rPr>
          <w:rStyle w:val="a3"/>
          <w:rFonts w:ascii="Times New Roman" w:hAnsi="Times New Roman" w:cs="Times New Roman"/>
          <w:color w:val="404040"/>
          <w:sz w:val="24"/>
          <w:szCs w:val="24"/>
          <w:shd w:val="clear" w:color="auto" w:fill="FFFFFF"/>
        </w:rPr>
        <w:t xml:space="preserve"> ЕЛО</w:t>
      </w:r>
      <w:r w:rsidR="00B01247">
        <w:rPr>
          <w:rStyle w:val="a3"/>
          <w:rFonts w:ascii="Times New Roman" w:hAnsi="Times New Roman" w:cs="Times New Roman"/>
          <w:color w:val="404040"/>
          <w:sz w:val="24"/>
          <w:szCs w:val="24"/>
          <w:shd w:val="clear" w:color="auto" w:fill="FFFFFF"/>
        </w:rPr>
        <w:t>ЧЕК</w:t>
      </w:r>
      <w:r w:rsidR="00AD271B">
        <w:rPr>
          <w:rStyle w:val="a3"/>
          <w:rFonts w:ascii="Times New Roman" w:hAnsi="Times New Roman" w:cs="Times New Roman"/>
          <w:color w:val="404040"/>
          <w:sz w:val="24"/>
          <w:szCs w:val="24"/>
          <w:shd w:val="clear" w:color="auto" w:fill="FFFFFF"/>
        </w:rPr>
        <w:t xml:space="preserve"> В РОССИИ</w:t>
      </w:r>
      <w:r w:rsidRPr="007449F9">
        <w:rPr>
          <w:rFonts w:ascii="Times New Roman" w:hAnsi="Times New Roman" w:cs="Times New Roman"/>
          <w:sz w:val="24"/>
          <w:szCs w:val="24"/>
        </w:rPr>
        <w:br/>
      </w:r>
      <w:r w:rsidRPr="007449F9">
        <w:rPr>
          <w:rStyle w:val="a3"/>
          <w:rFonts w:ascii="Times New Roman" w:hAnsi="Times New Roman" w:cs="Times New Roman"/>
          <w:b w:val="0"/>
          <w:bCs w:val="0"/>
          <w:color w:val="404040"/>
          <w:sz w:val="24"/>
          <w:szCs w:val="24"/>
          <w:shd w:val="clear" w:color="auto" w:fill="FFFFFF"/>
        </w:rPr>
        <w:t>НАУЧНЫЙ РУКОВОДИТЕЛЬ:</w:t>
      </w:r>
      <w:r w:rsidRPr="007449F9">
        <w:rPr>
          <w:rFonts w:ascii="Times New Roman" w:hAnsi="Times New Roman" w:cs="Times New Roman"/>
          <w:b/>
          <w:bCs/>
          <w:sz w:val="24"/>
          <w:szCs w:val="24"/>
          <w:shd w:val="clear" w:color="auto" w:fill="FFFFFF"/>
        </w:rPr>
        <w:t> </w:t>
      </w:r>
      <w:r w:rsidR="0066764C">
        <w:rPr>
          <w:rFonts w:ascii="Times New Roman" w:hAnsi="Times New Roman" w:cs="Times New Roman"/>
          <w:sz w:val="24"/>
          <w:szCs w:val="24"/>
          <w:shd w:val="clear" w:color="auto" w:fill="FFFFFF"/>
        </w:rPr>
        <w:t xml:space="preserve">ЗУЛЬФАКАРОВА Л.Ф, </w:t>
      </w:r>
      <w:r w:rsidR="007C70C2" w:rsidRPr="007449F9">
        <w:rPr>
          <w:rFonts w:ascii="Times New Roman" w:hAnsi="Times New Roman" w:cs="Times New Roman"/>
          <w:sz w:val="24"/>
          <w:szCs w:val="24"/>
          <w:shd w:val="clear" w:color="auto" w:fill="FFFFFF"/>
        </w:rPr>
        <w:t>ДОЦЕНТ</w:t>
      </w:r>
      <w:r w:rsidR="00E53FC8" w:rsidRPr="007449F9">
        <w:rPr>
          <w:rFonts w:ascii="Times New Roman" w:hAnsi="Times New Roman" w:cs="Times New Roman"/>
          <w:sz w:val="24"/>
          <w:szCs w:val="24"/>
          <w:shd w:val="clear" w:color="auto" w:fill="FFFFFF"/>
        </w:rPr>
        <w:t>, К</w:t>
      </w:r>
      <w:r w:rsidR="00CD7997" w:rsidRPr="007449F9">
        <w:rPr>
          <w:rFonts w:ascii="Times New Roman" w:hAnsi="Times New Roman" w:cs="Times New Roman"/>
          <w:sz w:val="24"/>
          <w:szCs w:val="24"/>
          <w:shd w:val="clear" w:color="auto" w:fill="FFFFFF"/>
        </w:rPr>
        <w:t>.</w:t>
      </w:r>
      <w:r w:rsidR="00E53FC8" w:rsidRPr="007449F9">
        <w:rPr>
          <w:rFonts w:ascii="Times New Roman" w:hAnsi="Times New Roman" w:cs="Times New Roman"/>
          <w:sz w:val="24"/>
          <w:szCs w:val="24"/>
          <w:shd w:val="clear" w:color="auto" w:fill="FFFFFF"/>
        </w:rPr>
        <w:t>Н</w:t>
      </w:r>
      <w:r w:rsidR="00CD7997" w:rsidRPr="007449F9">
        <w:rPr>
          <w:rFonts w:ascii="Times New Roman" w:hAnsi="Times New Roman" w:cs="Times New Roman"/>
          <w:sz w:val="24"/>
          <w:szCs w:val="24"/>
          <w:shd w:val="clear" w:color="auto" w:fill="FFFFFF"/>
        </w:rPr>
        <w:t xml:space="preserve">., </w:t>
      </w:r>
      <w:r w:rsidR="00E53FC8" w:rsidRPr="007449F9">
        <w:rPr>
          <w:rFonts w:ascii="Times New Roman" w:hAnsi="Times New Roman" w:cs="Times New Roman"/>
          <w:sz w:val="24"/>
          <w:szCs w:val="24"/>
          <w:shd w:val="clear" w:color="auto" w:fill="FFFFFF"/>
        </w:rPr>
        <w:t xml:space="preserve">КАНДИДАТ </w:t>
      </w:r>
      <w:r w:rsidR="0091402D" w:rsidRPr="007449F9">
        <w:rPr>
          <w:rFonts w:ascii="Times New Roman" w:hAnsi="Times New Roman" w:cs="Times New Roman"/>
          <w:sz w:val="24"/>
          <w:szCs w:val="24"/>
          <w:shd w:val="clear" w:color="auto" w:fill="FFFFFF"/>
        </w:rPr>
        <w:t>ЭКОНОМИЧЕСКИХ НАУК</w:t>
      </w:r>
    </w:p>
    <w:p w14:paraId="2C5F3292" w14:textId="77777777" w:rsidR="00F8083A" w:rsidRPr="00F24D93" w:rsidRDefault="00F8083A" w:rsidP="008C4FB6">
      <w:pPr>
        <w:spacing w:line="240" w:lineRule="auto"/>
        <w:jc w:val="both"/>
        <w:rPr>
          <w:rStyle w:val="a3"/>
          <w:rFonts w:ascii="Times New Roman" w:hAnsi="Times New Roman" w:cs="Times New Roman"/>
          <w:b w:val="0"/>
          <w:bCs w:val="0"/>
          <w:color w:val="404040"/>
          <w:sz w:val="24"/>
          <w:szCs w:val="24"/>
          <w:shd w:val="clear" w:color="auto" w:fill="FFFFFF"/>
        </w:rPr>
      </w:pPr>
    </w:p>
    <w:p w14:paraId="49CD3A0E" w14:textId="6C17853F" w:rsidR="00F24D93" w:rsidRDefault="00704015" w:rsidP="00776892">
      <w:pPr>
        <w:spacing w:line="24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Аннотация: </w:t>
      </w:r>
      <w:r w:rsidRPr="00704015">
        <w:rPr>
          <w:rFonts w:ascii="Times New Roman" w:hAnsi="Times New Roman" w:cs="Times New Roman"/>
          <w:sz w:val="24"/>
          <w:szCs w:val="24"/>
        </w:rPr>
        <w:t>В статье исследуется проблема потребительского экстремизма в России,</w:t>
      </w:r>
      <w:r w:rsidR="00876E99">
        <w:rPr>
          <w:rFonts w:ascii="Times New Roman" w:hAnsi="Times New Roman" w:cs="Times New Roman"/>
          <w:sz w:val="24"/>
          <w:szCs w:val="24"/>
        </w:rPr>
        <w:t xml:space="preserve"> </w:t>
      </w:r>
      <w:r w:rsidRPr="00704015">
        <w:rPr>
          <w:rFonts w:ascii="Times New Roman" w:hAnsi="Times New Roman" w:cs="Times New Roman"/>
          <w:sz w:val="24"/>
          <w:szCs w:val="24"/>
        </w:rPr>
        <w:t>его влияние на малый и средний бизнес. На основе данных АКРТ (2022-2024 гг.) анализируются финансовые потери, рост судебных исков и наиболее уязвимые товарные категории. Особое внимание уделено кейсу массовых возвратов новогодних ёлок. Предлагаются меры по совершенствованию законодательства для защиты интересов бизнеса.</w:t>
      </w:r>
    </w:p>
    <w:p w14:paraId="76C1496A" w14:textId="32DC7FB4" w:rsidR="00BE77B7" w:rsidRDefault="00BE77B7" w:rsidP="00776892">
      <w:pPr>
        <w:spacing w:line="240" w:lineRule="auto"/>
        <w:ind w:left="709"/>
        <w:jc w:val="both"/>
        <w:rPr>
          <w:rFonts w:ascii="Times New Roman" w:hAnsi="Times New Roman" w:cs="Times New Roman"/>
          <w:sz w:val="24"/>
          <w:szCs w:val="24"/>
        </w:rPr>
      </w:pPr>
      <w:r>
        <w:rPr>
          <w:rFonts w:ascii="Times New Roman" w:hAnsi="Times New Roman" w:cs="Times New Roman"/>
          <w:sz w:val="24"/>
          <w:szCs w:val="24"/>
        </w:rPr>
        <w:t>Ключевые слова:</w:t>
      </w:r>
      <w:r w:rsidR="00F8083A" w:rsidRPr="00F8083A">
        <w:t xml:space="preserve"> </w:t>
      </w:r>
      <w:r w:rsidR="00F8083A" w:rsidRPr="00F8083A">
        <w:rPr>
          <w:rFonts w:ascii="Times New Roman" w:hAnsi="Times New Roman" w:cs="Times New Roman"/>
          <w:sz w:val="24"/>
          <w:szCs w:val="24"/>
        </w:rPr>
        <w:t>потребительский экстремизм</w:t>
      </w:r>
      <w:r w:rsidR="00635080">
        <w:rPr>
          <w:rFonts w:ascii="Times New Roman" w:hAnsi="Times New Roman" w:cs="Times New Roman"/>
          <w:sz w:val="24"/>
          <w:szCs w:val="24"/>
        </w:rPr>
        <w:t>, злоупотребление правами</w:t>
      </w:r>
      <w:r w:rsidR="00F8083A" w:rsidRPr="00F8083A">
        <w:rPr>
          <w:rFonts w:ascii="Times New Roman" w:hAnsi="Times New Roman" w:cs="Times New Roman"/>
          <w:sz w:val="24"/>
          <w:szCs w:val="24"/>
        </w:rPr>
        <w:t xml:space="preserve">, </w:t>
      </w:r>
      <w:r w:rsidR="00B51057">
        <w:rPr>
          <w:rFonts w:ascii="Times New Roman" w:hAnsi="Times New Roman" w:cs="Times New Roman"/>
          <w:sz w:val="24"/>
          <w:szCs w:val="24"/>
        </w:rPr>
        <w:t xml:space="preserve">недобросовестные </w:t>
      </w:r>
      <w:r w:rsidR="00F8083A" w:rsidRPr="00F8083A">
        <w:rPr>
          <w:rFonts w:ascii="Times New Roman" w:hAnsi="Times New Roman" w:cs="Times New Roman"/>
          <w:sz w:val="24"/>
          <w:szCs w:val="24"/>
        </w:rPr>
        <w:t>возвраты, судебные иски, экономические потери</w:t>
      </w:r>
      <w:r w:rsidR="00F8083A">
        <w:rPr>
          <w:rFonts w:ascii="Times New Roman" w:hAnsi="Times New Roman" w:cs="Times New Roman"/>
          <w:sz w:val="24"/>
          <w:szCs w:val="24"/>
        </w:rPr>
        <w:t>.</w:t>
      </w:r>
    </w:p>
    <w:p w14:paraId="0333D267" w14:textId="77777777" w:rsidR="009556D6" w:rsidRPr="00704015" w:rsidRDefault="009556D6" w:rsidP="00776892">
      <w:pPr>
        <w:spacing w:line="240" w:lineRule="auto"/>
        <w:ind w:left="709"/>
        <w:jc w:val="both"/>
        <w:rPr>
          <w:rFonts w:ascii="Times New Roman" w:hAnsi="Times New Roman" w:cs="Times New Roman"/>
          <w:sz w:val="24"/>
          <w:szCs w:val="24"/>
        </w:rPr>
      </w:pPr>
    </w:p>
    <w:p w14:paraId="461523D4" w14:textId="4463FD2F" w:rsidR="00693C7C" w:rsidRPr="007449F9" w:rsidRDefault="00693C7C"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 xml:space="preserve">Как известно, потребительский экстремизм — это злоупотребление правами потребителя с целью получения выгоды. Часто для этого используются агрессивные методы или манипуляции законом. В России это явление стало особенно заметным с ростом правовой грамотности граждан и ужесточением контроля за бизнесом.  </w:t>
      </w:r>
    </w:p>
    <w:p w14:paraId="7E1DCB5B" w14:textId="77777777" w:rsidR="00547E25" w:rsidRPr="007449F9" w:rsidRDefault="00547E25"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Это явление не только увеличивает финансовые потери бизнеса, но и создает дисбаланс в локальных экономиках, особенно в таких городах, как Казань, где малый и средний бизнес играет ключевую роль. Рост недобросовестных возвратов и ложных жалоб приводит к удорожанию товаров и услуг, что негативно сказывается на благосостоянии населения и развитии территорий.</w:t>
      </w:r>
    </w:p>
    <w:p w14:paraId="461523DB" w14:textId="77777777" w:rsidR="00693C7C" w:rsidRPr="007449F9" w:rsidRDefault="00693C7C"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 xml:space="preserve">Согласно исследованию Ассоциации компаний розничной торговли (АКРТ) за 2024 год, российские ритейлеры ежегодно теряют более 120 млрд рублей из-за недобросовестных возвратов, ложных жалоб и судебных исков. При этом малый бизнес страдает сильнее всего — до 15% прибыли уходит на борьбу с потребительским экстремизмом.  </w:t>
      </w:r>
    </w:p>
    <w:p w14:paraId="78E78967" w14:textId="446677DD" w:rsidR="003E3B16" w:rsidRDefault="003E3B16" w:rsidP="003E3B16">
      <w:pPr>
        <w:spacing w:line="240" w:lineRule="auto"/>
        <w:ind w:left="709"/>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Таблица 1</w:t>
      </w:r>
    </w:p>
    <w:p w14:paraId="461523DC" w14:textId="7B7CAC36" w:rsidR="00693C7C" w:rsidRPr="009F64B5" w:rsidRDefault="00693C7C" w:rsidP="00CA0FBA">
      <w:pPr>
        <w:spacing w:line="240" w:lineRule="auto"/>
        <w:ind w:left="709"/>
        <w:jc w:val="center"/>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Статистические данные</w:t>
      </w:r>
    </w:p>
    <w:tbl>
      <w:tblPr>
        <w:tblW w:w="0" w:type="auto"/>
        <w:tblCellMar>
          <w:top w:w="15" w:type="dxa"/>
          <w:left w:w="15" w:type="dxa"/>
          <w:bottom w:w="15" w:type="dxa"/>
          <w:right w:w="15" w:type="dxa"/>
        </w:tblCellMar>
        <w:tblLook w:val="04A0" w:firstRow="1" w:lastRow="0" w:firstColumn="1" w:lastColumn="0" w:noHBand="0" w:noVBand="1"/>
      </w:tblPr>
      <w:tblGrid>
        <w:gridCol w:w="3790"/>
        <w:gridCol w:w="36"/>
        <w:gridCol w:w="1782"/>
        <w:gridCol w:w="1782"/>
        <w:gridCol w:w="1782"/>
        <w:gridCol w:w="418"/>
      </w:tblGrid>
      <w:tr w:rsidR="009F64B5" w:rsidRPr="009F64B5" w14:paraId="461523E2" w14:textId="77777777" w:rsidTr="009F64B5">
        <w:trPr>
          <w:tblHeader/>
        </w:trPr>
        <w:tc>
          <w:tcPr>
            <w:tcW w:w="0" w:type="auto"/>
            <w:tcBorders>
              <w:top w:val="single" w:sz="4" w:space="0" w:color="A3A3A3"/>
              <w:bottom w:val="single" w:sz="4" w:space="0" w:color="A3A3A3"/>
            </w:tcBorders>
            <w:tcMar>
              <w:top w:w="103" w:type="dxa"/>
              <w:left w:w="0" w:type="dxa"/>
              <w:bottom w:w="103" w:type="dxa"/>
              <w:right w:w="206" w:type="dxa"/>
            </w:tcMar>
            <w:vAlign w:val="center"/>
            <w:hideMark/>
          </w:tcPr>
          <w:p w14:paraId="461523DD"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Показатель</w:t>
            </w:r>
          </w:p>
        </w:tc>
        <w:tc>
          <w:tcPr>
            <w:tcW w:w="0" w:type="auto"/>
            <w:tcBorders>
              <w:top w:val="single" w:sz="4" w:space="0" w:color="A3A3A3"/>
              <w:bottom w:val="single" w:sz="4" w:space="0" w:color="A3A3A3"/>
            </w:tcBorders>
          </w:tcPr>
          <w:p w14:paraId="4272E082"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3DE" w14:textId="1866FFE0"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2022 год</w:t>
            </w: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3DF"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2023 год</w:t>
            </w: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3E0"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2024 год</w:t>
            </w: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3E1" w14:textId="46733FC5" w:rsidR="009F64B5" w:rsidRPr="009F64B5" w:rsidRDefault="009F64B5" w:rsidP="00776892">
            <w:pPr>
              <w:spacing w:line="240" w:lineRule="auto"/>
              <w:ind w:left="709"/>
              <w:jc w:val="both"/>
              <w:rPr>
                <w:rFonts w:ascii="Times New Roman" w:eastAsia="Times New Roman" w:hAnsi="Times New Roman" w:cs="Times New Roman"/>
                <w:b/>
                <w:bCs/>
                <w:sz w:val="18"/>
                <w:szCs w:val="18"/>
                <w:lang w:eastAsia="ru-RU"/>
              </w:rPr>
            </w:pPr>
          </w:p>
        </w:tc>
      </w:tr>
      <w:tr w:rsidR="009F64B5" w:rsidRPr="009F64B5" w14:paraId="461523E8" w14:textId="77777777" w:rsidTr="009F64B5">
        <w:tc>
          <w:tcPr>
            <w:tcW w:w="0" w:type="auto"/>
            <w:tcBorders>
              <w:bottom w:val="single" w:sz="4" w:space="0" w:color="A3A3A3"/>
            </w:tcBorders>
            <w:tcMar>
              <w:top w:w="103" w:type="dxa"/>
              <w:left w:w="0" w:type="dxa"/>
              <w:bottom w:w="103" w:type="dxa"/>
              <w:right w:w="206" w:type="dxa"/>
            </w:tcMar>
            <w:vAlign w:val="center"/>
            <w:hideMark/>
          </w:tcPr>
          <w:p w14:paraId="461523E3"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Общие потери бизнеса (млрд руб.)</w:t>
            </w:r>
          </w:p>
        </w:tc>
        <w:tc>
          <w:tcPr>
            <w:tcW w:w="0" w:type="auto"/>
            <w:tcBorders>
              <w:bottom w:val="single" w:sz="4" w:space="0" w:color="A3A3A3"/>
            </w:tcBorders>
          </w:tcPr>
          <w:p w14:paraId="6A19DB83"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bottom w:val="single" w:sz="4" w:space="0" w:color="A3A3A3"/>
            </w:tcBorders>
            <w:tcMar>
              <w:top w:w="103" w:type="dxa"/>
              <w:left w:w="206" w:type="dxa"/>
              <w:bottom w:w="103" w:type="dxa"/>
              <w:right w:w="206" w:type="dxa"/>
            </w:tcMar>
            <w:vAlign w:val="center"/>
            <w:hideMark/>
          </w:tcPr>
          <w:p w14:paraId="461523E4" w14:textId="75055EFC"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85</w:t>
            </w:r>
          </w:p>
        </w:tc>
        <w:tc>
          <w:tcPr>
            <w:tcW w:w="0" w:type="auto"/>
            <w:tcBorders>
              <w:bottom w:val="single" w:sz="4" w:space="0" w:color="A3A3A3"/>
            </w:tcBorders>
            <w:tcMar>
              <w:top w:w="103" w:type="dxa"/>
              <w:left w:w="206" w:type="dxa"/>
              <w:bottom w:w="103" w:type="dxa"/>
              <w:right w:w="206" w:type="dxa"/>
            </w:tcMar>
            <w:vAlign w:val="center"/>
            <w:hideMark/>
          </w:tcPr>
          <w:p w14:paraId="461523E5"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102</w:t>
            </w:r>
          </w:p>
        </w:tc>
        <w:tc>
          <w:tcPr>
            <w:tcW w:w="0" w:type="auto"/>
            <w:tcBorders>
              <w:bottom w:val="single" w:sz="4" w:space="0" w:color="A3A3A3"/>
            </w:tcBorders>
            <w:tcMar>
              <w:top w:w="103" w:type="dxa"/>
              <w:left w:w="206" w:type="dxa"/>
              <w:bottom w:w="103" w:type="dxa"/>
              <w:right w:w="206" w:type="dxa"/>
            </w:tcMar>
            <w:vAlign w:val="center"/>
            <w:hideMark/>
          </w:tcPr>
          <w:p w14:paraId="461523E6"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120</w:t>
            </w:r>
          </w:p>
        </w:tc>
        <w:tc>
          <w:tcPr>
            <w:tcW w:w="0" w:type="auto"/>
            <w:tcBorders>
              <w:bottom w:val="single" w:sz="4" w:space="0" w:color="A3A3A3"/>
            </w:tcBorders>
            <w:tcMar>
              <w:top w:w="103" w:type="dxa"/>
              <w:left w:w="206" w:type="dxa"/>
              <w:bottom w:w="103" w:type="dxa"/>
              <w:right w:w="206" w:type="dxa"/>
            </w:tcMar>
            <w:vAlign w:val="center"/>
            <w:hideMark/>
          </w:tcPr>
          <w:p w14:paraId="461523E7" w14:textId="43C122C5"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r>
      <w:tr w:rsidR="009F64B5" w:rsidRPr="009F64B5" w14:paraId="461523EE" w14:textId="77777777" w:rsidTr="009F64B5">
        <w:tc>
          <w:tcPr>
            <w:tcW w:w="0" w:type="auto"/>
            <w:tcBorders>
              <w:bottom w:val="single" w:sz="4" w:space="0" w:color="A3A3A3"/>
            </w:tcBorders>
            <w:tcMar>
              <w:top w:w="103" w:type="dxa"/>
              <w:left w:w="0" w:type="dxa"/>
              <w:bottom w:w="103" w:type="dxa"/>
              <w:right w:w="206" w:type="dxa"/>
            </w:tcMar>
            <w:vAlign w:val="center"/>
            <w:hideMark/>
          </w:tcPr>
          <w:p w14:paraId="461523E9"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Количество судебных исков</w:t>
            </w:r>
          </w:p>
        </w:tc>
        <w:tc>
          <w:tcPr>
            <w:tcW w:w="0" w:type="auto"/>
            <w:tcBorders>
              <w:bottom w:val="single" w:sz="4" w:space="0" w:color="A3A3A3"/>
            </w:tcBorders>
          </w:tcPr>
          <w:p w14:paraId="5C74DC8A"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bottom w:val="single" w:sz="4" w:space="0" w:color="A3A3A3"/>
            </w:tcBorders>
            <w:tcMar>
              <w:top w:w="103" w:type="dxa"/>
              <w:left w:w="206" w:type="dxa"/>
              <w:bottom w:w="103" w:type="dxa"/>
              <w:right w:w="206" w:type="dxa"/>
            </w:tcMar>
            <w:vAlign w:val="center"/>
            <w:hideMark/>
          </w:tcPr>
          <w:p w14:paraId="461523EA" w14:textId="4C2FAFB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48 200</w:t>
            </w:r>
          </w:p>
        </w:tc>
        <w:tc>
          <w:tcPr>
            <w:tcW w:w="0" w:type="auto"/>
            <w:tcBorders>
              <w:bottom w:val="single" w:sz="4" w:space="0" w:color="A3A3A3"/>
            </w:tcBorders>
            <w:tcMar>
              <w:top w:w="103" w:type="dxa"/>
              <w:left w:w="206" w:type="dxa"/>
              <w:bottom w:w="103" w:type="dxa"/>
              <w:right w:w="206" w:type="dxa"/>
            </w:tcMar>
            <w:vAlign w:val="center"/>
            <w:hideMark/>
          </w:tcPr>
          <w:p w14:paraId="461523EB"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57 500</w:t>
            </w:r>
          </w:p>
        </w:tc>
        <w:tc>
          <w:tcPr>
            <w:tcW w:w="0" w:type="auto"/>
            <w:tcBorders>
              <w:bottom w:val="single" w:sz="4" w:space="0" w:color="A3A3A3"/>
            </w:tcBorders>
            <w:tcMar>
              <w:top w:w="103" w:type="dxa"/>
              <w:left w:w="206" w:type="dxa"/>
              <w:bottom w:w="103" w:type="dxa"/>
              <w:right w:w="206" w:type="dxa"/>
            </w:tcMar>
            <w:vAlign w:val="center"/>
            <w:hideMark/>
          </w:tcPr>
          <w:p w14:paraId="461523EC"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68 900</w:t>
            </w:r>
          </w:p>
        </w:tc>
        <w:tc>
          <w:tcPr>
            <w:tcW w:w="0" w:type="auto"/>
            <w:tcBorders>
              <w:bottom w:val="single" w:sz="4" w:space="0" w:color="A3A3A3"/>
            </w:tcBorders>
            <w:tcMar>
              <w:top w:w="103" w:type="dxa"/>
              <w:left w:w="206" w:type="dxa"/>
              <w:bottom w:w="103" w:type="dxa"/>
              <w:right w:w="206" w:type="dxa"/>
            </w:tcMar>
            <w:vAlign w:val="center"/>
            <w:hideMark/>
          </w:tcPr>
          <w:p w14:paraId="461523ED" w14:textId="454B22D3"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r>
      <w:tr w:rsidR="009F64B5" w:rsidRPr="009F64B5" w14:paraId="461523F4" w14:textId="77777777" w:rsidTr="009F64B5">
        <w:tc>
          <w:tcPr>
            <w:tcW w:w="0" w:type="auto"/>
            <w:tcBorders>
              <w:bottom w:val="single" w:sz="4" w:space="0" w:color="A3A3A3"/>
            </w:tcBorders>
            <w:tcMar>
              <w:top w:w="103" w:type="dxa"/>
              <w:left w:w="0" w:type="dxa"/>
              <w:bottom w:w="103" w:type="dxa"/>
              <w:right w:w="206" w:type="dxa"/>
            </w:tcMar>
            <w:vAlign w:val="center"/>
            <w:hideMark/>
          </w:tcPr>
          <w:p w14:paraId="461523EF"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Доля малого бизнеса в потерях</w:t>
            </w:r>
          </w:p>
        </w:tc>
        <w:tc>
          <w:tcPr>
            <w:tcW w:w="0" w:type="auto"/>
            <w:tcBorders>
              <w:bottom w:val="single" w:sz="4" w:space="0" w:color="A3A3A3"/>
            </w:tcBorders>
          </w:tcPr>
          <w:p w14:paraId="3F6DE596"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bottom w:val="single" w:sz="4" w:space="0" w:color="A3A3A3"/>
            </w:tcBorders>
            <w:tcMar>
              <w:top w:w="103" w:type="dxa"/>
              <w:left w:w="206" w:type="dxa"/>
              <w:bottom w:w="103" w:type="dxa"/>
              <w:right w:w="206" w:type="dxa"/>
            </w:tcMar>
            <w:vAlign w:val="center"/>
            <w:hideMark/>
          </w:tcPr>
          <w:p w14:paraId="461523F0" w14:textId="72A502EB"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12%</w:t>
            </w:r>
          </w:p>
        </w:tc>
        <w:tc>
          <w:tcPr>
            <w:tcW w:w="0" w:type="auto"/>
            <w:tcBorders>
              <w:bottom w:val="single" w:sz="4" w:space="0" w:color="A3A3A3"/>
            </w:tcBorders>
            <w:tcMar>
              <w:top w:w="103" w:type="dxa"/>
              <w:left w:w="206" w:type="dxa"/>
              <w:bottom w:w="103" w:type="dxa"/>
              <w:right w:w="206" w:type="dxa"/>
            </w:tcMar>
            <w:vAlign w:val="center"/>
            <w:hideMark/>
          </w:tcPr>
          <w:p w14:paraId="461523F1"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14%</w:t>
            </w:r>
          </w:p>
        </w:tc>
        <w:tc>
          <w:tcPr>
            <w:tcW w:w="0" w:type="auto"/>
            <w:tcBorders>
              <w:bottom w:val="single" w:sz="4" w:space="0" w:color="A3A3A3"/>
            </w:tcBorders>
            <w:tcMar>
              <w:top w:w="103" w:type="dxa"/>
              <w:left w:w="206" w:type="dxa"/>
              <w:bottom w:w="103" w:type="dxa"/>
              <w:right w:w="206" w:type="dxa"/>
            </w:tcMar>
            <w:vAlign w:val="center"/>
            <w:hideMark/>
          </w:tcPr>
          <w:p w14:paraId="461523F2"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15%</w:t>
            </w:r>
          </w:p>
        </w:tc>
        <w:tc>
          <w:tcPr>
            <w:tcW w:w="0" w:type="auto"/>
            <w:tcBorders>
              <w:bottom w:val="single" w:sz="4" w:space="0" w:color="A3A3A3"/>
            </w:tcBorders>
            <w:tcMar>
              <w:top w:w="103" w:type="dxa"/>
              <w:left w:w="206" w:type="dxa"/>
              <w:bottom w:w="103" w:type="dxa"/>
              <w:right w:w="206" w:type="dxa"/>
            </w:tcMar>
            <w:vAlign w:val="center"/>
            <w:hideMark/>
          </w:tcPr>
          <w:p w14:paraId="461523F3" w14:textId="15596D4E"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r>
      <w:tr w:rsidR="009F64B5" w:rsidRPr="009F64B5" w14:paraId="461523FA" w14:textId="77777777" w:rsidTr="009F64B5">
        <w:tc>
          <w:tcPr>
            <w:tcW w:w="0" w:type="auto"/>
            <w:tcBorders>
              <w:bottom w:val="single" w:sz="4" w:space="0" w:color="A3A3A3"/>
            </w:tcBorders>
            <w:tcMar>
              <w:top w:w="103" w:type="dxa"/>
              <w:left w:w="0" w:type="dxa"/>
              <w:bottom w:w="103" w:type="dxa"/>
              <w:right w:w="206" w:type="dxa"/>
            </w:tcMar>
            <w:vAlign w:val="center"/>
            <w:hideMark/>
          </w:tcPr>
          <w:p w14:paraId="461523F5"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Возвраты электроники (%)</w:t>
            </w:r>
          </w:p>
        </w:tc>
        <w:tc>
          <w:tcPr>
            <w:tcW w:w="0" w:type="auto"/>
            <w:tcBorders>
              <w:bottom w:val="single" w:sz="4" w:space="0" w:color="A3A3A3"/>
            </w:tcBorders>
          </w:tcPr>
          <w:p w14:paraId="47F421B0"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bottom w:val="single" w:sz="4" w:space="0" w:color="A3A3A3"/>
            </w:tcBorders>
            <w:tcMar>
              <w:top w:w="103" w:type="dxa"/>
              <w:left w:w="206" w:type="dxa"/>
              <w:bottom w:w="103" w:type="dxa"/>
              <w:right w:w="206" w:type="dxa"/>
            </w:tcMar>
            <w:vAlign w:val="center"/>
            <w:hideMark/>
          </w:tcPr>
          <w:p w14:paraId="461523F6" w14:textId="56CB1511"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5,2%</w:t>
            </w:r>
          </w:p>
        </w:tc>
        <w:tc>
          <w:tcPr>
            <w:tcW w:w="0" w:type="auto"/>
            <w:tcBorders>
              <w:bottom w:val="single" w:sz="4" w:space="0" w:color="A3A3A3"/>
            </w:tcBorders>
            <w:tcMar>
              <w:top w:w="103" w:type="dxa"/>
              <w:left w:w="206" w:type="dxa"/>
              <w:bottom w:w="103" w:type="dxa"/>
              <w:right w:w="206" w:type="dxa"/>
            </w:tcMar>
            <w:vAlign w:val="center"/>
            <w:hideMark/>
          </w:tcPr>
          <w:p w14:paraId="461523F7"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6,8%</w:t>
            </w:r>
          </w:p>
        </w:tc>
        <w:tc>
          <w:tcPr>
            <w:tcW w:w="0" w:type="auto"/>
            <w:tcBorders>
              <w:bottom w:val="single" w:sz="4" w:space="0" w:color="A3A3A3"/>
            </w:tcBorders>
            <w:tcMar>
              <w:top w:w="103" w:type="dxa"/>
              <w:left w:w="206" w:type="dxa"/>
              <w:bottom w:w="103" w:type="dxa"/>
              <w:right w:w="206" w:type="dxa"/>
            </w:tcMar>
            <w:vAlign w:val="center"/>
            <w:hideMark/>
          </w:tcPr>
          <w:p w14:paraId="461523F8"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8,1%</w:t>
            </w:r>
          </w:p>
        </w:tc>
        <w:tc>
          <w:tcPr>
            <w:tcW w:w="0" w:type="auto"/>
            <w:tcBorders>
              <w:bottom w:val="single" w:sz="4" w:space="0" w:color="A3A3A3"/>
            </w:tcBorders>
            <w:tcMar>
              <w:top w:w="103" w:type="dxa"/>
              <w:left w:w="206" w:type="dxa"/>
              <w:bottom w:w="103" w:type="dxa"/>
              <w:right w:w="206" w:type="dxa"/>
            </w:tcMar>
            <w:vAlign w:val="center"/>
            <w:hideMark/>
          </w:tcPr>
          <w:p w14:paraId="461523F9" w14:textId="1769E0B8"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r>
      <w:tr w:rsidR="009F64B5" w:rsidRPr="009F64B5" w14:paraId="46152400" w14:textId="77777777" w:rsidTr="009F64B5">
        <w:tc>
          <w:tcPr>
            <w:tcW w:w="0" w:type="auto"/>
            <w:tcBorders>
              <w:bottom w:val="single" w:sz="4" w:space="0" w:color="A3A3A3"/>
            </w:tcBorders>
            <w:tcMar>
              <w:top w:w="103" w:type="dxa"/>
              <w:left w:w="0" w:type="dxa"/>
              <w:bottom w:w="103" w:type="dxa"/>
              <w:right w:w="206" w:type="dxa"/>
            </w:tcMar>
            <w:vAlign w:val="center"/>
            <w:hideMark/>
          </w:tcPr>
          <w:p w14:paraId="461523FB"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Возвраты одежды/обуви (%)</w:t>
            </w:r>
          </w:p>
        </w:tc>
        <w:tc>
          <w:tcPr>
            <w:tcW w:w="0" w:type="auto"/>
            <w:tcBorders>
              <w:bottom w:val="single" w:sz="4" w:space="0" w:color="A3A3A3"/>
            </w:tcBorders>
          </w:tcPr>
          <w:p w14:paraId="078F0433"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bottom w:val="single" w:sz="4" w:space="0" w:color="A3A3A3"/>
            </w:tcBorders>
            <w:tcMar>
              <w:top w:w="103" w:type="dxa"/>
              <w:left w:w="206" w:type="dxa"/>
              <w:bottom w:w="103" w:type="dxa"/>
              <w:right w:w="206" w:type="dxa"/>
            </w:tcMar>
            <w:vAlign w:val="center"/>
            <w:hideMark/>
          </w:tcPr>
          <w:p w14:paraId="461523FC" w14:textId="71D806EF"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7,1%</w:t>
            </w:r>
          </w:p>
        </w:tc>
        <w:tc>
          <w:tcPr>
            <w:tcW w:w="0" w:type="auto"/>
            <w:tcBorders>
              <w:bottom w:val="single" w:sz="4" w:space="0" w:color="A3A3A3"/>
            </w:tcBorders>
            <w:tcMar>
              <w:top w:w="103" w:type="dxa"/>
              <w:left w:w="206" w:type="dxa"/>
              <w:bottom w:w="103" w:type="dxa"/>
              <w:right w:w="206" w:type="dxa"/>
            </w:tcMar>
            <w:vAlign w:val="center"/>
            <w:hideMark/>
          </w:tcPr>
          <w:p w14:paraId="461523FD"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8,9%</w:t>
            </w:r>
          </w:p>
        </w:tc>
        <w:tc>
          <w:tcPr>
            <w:tcW w:w="0" w:type="auto"/>
            <w:tcBorders>
              <w:bottom w:val="single" w:sz="4" w:space="0" w:color="A3A3A3"/>
            </w:tcBorders>
            <w:tcMar>
              <w:top w:w="103" w:type="dxa"/>
              <w:left w:w="206" w:type="dxa"/>
              <w:bottom w:w="103" w:type="dxa"/>
              <w:right w:w="206" w:type="dxa"/>
            </w:tcMar>
            <w:vAlign w:val="center"/>
            <w:hideMark/>
          </w:tcPr>
          <w:p w14:paraId="461523FE"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10,5%</w:t>
            </w:r>
          </w:p>
        </w:tc>
        <w:tc>
          <w:tcPr>
            <w:tcW w:w="0" w:type="auto"/>
            <w:tcBorders>
              <w:bottom w:val="single" w:sz="4" w:space="0" w:color="A3A3A3"/>
            </w:tcBorders>
            <w:tcMar>
              <w:top w:w="103" w:type="dxa"/>
              <w:left w:w="206" w:type="dxa"/>
              <w:bottom w:w="103" w:type="dxa"/>
              <w:right w:w="206" w:type="dxa"/>
            </w:tcMar>
            <w:vAlign w:val="center"/>
            <w:hideMark/>
          </w:tcPr>
          <w:p w14:paraId="461523FF" w14:textId="444627C2"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r>
      <w:tr w:rsidR="009F64B5" w:rsidRPr="009F64B5" w14:paraId="46152406" w14:textId="77777777" w:rsidTr="009F64B5">
        <w:tc>
          <w:tcPr>
            <w:tcW w:w="0" w:type="auto"/>
            <w:tcBorders>
              <w:bottom w:val="single" w:sz="4" w:space="0" w:color="A3A3A3"/>
            </w:tcBorders>
            <w:tcMar>
              <w:top w:w="103" w:type="dxa"/>
              <w:left w:w="0" w:type="dxa"/>
              <w:bottom w:w="103" w:type="dxa"/>
              <w:right w:w="206" w:type="dxa"/>
            </w:tcMar>
            <w:vAlign w:val="center"/>
            <w:hideMark/>
          </w:tcPr>
          <w:p w14:paraId="46152401"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Фальшивые претензии (тыс. случаев)</w:t>
            </w:r>
          </w:p>
        </w:tc>
        <w:tc>
          <w:tcPr>
            <w:tcW w:w="0" w:type="auto"/>
            <w:tcBorders>
              <w:bottom w:val="single" w:sz="4" w:space="0" w:color="A3A3A3"/>
            </w:tcBorders>
          </w:tcPr>
          <w:p w14:paraId="2A6860F3"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c>
          <w:tcPr>
            <w:tcW w:w="0" w:type="auto"/>
            <w:tcBorders>
              <w:bottom w:val="single" w:sz="4" w:space="0" w:color="A3A3A3"/>
            </w:tcBorders>
            <w:tcMar>
              <w:top w:w="103" w:type="dxa"/>
              <w:left w:w="206" w:type="dxa"/>
              <w:bottom w:w="103" w:type="dxa"/>
              <w:right w:w="206" w:type="dxa"/>
            </w:tcMar>
            <w:vAlign w:val="center"/>
            <w:hideMark/>
          </w:tcPr>
          <w:p w14:paraId="46152402" w14:textId="1D8C4CBB"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23,4</w:t>
            </w:r>
          </w:p>
        </w:tc>
        <w:tc>
          <w:tcPr>
            <w:tcW w:w="0" w:type="auto"/>
            <w:tcBorders>
              <w:bottom w:val="single" w:sz="4" w:space="0" w:color="A3A3A3"/>
            </w:tcBorders>
            <w:tcMar>
              <w:top w:w="103" w:type="dxa"/>
              <w:left w:w="206" w:type="dxa"/>
              <w:bottom w:w="103" w:type="dxa"/>
              <w:right w:w="206" w:type="dxa"/>
            </w:tcMar>
            <w:vAlign w:val="center"/>
            <w:hideMark/>
          </w:tcPr>
          <w:p w14:paraId="46152403"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31,2</w:t>
            </w:r>
          </w:p>
        </w:tc>
        <w:tc>
          <w:tcPr>
            <w:tcW w:w="0" w:type="auto"/>
            <w:tcBorders>
              <w:bottom w:val="single" w:sz="4" w:space="0" w:color="A3A3A3"/>
            </w:tcBorders>
            <w:tcMar>
              <w:top w:w="103" w:type="dxa"/>
              <w:left w:w="206" w:type="dxa"/>
              <w:bottom w:w="103" w:type="dxa"/>
              <w:right w:w="206" w:type="dxa"/>
            </w:tcMar>
            <w:vAlign w:val="center"/>
            <w:hideMark/>
          </w:tcPr>
          <w:p w14:paraId="46152404" w14:textId="77777777"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39,8</w:t>
            </w:r>
          </w:p>
        </w:tc>
        <w:tc>
          <w:tcPr>
            <w:tcW w:w="0" w:type="auto"/>
            <w:tcBorders>
              <w:bottom w:val="single" w:sz="4" w:space="0" w:color="A3A3A3"/>
            </w:tcBorders>
            <w:tcMar>
              <w:top w:w="103" w:type="dxa"/>
              <w:left w:w="206" w:type="dxa"/>
              <w:bottom w:w="103" w:type="dxa"/>
              <w:right w:w="206" w:type="dxa"/>
            </w:tcMar>
            <w:vAlign w:val="center"/>
            <w:hideMark/>
          </w:tcPr>
          <w:p w14:paraId="46152405" w14:textId="4EE83B45" w:rsidR="009F64B5" w:rsidRPr="009F64B5" w:rsidRDefault="009F64B5" w:rsidP="00776892">
            <w:pPr>
              <w:spacing w:line="240" w:lineRule="auto"/>
              <w:ind w:left="709"/>
              <w:jc w:val="both"/>
              <w:rPr>
                <w:rFonts w:ascii="Times New Roman" w:eastAsia="Times New Roman" w:hAnsi="Times New Roman" w:cs="Times New Roman"/>
                <w:sz w:val="18"/>
                <w:szCs w:val="18"/>
                <w:lang w:eastAsia="ru-RU"/>
              </w:rPr>
            </w:pPr>
          </w:p>
        </w:tc>
      </w:tr>
    </w:tbl>
    <w:p w14:paraId="54562131" w14:textId="4D6B2435" w:rsidR="00530516" w:rsidRPr="00530516" w:rsidRDefault="00530516" w:rsidP="00973812">
      <w:pPr>
        <w:spacing w:line="240" w:lineRule="auto"/>
        <w:jc w:val="both"/>
        <w:rPr>
          <w:rFonts w:ascii="Times New Roman" w:eastAsia="Times New Roman" w:hAnsi="Times New Roman" w:cs="Times New Roman"/>
          <w:sz w:val="24"/>
          <w:szCs w:val="24"/>
          <w:lang w:eastAsia="ru-RU"/>
        </w:rPr>
      </w:pPr>
    </w:p>
    <w:p w14:paraId="663E610D" w14:textId="7C99439A" w:rsidR="00E4456E" w:rsidRPr="007449F9" w:rsidRDefault="00E4456E"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lastRenderedPageBreak/>
        <w:t>За последние три года проблема потребительского экстремизма в России приобрела угрожающие масштабы, нанося существенный урон экономике. Согласно данным Ассоциации компаний розничной торговли (АКРТ), совокупные потери бизнеса от недобросовестных возвратов, ложных жалоб и судебных исков демонстрируют устойчивый рост: с 85 млрд рублей в 2022 году до 102 млрд в 2023 и 120 млрд рублей по итогам 2024 года. Особенно тревожной выглядит ситуация в сегменте малого бизнеса, где доля потерь увеличилась с 12% до 15% от общей прибыли</w:t>
      </w:r>
      <w:r w:rsidR="003566FF">
        <w:rPr>
          <w:rFonts w:ascii="Times New Roman" w:eastAsia="Times New Roman" w:hAnsi="Times New Roman" w:cs="Times New Roman"/>
          <w:sz w:val="24"/>
          <w:szCs w:val="24"/>
          <w:lang w:eastAsia="ru-RU"/>
        </w:rPr>
        <w:t xml:space="preserve"> </w:t>
      </w:r>
      <w:bookmarkStart w:id="0" w:name="_Hlk198241464"/>
      <w:r w:rsidR="003566FF">
        <w:rPr>
          <w:rFonts w:ascii="Times New Roman" w:eastAsia="Times New Roman" w:hAnsi="Times New Roman" w:cs="Times New Roman"/>
          <w:sz w:val="24"/>
          <w:szCs w:val="24"/>
          <w:lang w:eastAsia="ru-RU"/>
        </w:rPr>
        <w:t>(табл.1).</w:t>
      </w:r>
      <w:bookmarkEnd w:id="0"/>
    </w:p>
    <w:p w14:paraId="021E1DF2" w14:textId="2940FB0B" w:rsidR="00E4456E" w:rsidRPr="007449F9" w:rsidRDefault="00E4456E"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Количество судебных разбирательств, связанных со злоупотреблением потребительскими правами, выросло в 1,4 раза — с 48 200 случаев в 2022 году до 68 900 в 2024</w:t>
      </w:r>
      <w:r w:rsidR="00B21030">
        <w:rPr>
          <w:rFonts w:ascii="Times New Roman" w:eastAsia="Times New Roman" w:hAnsi="Times New Roman" w:cs="Times New Roman"/>
          <w:sz w:val="24"/>
          <w:szCs w:val="24"/>
          <w:lang w:eastAsia="ru-RU"/>
        </w:rPr>
        <w:t xml:space="preserve"> (табл.1). </w:t>
      </w:r>
      <w:r w:rsidRPr="007449F9">
        <w:rPr>
          <w:rFonts w:ascii="Times New Roman" w:eastAsia="Times New Roman" w:hAnsi="Times New Roman" w:cs="Times New Roman"/>
          <w:sz w:val="24"/>
          <w:szCs w:val="24"/>
          <w:lang w:eastAsia="ru-RU"/>
        </w:rPr>
        <w:t xml:space="preserve">Анализ отраслевой статистики выявляет несколько ключевых тенденций: </w:t>
      </w:r>
    </w:p>
    <w:p w14:paraId="586F87CE" w14:textId="1A0581E7" w:rsidR="00E4456E" w:rsidRPr="007449F9" w:rsidRDefault="00E4456E"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В розничной торговле потери увеличились с 42 млрд рублей в 2022 году до 60 млрд в 2024. Наибольший удар пришелся на категории электроники (рост возвратов с 5,2% до 8,1%) и премиальной одежды (с 7,1% до 10,5%). При этом средний чек возвращенных товаров вырос на 25%, что свидетельствует о целенаправленном злоупотреблении в дорогих сегментах</w:t>
      </w:r>
      <w:r w:rsidR="00B21030" w:rsidRPr="00B21030">
        <w:rPr>
          <w:rFonts w:ascii="Times New Roman" w:eastAsia="Times New Roman" w:hAnsi="Times New Roman" w:cs="Times New Roman"/>
          <w:sz w:val="24"/>
          <w:szCs w:val="24"/>
          <w:lang w:eastAsia="ru-RU"/>
        </w:rPr>
        <w:t xml:space="preserve"> </w:t>
      </w:r>
      <w:r w:rsidR="00B21030">
        <w:rPr>
          <w:rFonts w:ascii="Times New Roman" w:eastAsia="Times New Roman" w:hAnsi="Times New Roman" w:cs="Times New Roman"/>
          <w:sz w:val="24"/>
          <w:szCs w:val="24"/>
          <w:lang w:eastAsia="ru-RU"/>
        </w:rPr>
        <w:t>(табл.1).</w:t>
      </w:r>
    </w:p>
    <w:p w14:paraId="49B9E133" w14:textId="6EBED398" w:rsidR="00E4456E" w:rsidRPr="007449F9" w:rsidRDefault="00E4456E"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Сфера отелей и ресторанов столкнулась со 140-процентным ростом фиктивных жалоб за три года. К 2024 году каждый четвертый ресторан и отель (25%) вынужден был ввести систему черных списков для защиты от недобросовестных клиентов</w:t>
      </w:r>
      <w:r w:rsidR="00B21030">
        <w:rPr>
          <w:rFonts w:ascii="Times New Roman" w:eastAsia="Times New Roman" w:hAnsi="Times New Roman" w:cs="Times New Roman"/>
          <w:sz w:val="24"/>
          <w:szCs w:val="24"/>
          <w:lang w:eastAsia="ru-RU"/>
        </w:rPr>
        <w:t xml:space="preserve"> (табл.1).</w:t>
      </w:r>
    </w:p>
    <w:p w14:paraId="2471BDDD" w14:textId="0CC10C75" w:rsidR="00E4456E" w:rsidRPr="007449F9" w:rsidRDefault="00E4456E"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Особого внимания заслуживает кризис в онлайн-торговле: каждый пятый возврат (20%) признается необоснованным, что привело к 30-процентному увеличению логистических издержек. Количество фальшивых претензий в этом сегменте выросло с 23,4 до 39,8 тысяч случаев</w:t>
      </w:r>
      <w:r w:rsidR="00B21030">
        <w:rPr>
          <w:rFonts w:ascii="Times New Roman" w:eastAsia="Times New Roman" w:hAnsi="Times New Roman" w:cs="Times New Roman"/>
          <w:sz w:val="24"/>
          <w:szCs w:val="24"/>
          <w:lang w:eastAsia="ru-RU"/>
        </w:rPr>
        <w:t xml:space="preserve"> (табл.1).</w:t>
      </w:r>
    </w:p>
    <w:p w14:paraId="071A6547" w14:textId="77777777"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Из данного исследования, можно выделить самые проблемные категории товаров:</w:t>
      </w:r>
    </w:p>
    <w:p w14:paraId="1AAC0845" w14:textId="77777777"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Смартфоны и гаджеты (23% спорных возвратов). Эта категория лидирует по количеству недобросовестных возвратов по причине того, что, мошенники часто покупают технику, используют ее некоторое время, а затем возвращают под предлогом "не понравился" или "не подошел". (вернул айфон, потому что сири мне хамит), но особенностью гаджетов является то, что после возврата товара трудно доказать, что устройство уже было в эксплуатации, особенно если нет явных повреждений.</w:t>
      </w:r>
    </w:p>
    <w:p w14:paraId="54C610BD" w14:textId="77777777"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Дизайнерская одежда (18%). Думаю, всем известно, что многие люди могут купить дорогую, брендовую вещь для важного мероприятия, а затем вернуть ее под предлогом «не подошла» или «не соответствует описанию». Более того, после носки одежду можно аккуратно почистить или отпарить, чтобы она выглядела как новая.</w:t>
      </w:r>
    </w:p>
    <w:p w14:paraId="4D7CFC0D" w14:textId="77777777"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Бытовая техника (15%). Все объясняется Длительным сроком использования перед возвратом, покупатели могут эксплуатировать технику несколько месяцев, пока гарантийный срок не подойдет к концу, а затем требовать возврата денег, ссылаясь на "скрытые дефекты", но более распространенные объяснения возврата, чаще всего носят субъективный характер, например, "стиральная машина слишком шумит" или "холодильник недостаточно морозит</w:t>
      </w:r>
    </w:p>
    <w:p w14:paraId="4EDE4CF2" w14:textId="77777777"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Яркий пример потребительского экстремизма в России стал "Елочный бум" 2025 года</w:t>
      </w:r>
    </w:p>
    <w:p w14:paraId="501A2611" w14:textId="2BE6C4A7" w:rsidR="000E7BE1" w:rsidRPr="007449F9" w:rsidRDefault="00F2348E"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Особенно ярко проблема проявилась в сегменте сезонных товаров. В конце 2024 года в Казани был зафиксирован резкий рост возвратов новогодних ёлок, купленных через маркетплейсы. Покупатели использовали лазейки в законодательстве, возвращая деревья под надуманными предлогами, такими как</w:t>
      </w:r>
      <w:r w:rsidR="00E110AC" w:rsidRPr="007449F9">
        <w:rPr>
          <w:rFonts w:ascii="Times New Roman" w:eastAsia="Times New Roman" w:hAnsi="Times New Roman" w:cs="Times New Roman"/>
          <w:sz w:val="24"/>
          <w:szCs w:val="24"/>
          <w:lang w:eastAsia="ru-RU"/>
        </w:rPr>
        <w:t>:</w:t>
      </w:r>
      <w:r w:rsidRPr="007449F9">
        <w:rPr>
          <w:rFonts w:ascii="Times New Roman" w:eastAsia="Times New Roman" w:hAnsi="Times New Roman" w:cs="Times New Roman"/>
          <w:sz w:val="24"/>
          <w:szCs w:val="24"/>
          <w:lang w:eastAsia="ru-RU"/>
        </w:rPr>
        <w:t xml:space="preserve"> </w:t>
      </w:r>
      <w:r w:rsidR="000E7BE1" w:rsidRPr="007449F9">
        <w:rPr>
          <w:rFonts w:ascii="Times New Roman" w:eastAsia="Times New Roman" w:hAnsi="Times New Roman" w:cs="Times New Roman"/>
          <w:sz w:val="24"/>
          <w:szCs w:val="24"/>
          <w:lang w:eastAsia="ru-RU"/>
        </w:rPr>
        <w:t>"Не понравился запах" (35%)</w:t>
      </w:r>
      <w:r w:rsidR="00974BB2" w:rsidRPr="007449F9">
        <w:rPr>
          <w:rFonts w:ascii="Times New Roman" w:eastAsia="Times New Roman" w:hAnsi="Times New Roman" w:cs="Times New Roman"/>
          <w:sz w:val="24"/>
          <w:szCs w:val="24"/>
          <w:lang w:eastAsia="ru-RU"/>
        </w:rPr>
        <w:t xml:space="preserve">; </w:t>
      </w:r>
      <w:r w:rsidR="000E7BE1" w:rsidRPr="007449F9">
        <w:rPr>
          <w:rFonts w:ascii="Times New Roman" w:eastAsia="Times New Roman" w:hAnsi="Times New Roman" w:cs="Times New Roman"/>
          <w:sz w:val="24"/>
          <w:szCs w:val="24"/>
          <w:lang w:eastAsia="ru-RU"/>
        </w:rPr>
        <w:t>"Иголки осыпаются" (25%)</w:t>
      </w:r>
      <w:r w:rsidR="00974BB2" w:rsidRPr="007449F9">
        <w:rPr>
          <w:rFonts w:ascii="Times New Roman" w:eastAsia="Times New Roman" w:hAnsi="Times New Roman" w:cs="Times New Roman"/>
          <w:sz w:val="24"/>
          <w:szCs w:val="24"/>
          <w:lang w:eastAsia="ru-RU"/>
        </w:rPr>
        <w:t xml:space="preserve">; </w:t>
      </w:r>
      <w:r w:rsidR="000E7BE1" w:rsidRPr="007449F9">
        <w:rPr>
          <w:rFonts w:ascii="Times New Roman" w:eastAsia="Times New Roman" w:hAnsi="Times New Roman" w:cs="Times New Roman"/>
          <w:sz w:val="24"/>
          <w:szCs w:val="24"/>
          <w:lang w:eastAsia="ru-RU"/>
        </w:rPr>
        <w:t>"Не подошёл размер" (20%).</w:t>
      </w:r>
    </w:p>
    <w:p w14:paraId="16332FD2" w14:textId="77777777"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lastRenderedPageBreak/>
        <w:t>Этот феномен привел к неприятным для покупателей последствиям, во-первых, что очень огорчает, цены на ёлки выросли на 15–20%, при этом некоторые магазины полностью отказались от онлайн-продажи ёлок, а это значительно повлияет на комфорт покупки елок, особенно в предновогоднюю суету. Крупные сети, имеющие определенное влияние и авторитет, ввели невозвратные депозиты (до 50% стоимости), а специалисты по продажам придумали маркировать товары QR-кодами для отслеживания подмен.</w:t>
      </w:r>
    </w:p>
    <w:p w14:paraId="44BE565E" w14:textId="22B2EB91" w:rsidR="000E7BE1" w:rsidRPr="007449F9"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"Елочный бум" действительно стал ярким индикатором проблемы. Возвраты новогодних ёлок достигли рекордных 12,4% против 2,1% в 2023</w:t>
      </w:r>
      <w:r w:rsidR="00083DD0">
        <w:rPr>
          <w:rFonts w:ascii="Times New Roman" w:eastAsia="Times New Roman" w:hAnsi="Times New Roman" w:cs="Times New Roman"/>
          <w:sz w:val="24"/>
          <w:szCs w:val="24"/>
          <w:lang w:eastAsia="ru-RU"/>
        </w:rPr>
        <w:t xml:space="preserve"> </w:t>
      </w:r>
      <w:bookmarkStart w:id="1" w:name="_Hlk198241651"/>
      <w:r w:rsidR="00083DD0">
        <w:rPr>
          <w:rFonts w:ascii="Times New Roman" w:eastAsia="Times New Roman" w:hAnsi="Times New Roman" w:cs="Times New Roman"/>
          <w:sz w:val="24"/>
          <w:szCs w:val="24"/>
          <w:lang w:eastAsia="ru-RU"/>
        </w:rPr>
        <w:t>(табл.2)</w:t>
      </w:r>
      <w:r w:rsidRPr="007449F9">
        <w:rPr>
          <w:rFonts w:ascii="Times New Roman" w:eastAsia="Times New Roman" w:hAnsi="Times New Roman" w:cs="Times New Roman"/>
          <w:sz w:val="24"/>
          <w:szCs w:val="24"/>
          <w:lang w:eastAsia="ru-RU"/>
        </w:rPr>
        <w:t xml:space="preserve">. </w:t>
      </w:r>
      <w:bookmarkEnd w:id="1"/>
      <w:r w:rsidRPr="007449F9">
        <w:rPr>
          <w:rFonts w:ascii="Times New Roman" w:eastAsia="Times New Roman" w:hAnsi="Times New Roman" w:cs="Times New Roman"/>
          <w:sz w:val="24"/>
          <w:szCs w:val="24"/>
          <w:lang w:eastAsia="ru-RU"/>
        </w:rPr>
        <w:t>Финансовые потери ритейлеров от этой категории товаров увеличились в 7 раз — с 0,8 до 5,6 млрд рублей</w:t>
      </w:r>
      <w:r w:rsidR="00E15D51">
        <w:rPr>
          <w:rFonts w:ascii="Times New Roman" w:eastAsia="Times New Roman" w:hAnsi="Times New Roman" w:cs="Times New Roman"/>
          <w:sz w:val="24"/>
          <w:szCs w:val="24"/>
          <w:lang w:eastAsia="ru-RU"/>
        </w:rPr>
        <w:t xml:space="preserve"> (табл.2)</w:t>
      </w:r>
      <w:r w:rsidR="00E15D51" w:rsidRPr="007449F9">
        <w:rPr>
          <w:rFonts w:ascii="Times New Roman" w:eastAsia="Times New Roman" w:hAnsi="Times New Roman" w:cs="Times New Roman"/>
          <w:sz w:val="24"/>
          <w:szCs w:val="24"/>
          <w:lang w:eastAsia="ru-RU"/>
        </w:rPr>
        <w:t xml:space="preserve">. </w:t>
      </w:r>
      <w:r w:rsidRPr="007449F9">
        <w:rPr>
          <w:rFonts w:ascii="Times New Roman" w:eastAsia="Times New Roman" w:hAnsi="Times New Roman" w:cs="Times New Roman"/>
          <w:sz w:val="24"/>
          <w:szCs w:val="24"/>
          <w:lang w:eastAsia="ru-RU"/>
        </w:rPr>
        <w:t xml:space="preserve"> При этом средняя стоимость возвращенной ёлки выросла с 2 500 до 3 800 рублей, а количество судебных исков со стороны магазинов превысило 1 250 случаев</w:t>
      </w:r>
      <w:r w:rsidR="00E15D51" w:rsidRPr="00E15D51">
        <w:rPr>
          <w:rFonts w:ascii="Times New Roman" w:eastAsia="Times New Roman" w:hAnsi="Times New Roman" w:cs="Times New Roman"/>
          <w:sz w:val="24"/>
          <w:szCs w:val="24"/>
          <w:lang w:eastAsia="ru-RU"/>
        </w:rPr>
        <w:t xml:space="preserve"> </w:t>
      </w:r>
      <w:r w:rsidR="00E15D51">
        <w:rPr>
          <w:rFonts w:ascii="Times New Roman" w:eastAsia="Times New Roman" w:hAnsi="Times New Roman" w:cs="Times New Roman"/>
          <w:sz w:val="24"/>
          <w:szCs w:val="24"/>
          <w:lang w:eastAsia="ru-RU"/>
        </w:rPr>
        <w:t>(табл.2)</w:t>
      </w:r>
      <w:r w:rsidR="00E15D51" w:rsidRPr="007449F9">
        <w:rPr>
          <w:rFonts w:ascii="Times New Roman" w:eastAsia="Times New Roman" w:hAnsi="Times New Roman" w:cs="Times New Roman"/>
          <w:sz w:val="24"/>
          <w:szCs w:val="24"/>
          <w:lang w:eastAsia="ru-RU"/>
        </w:rPr>
        <w:t>.</w:t>
      </w:r>
    </w:p>
    <w:p w14:paraId="55042E23" w14:textId="1F97B804" w:rsidR="000E7BE1" w:rsidRDefault="000E7BE1" w:rsidP="00776892">
      <w:pPr>
        <w:spacing w:line="240" w:lineRule="auto"/>
        <w:ind w:left="709"/>
        <w:jc w:val="both"/>
        <w:rPr>
          <w:rFonts w:ascii="Times New Roman" w:eastAsia="Times New Roman" w:hAnsi="Times New Roman" w:cs="Times New Roman"/>
          <w:sz w:val="24"/>
          <w:szCs w:val="24"/>
          <w:lang w:eastAsia="ru-RU"/>
        </w:rPr>
      </w:pPr>
      <w:r w:rsidRPr="007449F9">
        <w:rPr>
          <w:rFonts w:ascii="Times New Roman" w:eastAsia="Times New Roman" w:hAnsi="Times New Roman" w:cs="Times New Roman"/>
          <w:sz w:val="24"/>
          <w:szCs w:val="24"/>
          <w:lang w:eastAsia="ru-RU"/>
        </w:rPr>
        <w:t>Эти цифры наглядно демонстрируют системный характер проблемы, требующей незамедлительных мер реагирования.</w:t>
      </w:r>
      <w:r w:rsidR="003840D7">
        <w:rPr>
          <w:rFonts w:ascii="Times New Roman" w:eastAsia="Times New Roman" w:hAnsi="Times New Roman" w:cs="Times New Roman"/>
          <w:sz w:val="24"/>
          <w:szCs w:val="24"/>
          <w:lang w:eastAsia="ru-RU"/>
        </w:rPr>
        <w:t xml:space="preserve"> Р</w:t>
      </w:r>
      <w:r w:rsidRPr="007449F9">
        <w:rPr>
          <w:rFonts w:ascii="Times New Roman" w:eastAsia="Times New Roman" w:hAnsi="Times New Roman" w:cs="Times New Roman"/>
          <w:sz w:val="24"/>
          <w:szCs w:val="24"/>
          <w:lang w:eastAsia="ru-RU"/>
        </w:rPr>
        <w:t>азработк</w:t>
      </w:r>
      <w:r w:rsidR="003840D7">
        <w:rPr>
          <w:rFonts w:ascii="Times New Roman" w:eastAsia="Times New Roman" w:hAnsi="Times New Roman" w:cs="Times New Roman"/>
          <w:sz w:val="24"/>
          <w:szCs w:val="24"/>
          <w:lang w:eastAsia="ru-RU"/>
        </w:rPr>
        <w:t>а</w:t>
      </w:r>
      <w:r w:rsidRPr="007449F9">
        <w:rPr>
          <w:rFonts w:ascii="Times New Roman" w:eastAsia="Times New Roman" w:hAnsi="Times New Roman" w:cs="Times New Roman"/>
          <w:sz w:val="24"/>
          <w:szCs w:val="24"/>
          <w:lang w:eastAsia="ru-RU"/>
        </w:rPr>
        <w:t xml:space="preserve"> комплексных решений </w:t>
      </w:r>
      <w:r w:rsidR="003840D7">
        <w:rPr>
          <w:rFonts w:ascii="Times New Roman" w:eastAsia="Times New Roman" w:hAnsi="Times New Roman" w:cs="Times New Roman"/>
          <w:sz w:val="24"/>
          <w:szCs w:val="24"/>
          <w:lang w:eastAsia="ru-RU"/>
        </w:rPr>
        <w:t xml:space="preserve">является </w:t>
      </w:r>
      <w:r w:rsidRPr="007449F9">
        <w:rPr>
          <w:rFonts w:ascii="Times New Roman" w:eastAsia="Times New Roman" w:hAnsi="Times New Roman" w:cs="Times New Roman"/>
          <w:sz w:val="24"/>
          <w:szCs w:val="24"/>
          <w:lang w:eastAsia="ru-RU"/>
        </w:rPr>
        <w:t>вопросом национальной экономической безопасности, а сам случай стал символом потребительского экстремизма, демонстрируя, как лазейки в законе могут использоваться во вред бизнесу.</w:t>
      </w:r>
    </w:p>
    <w:p w14:paraId="05E0F439" w14:textId="59D59B9B" w:rsidR="007B1B57" w:rsidRPr="007449F9" w:rsidRDefault="007B1B57" w:rsidP="007B1B57">
      <w:pPr>
        <w:spacing w:line="240" w:lineRule="auto"/>
        <w:ind w:left="709"/>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Таблица 2</w:t>
      </w:r>
    </w:p>
    <w:p w14:paraId="4615242F" w14:textId="77777777" w:rsidR="00693C7C" w:rsidRPr="009F64B5" w:rsidRDefault="00693C7C" w:rsidP="007B1B57">
      <w:pPr>
        <w:spacing w:line="240" w:lineRule="auto"/>
        <w:ind w:left="709"/>
        <w:jc w:val="center"/>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Статистика возвратов и убытков</w:t>
      </w:r>
    </w:p>
    <w:tbl>
      <w:tblPr>
        <w:tblW w:w="0" w:type="auto"/>
        <w:tblCellMar>
          <w:top w:w="15" w:type="dxa"/>
          <w:left w:w="15" w:type="dxa"/>
          <w:bottom w:w="15" w:type="dxa"/>
          <w:right w:w="15" w:type="dxa"/>
        </w:tblCellMar>
        <w:tblLook w:val="04A0" w:firstRow="1" w:lastRow="0" w:firstColumn="1" w:lastColumn="0" w:noHBand="0" w:noVBand="1"/>
      </w:tblPr>
      <w:tblGrid>
        <w:gridCol w:w="3989"/>
        <w:gridCol w:w="1739"/>
        <w:gridCol w:w="1739"/>
        <w:gridCol w:w="1753"/>
        <w:gridCol w:w="418"/>
      </w:tblGrid>
      <w:tr w:rsidR="00693C7C" w:rsidRPr="009F64B5" w14:paraId="46152435" w14:textId="77777777" w:rsidTr="004A743D">
        <w:trPr>
          <w:tblHeader/>
        </w:trPr>
        <w:tc>
          <w:tcPr>
            <w:tcW w:w="0" w:type="auto"/>
            <w:tcBorders>
              <w:top w:val="single" w:sz="4" w:space="0" w:color="A3A3A3"/>
              <w:bottom w:val="single" w:sz="4" w:space="0" w:color="A3A3A3"/>
            </w:tcBorders>
            <w:tcMar>
              <w:top w:w="103" w:type="dxa"/>
              <w:left w:w="0" w:type="dxa"/>
              <w:bottom w:w="103" w:type="dxa"/>
              <w:right w:w="206" w:type="dxa"/>
            </w:tcMar>
            <w:vAlign w:val="center"/>
            <w:hideMark/>
          </w:tcPr>
          <w:p w14:paraId="46152430"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Показатель</w:t>
            </w: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431"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2023 год</w:t>
            </w: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432"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2024 год</w:t>
            </w:r>
          </w:p>
        </w:tc>
        <w:tc>
          <w:tcPr>
            <w:tcW w:w="0" w:type="auto"/>
            <w:tcBorders>
              <w:top w:val="single" w:sz="4" w:space="0" w:color="A3A3A3"/>
              <w:bottom w:val="single" w:sz="4" w:space="0" w:color="A3A3A3"/>
            </w:tcBorders>
            <w:tcMar>
              <w:top w:w="103" w:type="dxa"/>
              <w:left w:w="206" w:type="dxa"/>
              <w:bottom w:w="103" w:type="dxa"/>
              <w:right w:w="206" w:type="dxa"/>
            </w:tcMar>
            <w:vAlign w:val="center"/>
            <w:hideMark/>
          </w:tcPr>
          <w:p w14:paraId="46152433"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2025 год</w:t>
            </w:r>
          </w:p>
        </w:tc>
        <w:tc>
          <w:tcPr>
            <w:tcW w:w="0" w:type="auto"/>
            <w:tcBorders>
              <w:top w:val="single" w:sz="4" w:space="0" w:color="A3A3A3"/>
              <w:bottom w:val="single" w:sz="4" w:space="0" w:color="A3A3A3"/>
            </w:tcBorders>
            <w:tcMar>
              <w:top w:w="103" w:type="dxa"/>
              <w:left w:w="206" w:type="dxa"/>
              <w:bottom w:w="103" w:type="dxa"/>
              <w:right w:w="206" w:type="dxa"/>
            </w:tcMar>
            <w:vAlign w:val="center"/>
          </w:tcPr>
          <w:p w14:paraId="46152434" w14:textId="2730C36A" w:rsidR="00693C7C" w:rsidRPr="009F64B5" w:rsidRDefault="00693C7C" w:rsidP="00776892">
            <w:pPr>
              <w:spacing w:line="240" w:lineRule="auto"/>
              <w:ind w:left="709"/>
              <w:jc w:val="both"/>
              <w:rPr>
                <w:rFonts w:ascii="Times New Roman" w:eastAsia="Times New Roman" w:hAnsi="Times New Roman" w:cs="Times New Roman"/>
                <w:b/>
                <w:bCs/>
                <w:sz w:val="18"/>
                <w:szCs w:val="18"/>
                <w:lang w:eastAsia="ru-RU"/>
              </w:rPr>
            </w:pPr>
          </w:p>
        </w:tc>
      </w:tr>
      <w:tr w:rsidR="00693C7C" w:rsidRPr="009F64B5" w14:paraId="4615243B" w14:textId="77777777" w:rsidTr="008E3C45">
        <w:tc>
          <w:tcPr>
            <w:tcW w:w="0" w:type="auto"/>
            <w:tcBorders>
              <w:bottom w:val="single" w:sz="4" w:space="0" w:color="A3A3A3"/>
            </w:tcBorders>
            <w:tcMar>
              <w:top w:w="103" w:type="dxa"/>
              <w:left w:w="0" w:type="dxa"/>
              <w:bottom w:w="103" w:type="dxa"/>
              <w:right w:w="206" w:type="dxa"/>
            </w:tcMar>
            <w:vAlign w:val="center"/>
            <w:hideMark/>
          </w:tcPr>
          <w:p w14:paraId="46152436"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Общий объём продаж живых ёлок (млн шт.)</w:t>
            </w:r>
          </w:p>
        </w:tc>
        <w:tc>
          <w:tcPr>
            <w:tcW w:w="0" w:type="auto"/>
            <w:tcBorders>
              <w:bottom w:val="single" w:sz="4" w:space="0" w:color="A3A3A3"/>
            </w:tcBorders>
            <w:tcMar>
              <w:top w:w="103" w:type="dxa"/>
              <w:left w:w="206" w:type="dxa"/>
              <w:bottom w:w="103" w:type="dxa"/>
              <w:right w:w="206" w:type="dxa"/>
            </w:tcMar>
            <w:vAlign w:val="center"/>
            <w:hideMark/>
          </w:tcPr>
          <w:p w14:paraId="46152437"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12,5</w:t>
            </w:r>
          </w:p>
        </w:tc>
        <w:tc>
          <w:tcPr>
            <w:tcW w:w="0" w:type="auto"/>
            <w:tcBorders>
              <w:bottom w:val="single" w:sz="4" w:space="0" w:color="A3A3A3"/>
            </w:tcBorders>
            <w:tcMar>
              <w:top w:w="103" w:type="dxa"/>
              <w:left w:w="206" w:type="dxa"/>
              <w:bottom w:w="103" w:type="dxa"/>
              <w:right w:w="206" w:type="dxa"/>
            </w:tcMar>
            <w:vAlign w:val="center"/>
            <w:hideMark/>
          </w:tcPr>
          <w:p w14:paraId="46152438"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13,2</w:t>
            </w:r>
          </w:p>
        </w:tc>
        <w:tc>
          <w:tcPr>
            <w:tcW w:w="0" w:type="auto"/>
            <w:tcBorders>
              <w:bottom w:val="single" w:sz="4" w:space="0" w:color="A3A3A3"/>
            </w:tcBorders>
            <w:tcMar>
              <w:top w:w="103" w:type="dxa"/>
              <w:left w:w="206" w:type="dxa"/>
              <w:bottom w:w="103" w:type="dxa"/>
              <w:right w:w="206" w:type="dxa"/>
            </w:tcMar>
            <w:vAlign w:val="center"/>
            <w:hideMark/>
          </w:tcPr>
          <w:p w14:paraId="46152439"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14,1</w:t>
            </w:r>
          </w:p>
        </w:tc>
        <w:tc>
          <w:tcPr>
            <w:tcW w:w="0" w:type="auto"/>
            <w:tcBorders>
              <w:bottom w:val="single" w:sz="4" w:space="0" w:color="A3A3A3"/>
            </w:tcBorders>
            <w:tcMar>
              <w:top w:w="103" w:type="dxa"/>
              <w:left w:w="206" w:type="dxa"/>
              <w:bottom w:w="103" w:type="dxa"/>
              <w:right w:w="206" w:type="dxa"/>
            </w:tcMar>
            <w:vAlign w:val="center"/>
            <w:hideMark/>
          </w:tcPr>
          <w:p w14:paraId="4615243A" w14:textId="139C9DBE"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p>
        </w:tc>
      </w:tr>
      <w:tr w:rsidR="00693C7C" w:rsidRPr="009F64B5" w14:paraId="46152441" w14:textId="77777777" w:rsidTr="008E3C45">
        <w:tc>
          <w:tcPr>
            <w:tcW w:w="0" w:type="auto"/>
            <w:tcBorders>
              <w:bottom w:val="single" w:sz="4" w:space="0" w:color="A3A3A3"/>
            </w:tcBorders>
            <w:tcMar>
              <w:top w:w="103" w:type="dxa"/>
              <w:left w:w="0" w:type="dxa"/>
              <w:bottom w:w="103" w:type="dxa"/>
              <w:right w:w="206" w:type="dxa"/>
            </w:tcMar>
            <w:vAlign w:val="center"/>
            <w:hideMark/>
          </w:tcPr>
          <w:p w14:paraId="4615243C"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Процент возвратов</w:t>
            </w:r>
          </w:p>
        </w:tc>
        <w:tc>
          <w:tcPr>
            <w:tcW w:w="0" w:type="auto"/>
            <w:tcBorders>
              <w:bottom w:val="single" w:sz="4" w:space="0" w:color="A3A3A3"/>
            </w:tcBorders>
            <w:tcMar>
              <w:top w:w="103" w:type="dxa"/>
              <w:left w:w="206" w:type="dxa"/>
              <w:bottom w:w="103" w:type="dxa"/>
              <w:right w:w="206" w:type="dxa"/>
            </w:tcMar>
            <w:vAlign w:val="center"/>
            <w:hideMark/>
          </w:tcPr>
          <w:p w14:paraId="4615243D"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2,1%</w:t>
            </w:r>
          </w:p>
        </w:tc>
        <w:tc>
          <w:tcPr>
            <w:tcW w:w="0" w:type="auto"/>
            <w:tcBorders>
              <w:bottom w:val="single" w:sz="4" w:space="0" w:color="A3A3A3"/>
            </w:tcBorders>
            <w:tcMar>
              <w:top w:w="103" w:type="dxa"/>
              <w:left w:w="206" w:type="dxa"/>
              <w:bottom w:w="103" w:type="dxa"/>
              <w:right w:w="206" w:type="dxa"/>
            </w:tcMar>
            <w:vAlign w:val="center"/>
            <w:hideMark/>
          </w:tcPr>
          <w:p w14:paraId="4615243E"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5,3%</w:t>
            </w:r>
          </w:p>
        </w:tc>
        <w:tc>
          <w:tcPr>
            <w:tcW w:w="0" w:type="auto"/>
            <w:tcBorders>
              <w:bottom w:val="single" w:sz="4" w:space="0" w:color="A3A3A3"/>
            </w:tcBorders>
            <w:tcMar>
              <w:top w:w="103" w:type="dxa"/>
              <w:left w:w="206" w:type="dxa"/>
              <w:bottom w:w="103" w:type="dxa"/>
              <w:right w:w="206" w:type="dxa"/>
            </w:tcMar>
            <w:vAlign w:val="center"/>
            <w:hideMark/>
          </w:tcPr>
          <w:p w14:paraId="4615243F"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12,4%</w:t>
            </w:r>
          </w:p>
        </w:tc>
        <w:tc>
          <w:tcPr>
            <w:tcW w:w="0" w:type="auto"/>
            <w:tcBorders>
              <w:bottom w:val="single" w:sz="4" w:space="0" w:color="A3A3A3"/>
            </w:tcBorders>
            <w:tcMar>
              <w:top w:w="103" w:type="dxa"/>
              <w:left w:w="206" w:type="dxa"/>
              <w:bottom w:w="103" w:type="dxa"/>
              <w:right w:w="206" w:type="dxa"/>
            </w:tcMar>
            <w:vAlign w:val="center"/>
            <w:hideMark/>
          </w:tcPr>
          <w:p w14:paraId="46152440" w14:textId="5B10C2D0"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p>
        </w:tc>
      </w:tr>
      <w:tr w:rsidR="00693C7C" w:rsidRPr="009F64B5" w14:paraId="46152447" w14:textId="77777777" w:rsidTr="008E3C45">
        <w:tc>
          <w:tcPr>
            <w:tcW w:w="0" w:type="auto"/>
            <w:tcBorders>
              <w:bottom w:val="single" w:sz="4" w:space="0" w:color="A3A3A3"/>
            </w:tcBorders>
            <w:tcMar>
              <w:top w:w="103" w:type="dxa"/>
              <w:left w:w="0" w:type="dxa"/>
              <w:bottom w:w="103" w:type="dxa"/>
              <w:right w:w="206" w:type="dxa"/>
            </w:tcMar>
            <w:vAlign w:val="center"/>
            <w:hideMark/>
          </w:tcPr>
          <w:p w14:paraId="46152442"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Потери ритейлеров (млрд руб.)</w:t>
            </w:r>
          </w:p>
        </w:tc>
        <w:tc>
          <w:tcPr>
            <w:tcW w:w="0" w:type="auto"/>
            <w:tcBorders>
              <w:bottom w:val="single" w:sz="4" w:space="0" w:color="A3A3A3"/>
            </w:tcBorders>
            <w:tcMar>
              <w:top w:w="103" w:type="dxa"/>
              <w:left w:w="206" w:type="dxa"/>
              <w:bottom w:w="103" w:type="dxa"/>
              <w:right w:w="206" w:type="dxa"/>
            </w:tcMar>
            <w:vAlign w:val="center"/>
            <w:hideMark/>
          </w:tcPr>
          <w:p w14:paraId="46152443"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0,8</w:t>
            </w:r>
          </w:p>
        </w:tc>
        <w:tc>
          <w:tcPr>
            <w:tcW w:w="0" w:type="auto"/>
            <w:tcBorders>
              <w:bottom w:val="single" w:sz="4" w:space="0" w:color="A3A3A3"/>
            </w:tcBorders>
            <w:tcMar>
              <w:top w:w="103" w:type="dxa"/>
              <w:left w:w="206" w:type="dxa"/>
              <w:bottom w:w="103" w:type="dxa"/>
              <w:right w:w="206" w:type="dxa"/>
            </w:tcMar>
            <w:vAlign w:val="center"/>
            <w:hideMark/>
          </w:tcPr>
          <w:p w14:paraId="46152444"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2,1</w:t>
            </w:r>
          </w:p>
        </w:tc>
        <w:tc>
          <w:tcPr>
            <w:tcW w:w="0" w:type="auto"/>
            <w:tcBorders>
              <w:bottom w:val="single" w:sz="4" w:space="0" w:color="A3A3A3"/>
            </w:tcBorders>
            <w:tcMar>
              <w:top w:w="103" w:type="dxa"/>
              <w:left w:w="206" w:type="dxa"/>
              <w:bottom w:w="103" w:type="dxa"/>
              <w:right w:w="206" w:type="dxa"/>
            </w:tcMar>
            <w:vAlign w:val="center"/>
            <w:hideMark/>
          </w:tcPr>
          <w:p w14:paraId="46152445"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5,6</w:t>
            </w:r>
          </w:p>
        </w:tc>
        <w:tc>
          <w:tcPr>
            <w:tcW w:w="0" w:type="auto"/>
            <w:tcBorders>
              <w:bottom w:val="single" w:sz="4" w:space="0" w:color="A3A3A3"/>
            </w:tcBorders>
            <w:tcMar>
              <w:top w:w="103" w:type="dxa"/>
              <w:left w:w="206" w:type="dxa"/>
              <w:bottom w:w="103" w:type="dxa"/>
              <w:right w:w="206" w:type="dxa"/>
            </w:tcMar>
            <w:vAlign w:val="center"/>
            <w:hideMark/>
          </w:tcPr>
          <w:p w14:paraId="46152446" w14:textId="51A60F6A"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p>
        </w:tc>
      </w:tr>
      <w:tr w:rsidR="00693C7C" w:rsidRPr="009F64B5" w14:paraId="4615244D" w14:textId="77777777" w:rsidTr="008E3C45">
        <w:tc>
          <w:tcPr>
            <w:tcW w:w="0" w:type="auto"/>
            <w:tcBorders>
              <w:bottom w:val="single" w:sz="4" w:space="0" w:color="A3A3A3"/>
            </w:tcBorders>
            <w:tcMar>
              <w:top w:w="103" w:type="dxa"/>
              <w:left w:w="0" w:type="dxa"/>
              <w:bottom w:w="103" w:type="dxa"/>
              <w:right w:w="206" w:type="dxa"/>
            </w:tcMar>
            <w:vAlign w:val="center"/>
            <w:hideMark/>
          </w:tcPr>
          <w:p w14:paraId="46152448"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Доля искусственных ёлок в возвратах</w:t>
            </w:r>
          </w:p>
        </w:tc>
        <w:tc>
          <w:tcPr>
            <w:tcW w:w="0" w:type="auto"/>
            <w:tcBorders>
              <w:bottom w:val="single" w:sz="4" w:space="0" w:color="A3A3A3"/>
            </w:tcBorders>
            <w:tcMar>
              <w:top w:w="103" w:type="dxa"/>
              <w:left w:w="206" w:type="dxa"/>
              <w:bottom w:w="103" w:type="dxa"/>
              <w:right w:w="206" w:type="dxa"/>
            </w:tcMar>
            <w:vAlign w:val="center"/>
            <w:hideMark/>
          </w:tcPr>
          <w:p w14:paraId="46152449"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1,5%</w:t>
            </w:r>
          </w:p>
        </w:tc>
        <w:tc>
          <w:tcPr>
            <w:tcW w:w="0" w:type="auto"/>
            <w:tcBorders>
              <w:bottom w:val="single" w:sz="4" w:space="0" w:color="A3A3A3"/>
            </w:tcBorders>
            <w:tcMar>
              <w:top w:w="103" w:type="dxa"/>
              <w:left w:w="206" w:type="dxa"/>
              <w:bottom w:w="103" w:type="dxa"/>
              <w:right w:w="206" w:type="dxa"/>
            </w:tcMar>
            <w:vAlign w:val="center"/>
            <w:hideMark/>
          </w:tcPr>
          <w:p w14:paraId="4615244A"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3,7%</w:t>
            </w:r>
          </w:p>
        </w:tc>
        <w:tc>
          <w:tcPr>
            <w:tcW w:w="0" w:type="auto"/>
            <w:tcBorders>
              <w:bottom w:val="single" w:sz="4" w:space="0" w:color="A3A3A3"/>
            </w:tcBorders>
            <w:tcMar>
              <w:top w:w="103" w:type="dxa"/>
              <w:left w:w="206" w:type="dxa"/>
              <w:bottom w:w="103" w:type="dxa"/>
              <w:right w:w="206" w:type="dxa"/>
            </w:tcMar>
            <w:vAlign w:val="center"/>
            <w:hideMark/>
          </w:tcPr>
          <w:p w14:paraId="4615244B"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8,2%</w:t>
            </w:r>
          </w:p>
        </w:tc>
        <w:tc>
          <w:tcPr>
            <w:tcW w:w="0" w:type="auto"/>
            <w:tcBorders>
              <w:bottom w:val="single" w:sz="4" w:space="0" w:color="A3A3A3"/>
            </w:tcBorders>
            <w:tcMar>
              <w:top w:w="103" w:type="dxa"/>
              <w:left w:w="206" w:type="dxa"/>
              <w:bottom w:w="103" w:type="dxa"/>
              <w:right w:w="206" w:type="dxa"/>
            </w:tcMar>
            <w:vAlign w:val="center"/>
            <w:hideMark/>
          </w:tcPr>
          <w:p w14:paraId="4615244C" w14:textId="096572B0"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p>
        </w:tc>
      </w:tr>
      <w:tr w:rsidR="00693C7C" w:rsidRPr="009F64B5" w14:paraId="46152453" w14:textId="77777777" w:rsidTr="008E3C45">
        <w:tc>
          <w:tcPr>
            <w:tcW w:w="0" w:type="auto"/>
            <w:tcBorders>
              <w:bottom w:val="single" w:sz="4" w:space="0" w:color="A3A3A3"/>
            </w:tcBorders>
            <w:tcMar>
              <w:top w:w="103" w:type="dxa"/>
              <w:left w:w="0" w:type="dxa"/>
              <w:bottom w:w="103" w:type="dxa"/>
              <w:right w:w="206" w:type="dxa"/>
            </w:tcMar>
            <w:vAlign w:val="center"/>
            <w:hideMark/>
          </w:tcPr>
          <w:p w14:paraId="4615244E"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Средний чек возвращённой ёлки (руб.)</w:t>
            </w:r>
          </w:p>
        </w:tc>
        <w:tc>
          <w:tcPr>
            <w:tcW w:w="0" w:type="auto"/>
            <w:tcBorders>
              <w:bottom w:val="single" w:sz="4" w:space="0" w:color="A3A3A3"/>
            </w:tcBorders>
            <w:tcMar>
              <w:top w:w="103" w:type="dxa"/>
              <w:left w:w="206" w:type="dxa"/>
              <w:bottom w:w="103" w:type="dxa"/>
              <w:right w:w="206" w:type="dxa"/>
            </w:tcMar>
            <w:vAlign w:val="center"/>
            <w:hideMark/>
          </w:tcPr>
          <w:p w14:paraId="4615244F"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2 500</w:t>
            </w:r>
          </w:p>
        </w:tc>
        <w:tc>
          <w:tcPr>
            <w:tcW w:w="0" w:type="auto"/>
            <w:tcBorders>
              <w:bottom w:val="single" w:sz="4" w:space="0" w:color="A3A3A3"/>
            </w:tcBorders>
            <w:tcMar>
              <w:top w:w="103" w:type="dxa"/>
              <w:left w:w="206" w:type="dxa"/>
              <w:bottom w:w="103" w:type="dxa"/>
              <w:right w:w="206" w:type="dxa"/>
            </w:tcMar>
            <w:vAlign w:val="center"/>
            <w:hideMark/>
          </w:tcPr>
          <w:p w14:paraId="46152450"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3 200</w:t>
            </w:r>
          </w:p>
        </w:tc>
        <w:tc>
          <w:tcPr>
            <w:tcW w:w="0" w:type="auto"/>
            <w:tcBorders>
              <w:bottom w:val="single" w:sz="4" w:space="0" w:color="A3A3A3"/>
            </w:tcBorders>
            <w:tcMar>
              <w:top w:w="103" w:type="dxa"/>
              <w:left w:w="206" w:type="dxa"/>
              <w:bottom w:w="103" w:type="dxa"/>
              <w:right w:w="206" w:type="dxa"/>
            </w:tcMar>
            <w:vAlign w:val="center"/>
            <w:hideMark/>
          </w:tcPr>
          <w:p w14:paraId="46152451"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3 800</w:t>
            </w:r>
          </w:p>
        </w:tc>
        <w:tc>
          <w:tcPr>
            <w:tcW w:w="0" w:type="auto"/>
            <w:tcBorders>
              <w:bottom w:val="single" w:sz="4" w:space="0" w:color="A3A3A3"/>
            </w:tcBorders>
            <w:tcMar>
              <w:top w:w="103" w:type="dxa"/>
              <w:left w:w="206" w:type="dxa"/>
              <w:bottom w:w="103" w:type="dxa"/>
              <w:right w:w="206" w:type="dxa"/>
            </w:tcMar>
            <w:vAlign w:val="center"/>
            <w:hideMark/>
          </w:tcPr>
          <w:p w14:paraId="46152452" w14:textId="77D75EC6"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p>
        </w:tc>
      </w:tr>
      <w:tr w:rsidR="00693C7C" w:rsidRPr="009F64B5" w14:paraId="46152459" w14:textId="77777777" w:rsidTr="008E3C45">
        <w:tc>
          <w:tcPr>
            <w:tcW w:w="0" w:type="auto"/>
            <w:tcBorders>
              <w:bottom w:val="single" w:sz="4" w:space="0" w:color="A3A3A3"/>
            </w:tcBorders>
            <w:tcMar>
              <w:top w:w="103" w:type="dxa"/>
              <w:left w:w="0" w:type="dxa"/>
              <w:bottom w:w="103" w:type="dxa"/>
              <w:right w:w="206" w:type="dxa"/>
            </w:tcMar>
            <w:vAlign w:val="center"/>
            <w:hideMark/>
          </w:tcPr>
          <w:p w14:paraId="46152454"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Количество судебных исков от магазинов</w:t>
            </w:r>
          </w:p>
        </w:tc>
        <w:tc>
          <w:tcPr>
            <w:tcW w:w="0" w:type="auto"/>
            <w:tcBorders>
              <w:bottom w:val="single" w:sz="4" w:space="0" w:color="A3A3A3"/>
            </w:tcBorders>
            <w:tcMar>
              <w:top w:w="103" w:type="dxa"/>
              <w:left w:w="206" w:type="dxa"/>
              <w:bottom w:w="103" w:type="dxa"/>
              <w:right w:w="206" w:type="dxa"/>
            </w:tcMar>
            <w:vAlign w:val="center"/>
            <w:hideMark/>
          </w:tcPr>
          <w:p w14:paraId="46152455"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120</w:t>
            </w:r>
          </w:p>
        </w:tc>
        <w:tc>
          <w:tcPr>
            <w:tcW w:w="0" w:type="auto"/>
            <w:tcBorders>
              <w:bottom w:val="single" w:sz="4" w:space="0" w:color="A3A3A3"/>
            </w:tcBorders>
            <w:tcMar>
              <w:top w:w="103" w:type="dxa"/>
              <w:left w:w="206" w:type="dxa"/>
              <w:bottom w:w="103" w:type="dxa"/>
              <w:right w:w="206" w:type="dxa"/>
            </w:tcMar>
            <w:vAlign w:val="center"/>
            <w:hideMark/>
          </w:tcPr>
          <w:p w14:paraId="46152456"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480</w:t>
            </w:r>
          </w:p>
        </w:tc>
        <w:tc>
          <w:tcPr>
            <w:tcW w:w="0" w:type="auto"/>
            <w:tcBorders>
              <w:bottom w:val="single" w:sz="4" w:space="0" w:color="A3A3A3"/>
            </w:tcBorders>
            <w:tcMar>
              <w:top w:w="103" w:type="dxa"/>
              <w:left w:w="206" w:type="dxa"/>
              <w:bottom w:w="103" w:type="dxa"/>
              <w:right w:w="206" w:type="dxa"/>
            </w:tcMar>
            <w:vAlign w:val="center"/>
            <w:hideMark/>
          </w:tcPr>
          <w:p w14:paraId="46152457" w14:textId="77777777"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r w:rsidRPr="009F64B5">
              <w:rPr>
                <w:rFonts w:ascii="Times New Roman" w:eastAsia="Times New Roman" w:hAnsi="Times New Roman" w:cs="Times New Roman"/>
                <w:sz w:val="18"/>
                <w:szCs w:val="18"/>
                <w:lang w:eastAsia="ru-RU"/>
              </w:rPr>
              <w:t>1 250+</w:t>
            </w:r>
          </w:p>
        </w:tc>
        <w:tc>
          <w:tcPr>
            <w:tcW w:w="0" w:type="auto"/>
            <w:tcBorders>
              <w:bottom w:val="single" w:sz="4" w:space="0" w:color="A3A3A3"/>
            </w:tcBorders>
            <w:tcMar>
              <w:top w:w="103" w:type="dxa"/>
              <w:left w:w="206" w:type="dxa"/>
              <w:bottom w:w="103" w:type="dxa"/>
              <w:right w:w="206" w:type="dxa"/>
            </w:tcMar>
            <w:vAlign w:val="center"/>
            <w:hideMark/>
          </w:tcPr>
          <w:p w14:paraId="46152458" w14:textId="1ADED6A6" w:rsidR="00693C7C" w:rsidRPr="009F64B5" w:rsidRDefault="00693C7C" w:rsidP="00776892">
            <w:pPr>
              <w:spacing w:line="240" w:lineRule="auto"/>
              <w:ind w:left="709"/>
              <w:jc w:val="both"/>
              <w:rPr>
                <w:rFonts w:ascii="Times New Roman" w:eastAsia="Times New Roman" w:hAnsi="Times New Roman" w:cs="Times New Roman"/>
                <w:sz w:val="18"/>
                <w:szCs w:val="18"/>
                <w:lang w:eastAsia="ru-RU"/>
              </w:rPr>
            </w:pPr>
          </w:p>
        </w:tc>
      </w:tr>
    </w:tbl>
    <w:p w14:paraId="138C5060" w14:textId="77777777" w:rsidR="009F64B5" w:rsidRDefault="009F64B5" w:rsidP="00776892">
      <w:pPr>
        <w:spacing w:line="240" w:lineRule="auto"/>
        <w:ind w:left="709"/>
        <w:jc w:val="both"/>
        <w:rPr>
          <w:rFonts w:ascii="Times New Roman" w:hAnsi="Times New Roman" w:cs="Times New Roman"/>
          <w:sz w:val="24"/>
          <w:szCs w:val="24"/>
        </w:rPr>
      </w:pPr>
    </w:p>
    <w:p w14:paraId="298B190F" w14:textId="04462F2C" w:rsidR="007C3D7C" w:rsidRPr="007449F9" w:rsidRDefault="007C3D7C"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Но тогда появляется логичный вопрос, в современных условиях, постоянно развивающимся мире, где, не только законы, но и моральные нормы имеют большое значение, почему потребительский экстремизм продолжает набирать обороты?</w:t>
      </w:r>
    </w:p>
    <w:p w14:paraId="584D1509" w14:textId="77777777" w:rsidR="007C3D7C" w:rsidRPr="007449F9" w:rsidRDefault="007C3D7C"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В первую очередь благодаря легкой доступности правовой информации в цифровую эпоху. В интернете сегодня можно без труда найти подробные инструкции, шаблоны жалоб и даже готовые алгоритмы действий, позволяющие использовать законодательные лазейки для давления на бизнес. Многочисленные форумы и телеграм-каналы буквально учат, как формально соблюдая закон, выдвигать бизнесу заведомо невыполнимые требования или искусственно создавать основания для возвратов и компенсаций.</w:t>
      </w:r>
    </w:p>
    <w:p w14:paraId="202CEA24" w14:textId="77777777" w:rsidR="007C3D7C" w:rsidRPr="007449F9" w:rsidRDefault="007C3D7C"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lastRenderedPageBreak/>
        <w:t>Немаловажную роль играет и сложившаяся судебная практика, суды в большинстве случаев принимают решения в пользу физических лиц, даже когда их требования явно превышают разумные пределы или не имеют под собой достаточных оснований. Такая перекошенная система правосудия создает у недобросовестных покупателей ощущение безнаказанности и вседозволенности, провоцируя новые случаи злоупотреблений.</w:t>
      </w:r>
    </w:p>
    <w:p w14:paraId="761F21D2" w14:textId="69173970" w:rsidR="007C3D7C" w:rsidRPr="007449F9" w:rsidRDefault="004657C8"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 xml:space="preserve">И наконец, </w:t>
      </w:r>
      <w:r w:rsidR="007C3D7C" w:rsidRPr="007449F9">
        <w:rPr>
          <w:rFonts w:ascii="Times New Roman" w:hAnsi="Times New Roman" w:cs="Times New Roman"/>
          <w:sz w:val="24"/>
          <w:szCs w:val="24"/>
        </w:rPr>
        <w:t>крайне низкий уровень реальных рисков для мошенников. В отличие от предпринимателей, которые несут существенные финансовые и репутационные потери из-за необоснованных претензий, потребители-экстремисты практически никогда не сталкиваются с серьезной ответственностью за свои действия. Уголовные дела за мошенничество в этой сфере возбуждаются крайне редко, а административные штрафы если и назначаются, то в размерах, несопоставимых с нанесенным бизнесу ущербом. Отсутствие действенных механизмов пресечения и профилактики подобных злоупотреблений создает питательную среду для дальнейшего роста потребительского экстремизма.</w:t>
      </w:r>
    </w:p>
    <w:p w14:paraId="23615EB7" w14:textId="77777777" w:rsidR="007C3D7C" w:rsidRPr="007449F9" w:rsidRDefault="007C3D7C" w:rsidP="00776892">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Все это наталкивает на мысль, что бизнесу нужно придумывать новые пути борьбы с злоупотреблением. Так появились черные списки клиентов, которые всем уже давно известно, я упоминала их ранее. Самое банальное, что может сделать обманутый производитель-подать встречный иск за клевету и мошенничество, но данный способ как мы выяснили ранее имеет неоднозначный характер, а также он требует немалых затрат на адвокатов, экспертизы, различные доказательства и так далее. В цифровом мире, стало возможна фиксация провокаций, благодаря видеокамерам, которые также способствуют усмирению самих мошенников, ведь не все готовы идти на такие риски.</w:t>
      </w:r>
    </w:p>
    <w:p w14:paraId="46605F12" w14:textId="3C7EF3EA" w:rsidR="00BE41E7" w:rsidRPr="007449F9" w:rsidRDefault="007C3D7C" w:rsidP="008C4FB6">
      <w:pPr>
        <w:spacing w:line="240" w:lineRule="auto"/>
        <w:ind w:left="709"/>
        <w:jc w:val="both"/>
        <w:rPr>
          <w:rFonts w:ascii="Times New Roman" w:hAnsi="Times New Roman" w:cs="Times New Roman"/>
          <w:sz w:val="24"/>
          <w:szCs w:val="24"/>
        </w:rPr>
      </w:pPr>
      <w:r w:rsidRPr="007449F9">
        <w:rPr>
          <w:rFonts w:ascii="Times New Roman" w:hAnsi="Times New Roman" w:cs="Times New Roman"/>
          <w:sz w:val="24"/>
          <w:szCs w:val="24"/>
        </w:rPr>
        <w:t>Потребительский экстремизм представляет собой сложную системную проблему, преодоление которой требует комплексного и многопланового подхода. В первую очередь необходимо провести тщательную работу по совершенствованию законодательной базы, которая должна содержать четкие и однозначные формулировки, позволяющие разграничить законную защиту прав потребителей от злонамеренных злоупотреблений. Параллельно с этим крайне важно уделить внимание повышению правовой грамотности представителей бизнес-сообщества, особенно в сфере малого и среднего предпринимательства, где последствия потребительского экстремизма ощущаются наиболее остро. Специальные образовательные программы, методические рекомендации и консультационные центры могли бы помочь предпринимателям эффективно выстраивать систему защиты от недобросовестных действий. Не менее значимым аспектом решения проблемы является формирование сбалансированной судебной практики, которая бы учитывала интересы как потребителей, так и бизнеса, исключая перекосы в ту или иную сторону. Без этих мер мы рискуем столкнуться с дальнейшим ростом цен, ухудшением сервиса и потерей доверия между участниками рынка. Давайте работать вместе, чтобы найти разумный баланс между защитой прав потребителей и поддержкой бизнеса!</w:t>
      </w:r>
    </w:p>
    <w:p w14:paraId="46152492" w14:textId="762F18F2" w:rsidR="009458C2" w:rsidRDefault="002C3473" w:rsidP="000200B3">
      <w:pPr>
        <w:spacing w:line="24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Список литературы: </w:t>
      </w:r>
    </w:p>
    <w:p w14:paraId="00AC0E97" w14:textId="61770E96" w:rsidR="005E2E35" w:rsidRPr="002951CD" w:rsidRDefault="00EA01C6" w:rsidP="002951CD">
      <w:pPr>
        <w:pStyle w:val="a5"/>
        <w:numPr>
          <w:ilvl w:val="0"/>
          <w:numId w:val="14"/>
        </w:numPr>
        <w:spacing w:line="240" w:lineRule="auto"/>
        <w:jc w:val="both"/>
        <w:rPr>
          <w:rFonts w:ascii="Times New Roman" w:hAnsi="Times New Roman" w:cs="Times New Roman"/>
          <w:sz w:val="24"/>
          <w:szCs w:val="24"/>
          <w:shd w:val="clear" w:color="auto" w:fill="FFFFFF"/>
        </w:rPr>
      </w:pPr>
      <w:r w:rsidRPr="002951CD">
        <w:rPr>
          <w:rFonts w:ascii="Times New Roman" w:hAnsi="Times New Roman" w:cs="Times New Roman"/>
          <w:sz w:val="24"/>
          <w:szCs w:val="24"/>
          <w:shd w:val="clear" w:color="auto" w:fill="FFFFFF"/>
        </w:rPr>
        <w:t>Закон РФ "О защите прав потребителей"</w:t>
      </w:r>
    </w:p>
    <w:p w14:paraId="6F6A0350" w14:textId="6C5A034B" w:rsidR="005E2E35" w:rsidRPr="002951CD" w:rsidRDefault="005A1863" w:rsidP="002951CD">
      <w:pPr>
        <w:pStyle w:val="a5"/>
        <w:numPr>
          <w:ilvl w:val="0"/>
          <w:numId w:val="14"/>
        </w:numPr>
        <w:spacing w:line="240" w:lineRule="auto"/>
        <w:jc w:val="both"/>
        <w:rPr>
          <w:rFonts w:ascii="Times New Roman" w:hAnsi="Times New Roman" w:cs="Times New Roman"/>
          <w:sz w:val="24"/>
          <w:szCs w:val="24"/>
        </w:rPr>
      </w:pPr>
      <w:r w:rsidRPr="002951CD">
        <w:rPr>
          <w:rFonts w:ascii="Times New Roman" w:hAnsi="Times New Roman" w:cs="Times New Roman"/>
          <w:sz w:val="24"/>
          <w:szCs w:val="24"/>
        </w:rPr>
        <w:t>«Гражданское право» (под ред. А.П. Сергеева, Ю.К. Толстого).</w:t>
      </w:r>
    </w:p>
    <w:p w14:paraId="66621851" w14:textId="191A603B" w:rsidR="005E2E35" w:rsidRPr="002951CD" w:rsidRDefault="005A1863" w:rsidP="002951CD">
      <w:pPr>
        <w:pStyle w:val="a5"/>
        <w:numPr>
          <w:ilvl w:val="0"/>
          <w:numId w:val="14"/>
        </w:numPr>
        <w:spacing w:line="240" w:lineRule="auto"/>
        <w:jc w:val="both"/>
        <w:rPr>
          <w:rFonts w:ascii="Times New Roman" w:hAnsi="Times New Roman" w:cs="Times New Roman"/>
          <w:sz w:val="24"/>
          <w:szCs w:val="24"/>
        </w:rPr>
      </w:pPr>
      <w:r w:rsidRPr="002951CD">
        <w:rPr>
          <w:rFonts w:ascii="Times New Roman" w:hAnsi="Times New Roman" w:cs="Times New Roman"/>
          <w:sz w:val="24"/>
          <w:szCs w:val="24"/>
        </w:rPr>
        <w:t>«Экономика малого бизнеса» (авторы: А.С. Пелих, В.И. Баранников).</w:t>
      </w:r>
    </w:p>
    <w:p w14:paraId="624031B8" w14:textId="730177EF" w:rsidR="00210351" w:rsidRPr="002951CD" w:rsidRDefault="00210351" w:rsidP="002951CD">
      <w:pPr>
        <w:pStyle w:val="a5"/>
        <w:numPr>
          <w:ilvl w:val="0"/>
          <w:numId w:val="14"/>
        </w:numPr>
        <w:spacing w:line="240" w:lineRule="auto"/>
        <w:jc w:val="both"/>
        <w:rPr>
          <w:rFonts w:ascii="Times New Roman" w:hAnsi="Times New Roman" w:cs="Times New Roman"/>
          <w:sz w:val="24"/>
          <w:szCs w:val="24"/>
        </w:rPr>
      </w:pPr>
      <w:r w:rsidRPr="002951CD">
        <w:rPr>
          <w:rFonts w:ascii="Times New Roman" w:hAnsi="Times New Roman" w:cs="Times New Roman"/>
          <w:sz w:val="24"/>
          <w:szCs w:val="24"/>
        </w:rPr>
        <w:t>Официальные отчеты АКРТ.</w:t>
      </w:r>
    </w:p>
    <w:p w14:paraId="38286446" w14:textId="77777777" w:rsidR="00BB28AD" w:rsidRDefault="00BB28AD" w:rsidP="000200B3">
      <w:pPr>
        <w:spacing w:line="240" w:lineRule="auto"/>
        <w:ind w:left="709"/>
        <w:jc w:val="both"/>
        <w:rPr>
          <w:rFonts w:ascii="Times New Roman" w:hAnsi="Times New Roman" w:cs="Times New Roman"/>
          <w:sz w:val="24"/>
          <w:szCs w:val="24"/>
        </w:rPr>
      </w:pPr>
    </w:p>
    <w:p w14:paraId="137CC9F2" w14:textId="659A1B7B" w:rsidR="000200B3" w:rsidRDefault="001C2128" w:rsidP="000200B3">
      <w:pPr>
        <w:spacing w:line="240" w:lineRule="auto"/>
        <w:ind w:left="709"/>
        <w:jc w:val="both"/>
        <w:rPr>
          <w:rFonts w:ascii="Times New Roman" w:hAnsi="Times New Roman" w:cs="Times New Roman"/>
          <w:sz w:val="24"/>
          <w:szCs w:val="24"/>
        </w:rPr>
      </w:pPr>
      <w:r>
        <w:rPr>
          <w:rFonts w:ascii="Times New Roman" w:hAnsi="Times New Roman" w:cs="Times New Roman"/>
          <w:sz w:val="24"/>
          <w:szCs w:val="24"/>
        </w:rPr>
        <w:t>Информация об авторах:</w:t>
      </w:r>
    </w:p>
    <w:p w14:paraId="4B755D58" w14:textId="35C5F1F3" w:rsidR="001C2128" w:rsidRDefault="001C2128" w:rsidP="000200B3">
      <w:pPr>
        <w:spacing w:line="240" w:lineRule="auto"/>
        <w:ind w:left="709"/>
        <w:jc w:val="both"/>
        <w:rPr>
          <w:rFonts w:ascii="Times New Roman" w:hAnsi="Times New Roman" w:cs="Times New Roman"/>
          <w:sz w:val="24"/>
          <w:szCs w:val="24"/>
        </w:rPr>
      </w:pPr>
      <w:r>
        <w:rPr>
          <w:rFonts w:ascii="Times New Roman" w:hAnsi="Times New Roman" w:cs="Times New Roman"/>
          <w:sz w:val="24"/>
          <w:szCs w:val="24"/>
        </w:rPr>
        <w:lastRenderedPageBreak/>
        <w:t xml:space="preserve">Мотыгуллина Самира </w:t>
      </w:r>
      <w:bookmarkStart w:id="2" w:name="_Hlk198242313"/>
      <w:r>
        <w:rPr>
          <w:rFonts w:ascii="Times New Roman" w:hAnsi="Times New Roman" w:cs="Times New Roman"/>
          <w:sz w:val="24"/>
          <w:szCs w:val="24"/>
        </w:rPr>
        <w:t xml:space="preserve">Маратовна </w:t>
      </w:r>
      <w:r w:rsidR="00A63F7E">
        <w:rPr>
          <w:rFonts w:ascii="Times New Roman" w:hAnsi="Times New Roman" w:cs="Times New Roman"/>
          <w:sz w:val="24"/>
          <w:szCs w:val="24"/>
        </w:rPr>
        <w:t xml:space="preserve">(Российская Федерация, Казань)- студент Казанского Приволжского Федерального </w:t>
      </w:r>
      <w:r w:rsidR="005E7839">
        <w:rPr>
          <w:rFonts w:ascii="Times New Roman" w:hAnsi="Times New Roman" w:cs="Times New Roman"/>
          <w:sz w:val="24"/>
          <w:szCs w:val="24"/>
        </w:rPr>
        <w:t xml:space="preserve">университета, институт Управления, Экономики и финансов </w:t>
      </w:r>
      <w:r w:rsidR="00546DC2">
        <w:rPr>
          <w:rFonts w:ascii="Times New Roman" w:hAnsi="Times New Roman" w:cs="Times New Roman"/>
          <w:sz w:val="24"/>
          <w:szCs w:val="24"/>
        </w:rPr>
        <w:t xml:space="preserve">(ул. Бутлерова, 4; </w:t>
      </w:r>
      <w:r w:rsidR="003F2CBE" w:rsidRPr="003F2CBE">
        <w:rPr>
          <w:rFonts w:ascii="Times New Roman" w:hAnsi="Times New Roman" w:cs="Times New Roman"/>
          <w:sz w:val="24"/>
          <w:szCs w:val="24"/>
        </w:rPr>
        <w:t>samiram2005@yandex.ru</w:t>
      </w:r>
      <w:r w:rsidR="00546DC2">
        <w:rPr>
          <w:rFonts w:ascii="Times New Roman" w:hAnsi="Times New Roman" w:cs="Times New Roman"/>
          <w:sz w:val="24"/>
          <w:szCs w:val="24"/>
        </w:rPr>
        <w:t>)</w:t>
      </w:r>
    </w:p>
    <w:bookmarkEnd w:id="2"/>
    <w:p w14:paraId="0DD2F328" w14:textId="79968D28" w:rsidR="00546DC2" w:rsidRPr="002D346A" w:rsidRDefault="00546DC2" w:rsidP="00546DC2">
      <w:pPr>
        <w:spacing w:line="240" w:lineRule="auto"/>
        <w:ind w:left="709"/>
        <w:jc w:val="both"/>
        <w:rPr>
          <w:rFonts w:ascii="Times New Roman" w:hAnsi="Times New Roman" w:cs="Times New Roman"/>
          <w:sz w:val="24"/>
          <w:szCs w:val="24"/>
          <w:lang w:val="en-US"/>
        </w:rPr>
      </w:pPr>
      <w:r>
        <w:rPr>
          <w:rFonts w:ascii="Times New Roman" w:hAnsi="Times New Roman" w:cs="Times New Roman"/>
          <w:sz w:val="24"/>
          <w:szCs w:val="24"/>
        </w:rPr>
        <w:t>Кашапова Дина Раисовна Маратовна (Российская Федерация, Казань)- студент Казанского Приволжского Федерального университета, институт Управления, Экономики и финансов (ул. Бутлерова</w:t>
      </w:r>
      <w:r w:rsidRPr="002D346A">
        <w:rPr>
          <w:rFonts w:ascii="Times New Roman" w:hAnsi="Times New Roman" w:cs="Times New Roman"/>
          <w:sz w:val="24"/>
          <w:szCs w:val="24"/>
          <w:lang w:val="en-US"/>
        </w:rPr>
        <w:t xml:space="preserve">,4; </w:t>
      </w:r>
      <w:hyperlink r:id="rId5" w:history="1">
        <w:r w:rsidRPr="002D346A">
          <w:rPr>
            <w:rStyle w:val="a4"/>
            <w:rFonts w:ascii="Times New Roman" w:hAnsi="Times New Roman" w:cs="Times New Roman"/>
            <w:sz w:val="24"/>
            <w:szCs w:val="24"/>
            <w:lang w:val="en-US"/>
          </w:rPr>
          <w:t>dina.kashapova22@yandex.ru</w:t>
        </w:r>
      </w:hyperlink>
      <w:r w:rsidRPr="002D346A">
        <w:rPr>
          <w:rFonts w:ascii="Times New Roman" w:hAnsi="Times New Roman" w:cs="Times New Roman"/>
          <w:sz w:val="24"/>
          <w:szCs w:val="24"/>
          <w:lang w:val="en-US"/>
        </w:rPr>
        <w:t>)</w:t>
      </w:r>
    </w:p>
    <w:p w14:paraId="507AE3DE" w14:textId="70C70F68" w:rsidR="00546DC2" w:rsidRPr="002D346A" w:rsidRDefault="00546DC2" w:rsidP="000200B3">
      <w:pPr>
        <w:spacing w:line="240" w:lineRule="auto"/>
        <w:ind w:left="709"/>
        <w:jc w:val="both"/>
        <w:rPr>
          <w:rFonts w:ascii="Times New Roman" w:hAnsi="Times New Roman" w:cs="Times New Roman"/>
          <w:sz w:val="24"/>
          <w:szCs w:val="24"/>
          <w:shd w:val="clear" w:color="auto" w:fill="FFFFFF"/>
          <w:lang w:val="en-US"/>
        </w:rPr>
      </w:pPr>
    </w:p>
    <w:p w14:paraId="10FDA3BC" w14:textId="2AF1C0E5" w:rsidR="0002329C" w:rsidRPr="00637020" w:rsidRDefault="0002329C" w:rsidP="00E12DB6">
      <w:pPr>
        <w:spacing w:line="240" w:lineRule="auto"/>
        <w:ind w:left="709"/>
        <w:jc w:val="center"/>
        <w:rPr>
          <w:rFonts w:ascii="Times New Roman" w:hAnsi="Times New Roman" w:cs="Times New Roman"/>
          <w:b/>
          <w:bCs/>
          <w:sz w:val="24"/>
          <w:szCs w:val="24"/>
          <w:lang w:val="en-US"/>
        </w:rPr>
      </w:pPr>
      <w:r w:rsidRPr="004F0E34">
        <w:rPr>
          <w:rFonts w:ascii="Times New Roman" w:hAnsi="Times New Roman" w:cs="Times New Roman"/>
          <w:b/>
          <w:bCs/>
          <w:sz w:val="24"/>
          <w:szCs w:val="24"/>
          <w:shd w:val="clear" w:color="auto" w:fill="FFFFFF"/>
          <w:lang w:val="en-US"/>
        </w:rPr>
        <w:t>CON</w:t>
      </w:r>
      <w:r w:rsidR="00E12DB6" w:rsidRPr="004F0E34">
        <w:rPr>
          <w:rFonts w:ascii="Times New Roman" w:hAnsi="Times New Roman" w:cs="Times New Roman"/>
          <w:b/>
          <w:bCs/>
          <w:sz w:val="24"/>
          <w:szCs w:val="24"/>
          <w:shd w:val="clear" w:color="auto" w:fill="FFFFFF"/>
          <w:lang w:val="en-US"/>
        </w:rPr>
        <w:t>SUMER EXTREMISM</w:t>
      </w:r>
      <w:r w:rsidR="00637020" w:rsidRPr="004F0E34">
        <w:rPr>
          <w:rFonts w:ascii="Helvetica" w:hAnsi="Helvetica" w:cs="Helvetica"/>
          <w:b/>
          <w:bCs/>
          <w:sz w:val="23"/>
          <w:szCs w:val="23"/>
          <w:shd w:val="clear" w:color="auto" w:fill="FFFFFF"/>
          <w:lang w:val="en-US"/>
        </w:rPr>
        <w:t xml:space="preserve"> AN</w:t>
      </w:r>
      <w:r w:rsidR="00637020">
        <w:rPr>
          <w:rFonts w:ascii="Helvetica" w:hAnsi="Helvetica" w:cs="Helvetica"/>
          <w:b/>
          <w:bCs/>
          <w:color w:val="1A1A1A"/>
          <w:sz w:val="23"/>
          <w:szCs w:val="23"/>
          <w:shd w:val="clear" w:color="auto" w:fill="FFFFFF"/>
          <w:lang w:val="en-US"/>
        </w:rPr>
        <w:t xml:space="preserve">D </w:t>
      </w:r>
      <w:r w:rsidR="00E52F8E">
        <w:rPr>
          <w:rFonts w:ascii="Helvetica" w:hAnsi="Helvetica" w:cs="Helvetica"/>
          <w:b/>
          <w:bCs/>
          <w:color w:val="1A1A1A"/>
          <w:sz w:val="23"/>
          <w:szCs w:val="23"/>
          <w:shd w:val="clear" w:color="auto" w:fill="FFFFFF"/>
          <w:lang w:val="en-US"/>
        </w:rPr>
        <w:t xml:space="preserve">CHRISTMAS </w:t>
      </w:r>
      <w:r w:rsidR="00C103A9">
        <w:rPr>
          <w:rFonts w:ascii="Helvetica" w:hAnsi="Helvetica" w:cs="Helvetica"/>
          <w:b/>
          <w:bCs/>
          <w:color w:val="1A1A1A"/>
          <w:sz w:val="23"/>
          <w:szCs w:val="23"/>
          <w:shd w:val="clear" w:color="auto" w:fill="FFFFFF"/>
          <w:lang w:val="en-US"/>
        </w:rPr>
        <w:t>TREE BOOM</w:t>
      </w:r>
      <w:r w:rsidR="00AD271B">
        <w:rPr>
          <w:rFonts w:ascii="Helvetica" w:hAnsi="Helvetica" w:cs="Helvetica"/>
          <w:b/>
          <w:bCs/>
          <w:color w:val="1A1A1A"/>
          <w:sz w:val="23"/>
          <w:szCs w:val="23"/>
          <w:shd w:val="clear" w:color="auto" w:fill="FFFFFF"/>
          <w:lang w:val="en-US"/>
        </w:rPr>
        <w:t xml:space="preserve"> IN RUSSIA</w:t>
      </w:r>
    </w:p>
    <w:p w14:paraId="06AE68FF" w14:textId="518BBCBC" w:rsidR="00783C36" w:rsidRPr="00635080" w:rsidRDefault="0002329C" w:rsidP="003E316A">
      <w:pPr>
        <w:spacing w:line="240" w:lineRule="auto"/>
        <w:ind w:left="709"/>
        <w:jc w:val="both"/>
        <w:rPr>
          <w:rFonts w:ascii="Times New Roman" w:hAnsi="Times New Roman" w:cs="Times New Roman"/>
          <w:sz w:val="24"/>
          <w:szCs w:val="24"/>
          <w:lang w:val="en-US"/>
        </w:rPr>
      </w:pPr>
      <w:r w:rsidRPr="0002329C">
        <w:rPr>
          <w:rFonts w:ascii="Times New Roman" w:hAnsi="Times New Roman" w:cs="Times New Roman"/>
          <w:sz w:val="24"/>
          <w:szCs w:val="24"/>
          <w:lang w:val="en-US"/>
        </w:rPr>
        <w:t xml:space="preserve">Annotation: </w:t>
      </w:r>
      <w:r w:rsidR="002D346A" w:rsidRPr="002D346A">
        <w:rPr>
          <w:rFonts w:ascii="Times New Roman" w:hAnsi="Times New Roman" w:cs="Times New Roman"/>
          <w:sz w:val="24"/>
          <w:szCs w:val="24"/>
          <w:lang w:val="en-US"/>
        </w:rPr>
        <w:t xml:space="preserve">The article examines the issue of consumer extremism in Russia and its impact on small and medium-sized businesses. Based on AKRT data (2022-2024), it analyzes financial losses, increasing litigation and most vulnerable product categories. Special attention is paid to the case of mass Christmas tree returns in Kazan. </w:t>
      </w:r>
      <w:r w:rsidR="002D346A" w:rsidRPr="00635080">
        <w:rPr>
          <w:rFonts w:ascii="Times New Roman" w:hAnsi="Times New Roman" w:cs="Times New Roman"/>
          <w:sz w:val="24"/>
          <w:szCs w:val="24"/>
          <w:lang w:val="en-US"/>
        </w:rPr>
        <w:t>Legislative improvements are proposed to better protect business interests.</w:t>
      </w:r>
    </w:p>
    <w:p w14:paraId="07DD15C2" w14:textId="725202E4" w:rsidR="006B1D4E" w:rsidRDefault="003E316A" w:rsidP="006B1D4E">
      <w:pPr>
        <w:spacing w:line="240" w:lineRule="auto"/>
        <w:ind w:left="709"/>
        <w:jc w:val="both"/>
        <w:rPr>
          <w:rFonts w:ascii="Times New Roman" w:hAnsi="Times New Roman" w:cs="Times New Roman"/>
          <w:sz w:val="24"/>
          <w:szCs w:val="24"/>
          <w:shd w:val="clear" w:color="auto" w:fill="FFFFFF"/>
          <w:lang w:val="en-US"/>
        </w:rPr>
      </w:pPr>
      <w:r w:rsidRPr="003E316A">
        <w:rPr>
          <w:rFonts w:ascii="Times New Roman" w:hAnsi="Times New Roman" w:cs="Times New Roman"/>
          <w:sz w:val="24"/>
          <w:szCs w:val="24"/>
          <w:shd w:val="clear" w:color="auto" w:fill="FFFFFF"/>
          <w:lang w:val="en-US"/>
        </w:rPr>
        <w:t>Keywords:</w:t>
      </w:r>
      <w:r>
        <w:rPr>
          <w:rFonts w:ascii="Times New Roman" w:hAnsi="Times New Roman" w:cs="Times New Roman"/>
          <w:sz w:val="24"/>
          <w:szCs w:val="24"/>
          <w:shd w:val="clear" w:color="auto" w:fill="FFFFFF"/>
          <w:lang w:val="en-US"/>
        </w:rPr>
        <w:t xml:space="preserve"> </w:t>
      </w:r>
      <w:r w:rsidR="00783C36" w:rsidRPr="003E316A">
        <w:rPr>
          <w:rFonts w:ascii="Times New Roman" w:hAnsi="Times New Roman" w:cs="Times New Roman"/>
          <w:sz w:val="24"/>
          <w:szCs w:val="24"/>
          <w:shd w:val="clear" w:color="auto" w:fill="FFFFFF"/>
          <w:lang w:val="en-US"/>
        </w:rPr>
        <w:t xml:space="preserve">consumer extremism, </w:t>
      </w:r>
      <w:r w:rsidR="00484415">
        <w:rPr>
          <w:rFonts w:ascii="Times New Roman" w:hAnsi="Times New Roman" w:cs="Times New Roman"/>
          <w:sz w:val="24"/>
          <w:szCs w:val="24"/>
          <w:shd w:val="clear" w:color="auto" w:fill="FFFFFF"/>
          <w:lang w:val="en-US"/>
        </w:rPr>
        <w:t>a</w:t>
      </w:r>
      <w:r w:rsidR="00C570B5" w:rsidRPr="00C570B5">
        <w:rPr>
          <w:rFonts w:ascii="Times New Roman" w:hAnsi="Times New Roman" w:cs="Times New Roman"/>
          <w:sz w:val="24"/>
          <w:szCs w:val="24"/>
          <w:shd w:val="clear" w:color="auto" w:fill="FFFFFF"/>
          <w:lang w:val="en-US"/>
        </w:rPr>
        <w:t>buse of rights</w:t>
      </w:r>
      <w:r w:rsidR="00783C36" w:rsidRPr="003E316A">
        <w:rPr>
          <w:rFonts w:ascii="Times New Roman" w:hAnsi="Times New Roman" w:cs="Times New Roman"/>
          <w:sz w:val="24"/>
          <w:szCs w:val="24"/>
          <w:shd w:val="clear" w:color="auto" w:fill="FFFFFF"/>
          <w:lang w:val="en-US"/>
        </w:rPr>
        <w:t xml:space="preserve">, </w:t>
      </w:r>
      <w:r w:rsidR="00484415">
        <w:rPr>
          <w:rFonts w:ascii="Times New Roman" w:hAnsi="Times New Roman" w:cs="Times New Roman"/>
          <w:sz w:val="24"/>
          <w:szCs w:val="24"/>
          <w:shd w:val="clear" w:color="auto" w:fill="FFFFFF"/>
          <w:lang w:val="en-US"/>
        </w:rPr>
        <w:t>f</w:t>
      </w:r>
      <w:r w:rsidR="00484415" w:rsidRPr="00484415">
        <w:rPr>
          <w:rFonts w:ascii="Times New Roman" w:hAnsi="Times New Roman" w:cs="Times New Roman"/>
          <w:sz w:val="24"/>
          <w:szCs w:val="24"/>
          <w:shd w:val="clear" w:color="auto" w:fill="FFFFFF"/>
          <w:lang w:val="en-US"/>
        </w:rPr>
        <w:t>raudulent returns</w:t>
      </w:r>
      <w:r w:rsidR="00484415">
        <w:rPr>
          <w:rFonts w:ascii="Times New Roman" w:hAnsi="Times New Roman" w:cs="Times New Roman"/>
          <w:sz w:val="24"/>
          <w:szCs w:val="24"/>
          <w:shd w:val="clear" w:color="auto" w:fill="FFFFFF"/>
          <w:lang w:val="en-US"/>
        </w:rPr>
        <w:t xml:space="preserve">, </w:t>
      </w:r>
      <w:r w:rsidR="00783C36" w:rsidRPr="003E316A">
        <w:rPr>
          <w:rFonts w:ascii="Times New Roman" w:hAnsi="Times New Roman" w:cs="Times New Roman"/>
          <w:sz w:val="24"/>
          <w:szCs w:val="24"/>
          <w:shd w:val="clear" w:color="auto" w:fill="FFFFFF"/>
          <w:lang w:val="en-US"/>
        </w:rPr>
        <w:t>lawsuits,</w:t>
      </w:r>
      <w:r w:rsidR="00484415" w:rsidRPr="00484415">
        <w:rPr>
          <w:lang w:val="en-US"/>
        </w:rPr>
        <w:t xml:space="preserve"> </w:t>
      </w:r>
      <w:r w:rsidR="00484415">
        <w:rPr>
          <w:rFonts w:ascii="Times New Roman" w:hAnsi="Times New Roman" w:cs="Times New Roman"/>
          <w:sz w:val="24"/>
          <w:szCs w:val="24"/>
          <w:shd w:val="clear" w:color="auto" w:fill="FFFFFF"/>
          <w:lang w:val="en-US"/>
        </w:rPr>
        <w:t>f</w:t>
      </w:r>
      <w:r w:rsidR="00484415" w:rsidRPr="00484415">
        <w:rPr>
          <w:rFonts w:ascii="Times New Roman" w:hAnsi="Times New Roman" w:cs="Times New Roman"/>
          <w:sz w:val="24"/>
          <w:szCs w:val="24"/>
          <w:shd w:val="clear" w:color="auto" w:fill="FFFFFF"/>
          <w:lang w:val="en-US"/>
        </w:rPr>
        <w:t xml:space="preserve">inancial </w:t>
      </w:r>
      <w:r w:rsidR="00783C36" w:rsidRPr="003E316A">
        <w:rPr>
          <w:rFonts w:ascii="Times New Roman" w:hAnsi="Times New Roman" w:cs="Times New Roman"/>
          <w:sz w:val="24"/>
          <w:szCs w:val="24"/>
          <w:shd w:val="clear" w:color="auto" w:fill="FFFFFF"/>
          <w:lang w:val="en-US"/>
        </w:rPr>
        <w:t xml:space="preserve"> losses</w:t>
      </w:r>
      <w:r w:rsidR="006B1D4E">
        <w:rPr>
          <w:rFonts w:ascii="Times New Roman" w:hAnsi="Times New Roman" w:cs="Times New Roman"/>
          <w:sz w:val="24"/>
          <w:szCs w:val="24"/>
          <w:shd w:val="clear" w:color="auto" w:fill="FFFFFF"/>
          <w:lang w:val="en-US"/>
        </w:rPr>
        <w:t>.</w:t>
      </w:r>
    </w:p>
    <w:p w14:paraId="3D197B5A" w14:textId="77777777" w:rsidR="006B1D4E" w:rsidRDefault="006B1D4E" w:rsidP="006B1D4E">
      <w:pPr>
        <w:spacing w:line="240" w:lineRule="auto"/>
        <w:ind w:left="709"/>
        <w:jc w:val="both"/>
        <w:rPr>
          <w:rFonts w:ascii="Times New Roman" w:hAnsi="Times New Roman" w:cs="Times New Roman"/>
          <w:sz w:val="24"/>
          <w:szCs w:val="24"/>
          <w:shd w:val="clear" w:color="auto" w:fill="FFFFFF"/>
          <w:lang w:val="en-US"/>
        </w:rPr>
      </w:pPr>
    </w:p>
    <w:p w14:paraId="23B85B0D" w14:textId="009B9266" w:rsidR="00A55D6E" w:rsidRPr="00BB28AD" w:rsidRDefault="00BB28AD" w:rsidP="00A55D6E">
      <w:pPr>
        <w:spacing w:line="240" w:lineRule="auto"/>
        <w:ind w:left="709"/>
        <w:jc w:val="both"/>
        <w:rPr>
          <w:rFonts w:ascii="Times New Roman" w:hAnsi="Times New Roman" w:cs="Times New Roman"/>
          <w:sz w:val="24"/>
          <w:szCs w:val="24"/>
          <w:shd w:val="clear" w:color="auto" w:fill="FFFFFF"/>
          <w:lang w:val="en-US"/>
        </w:rPr>
      </w:pPr>
      <w:r w:rsidRPr="00BB28AD">
        <w:rPr>
          <w:rFonts w:ascii="Times New Roman" w:hAnsi="Times New Roman" w:cs="Times New Roman"/>
          <w:sz w:val="24"/>
          <w:szCs w:val="24"/>
          <w:shd w:val="clear" w:color="auto" w:fill="FFFFFF"/>
          <w:lang w:val="en-US"/>
        </w:rPr>
        <w:t>Authors' Information:</w:t>
      </w:r>
    </w:p>
    <w:p w14:paraId="75AE5ECC" w14:textId="421973DE" w:rsidR="00A55D6E" w:rsidRPr="00A55D6E" w:rsidRDefault="00A55D6E" w:rsidP="00A55D6E">
      <w:pPr>
        <w:spacing w:line="240" w:lineRule="auto"/>
        <w:ind w:left="709"/>
        <w:jc w:val="both"/>
        <w:rPr>
          <w:rFonts w:ascii="Times New Roman" w:hAnsi="Times New Roman" w:cs="Times New Roman"/>
          <w:sz w:val="24"/>
          <w:szCs w:val="24"/>
          <w:shd w:val="clear" w:color="auto" w:fill="FFFFFF"/>
          <w:lang w:val="en-US"/>
        </w:rPr>
      </w:pPr>
      <w:r w:rsidRPr="00A55D6E">
        <w:rPr>
          <w:rFonts w:ascii="Times New Roman" w:hAnsi="Times New Roman" w:cs="Times New Roman"/>
          <w:sz w:val="24"/>
          <w:szCs w:val="24"/>
          <w:shd w:val="clear" w:color="auto" w:fill="FFFFFF"/>
          <w:lang w:val="en-US"/>
        </w:rPr>
        <w:t>Motygullina S</w:t>
      </w:r>
      <w:r w:rsidR="00534B1D">
        <w:rPr>
          <w:rFonts w:ascii="Times New Roman" w:hAnsi="Times New Roman" w:cs="Times New Roman"/>
          <w:sz w:val="24"/>
          <w:szCs w:val="24"/>
          <w:shd w:val="clear" w:color="auto" w:fill="FFFFFF"/>
          <w:lang w:val="en-US"/>
        </w:rPr>
        <w:t xml:space="preserve">amira Maratovna </w:t>
      </w:r>
      <w:bookmarkStart w:id="3" w:name="_Hlk198243203"/>
      <w:r w:rsidR="00534B1D">
        <w:rPr>
          <w:rFonts w:ascii="Times New Roman" w:hAnsi="Times New Roman" w:cs="Times New Roman"/>
          <w:sz w:val="24"/>
          <w:szCs w:val="24"/>
          <w:shd w:val="clear" w:color="auto" w:fill="FFFFFF"/>
          <w:lang w:val="en-US"/>
        </w:rPr>
        <w:t>(</w:t>
      </w:r>
      <w:r w:rsidR="00133056">
        <w:rPr>
          <w:rFonts w:ascii="Times New Roman" w:hAnsi="Times New Roman" w:cs="Times New Roman"/>
          <w:sz w:val="24"/>
          <w:szCs w:val="24"/>
          <w:shd w:val="clear" w:color="auto" w:fill="FFFFFF"/>
          <w:lang w:val="en-US"/>
        </w:rPr>
        <w:t>Russ</w:t>
      </w:r>
      <w:r w:rsidR="00940B51">
        <w:rPr>
          <w:rFonts w:ascii="Times New Roman" w:hAnsi="Times New Roman" w:cs="Times New Roman"/>
          <w:sz w:val="24"/>
          <w:szCs w:val="24"/>
          <w:shd w:val="clear" w:color="auto" w:fill="FFFFFF"/>
          <w:lang w:val="en-US"/>
        </w:rPr>
        <w:t>ian Fe</w:t>
      </w:r>
      <w:r w:rsidR="00235DCE">
        <w:rPr>
          <w:rFonts w:ascii="Times New Roman" w:hAnsi="Times New Roman" w:cs="Times New Roman"/>
          <w:sz w:val="24"/>
          <w:szCs w:val="24"/>
          <w:shd w:val="clear" w:color="auto" w:fill="FFFFFF"/>
          <w:lang w:val="en-US"/>
        </w:rPr>
        <w:t>deration</w:t>
      </w:r>
      <w:r w:rsidR="00133056">
        <w:rPr>
          <w:rFonts w:ascii="Times New Roman" w:hAnsi="Times New Roman" w:cs="Times New Roman"/>
          <w:sz w:val="24"/>
          <w:szCs w:val="24"/>
          <w:shd w:val="clear" w:color="auto" w:fill="FFFFFF"/>
          <w:lang w:val="en-US"/>
        </w:rPr>
        <w:t>, Ka</w:t>
      </w:r>
      <w:r w:rsidR="00940B51">
        <w:rPr>
          <w:rFonts w:ascii="Times New Roman" w:hAnsi="Times New Roman" w:cs="Times New Roman"/>
          <w:sz w:val="24"/>
          <w:szCs w:val="24"/>
          <w:shd w:val="clear" w:color="auto" w:fill="FFFFFF"/>
          <w:lang w:val="en-US"/>
        </w:rPr>
        <w:t>zan)</w:t>
      </w:r>
      <w:r w:rsidR="00235DCE">
        <w:rPr>
          <w:rFonts w:ascii="Times New Roman" w:hAnsi="Times New Roman" w:cs="Times New Roman"/>
          <w:sz w:val="24"/>
          <w:szCs w:val="24"/>
          <w:shd w:val="clear" w:color="auto" w:fill="FFFFFF"/>
          <w:lang w:val="en-US"/>
        </w:rPr>
        <w:t xml:space="preserve">- </w:t>
      </w:r>
      <w:r w:rsidR="00AB13A3" w:rsidRPr="00AB13A3">
        <w:rPr>
          <w:rFonts w:ascii="Times New Roman" w:hAnsi="Times New Roman" w:cs="Times New Roman"/>
          <w:sz w:val="24"/>
          <w:szCs w:val="24"/>
          <w:shd w:val="clear" w:color="auto" w:fill="FFFFFF"/>
          <w:lang w:val="en-US"/>
        </w:rPr>
        <w:t>Kazan Federal University Bachelor's Student in</w:t>
      </w:r>
      <w:r w:rsidR="00596522" w:rsidRPr="00596522">
        <w:rPr>
          <w:rFonts w:ascii="Times New Roman" w:hAnsi="Times New Roman" w:cs="Times New Roman"/>
          <w:sz w:val="24"/>
          <w:szCs w:val="24"/>
          <w:shd w:val="clear" w:color="auto" w:fill="FFFFFF"/>
          <w:lang w:val="en-US"/>
        </w:rPr>
        <w:t xml:space="preserve"> </w:t>
      </w:r>
      <w:r w:rsidRPr="00A55D6E">
        <w:rPr>
          <w:rFonts w:ascii="Times New Roman" w:hAnsi="Times New Roman" w:cs="Times New Roman"/>
          <w:sz w:val="24"/>
          <w:szCs w:val="24"/>
          <w:shd w:val="clear" w:color="auto" w:fill="FFFFFF"/>
          <w:lang w:val="en-US"/>
        </w:rPr>
        <w:t>Institute of Management, Economics and Finance</w:t>
      </w:r>
      <w:r w:rsidR="00596522" w:rsidRPr="00596522">
        <w:rPr>
          <w:rFonts w:ascii="Times New Roman" w:hAnsi="Times New Roman" w:cs="Times New Roman"/>
          <w:sz w:val="24"/>
          <w:szCs w:val="24"/>
          <w:shd w:val="clear" w:color="auto" w:fill="FFFFFF"/>
          <w:lang w:val="en-US"/>
        </w:rPr>
        <w:t xml:space="preserve"> (</w:t>
      </w:r>
      <w:r w:rsidR="00E9607C" w:rsidRPr="00E9607C">
        <w:rPr>
          <w:rFonts w:ascii="Times New Roman" w:hAnsi="Times New Roman" w:cs="Times New Roman"/>
          <w:sz w:val="24"/>
          <w:szCs w:val="24"/>
          <w:shd w:val="clear" w:color="auto" w:fill="FFFFFF"/>
          <w:lang w:val="en-US"/>
        </w:rPr>
        <w:t>Butlerova St.,4</w:t>
      </w:r>
      <w:r w:rsidR="00371007" w:rsidRPr="00371007">
        <w:rPr>
          <w:rFonts w:ascii="Times New Roman" w:hAnsi="Times New Roman" w:cs="Times New Roman"/>
          <w:sz w:val="24"/>
          <w:szCs w:val="24"/>
          <w:shd w:val="clear" w:color="auto" w:fill="FFFFFF"/>
          <w:lang w:val="en-US"/>
        </w:rPr>
        <w:t xml:space="preserve">; </w:t>
      </w:r>
      <w:r w:rsidRPr="00A55D6E">
        <w:rPr>
          <w:rFonts w:ascii="Times New Roman" w:hAnsi="Times New Roman" w:cs="Times New Roman"/>
          <w:sz w:val="24"/>
          <w:szCs w:val="24"/>
          <w:shd w:val="clear" w:color="auto" w:fill="FFFFFF"/>
          <w:lang w:val="en-US"/>
        </w:rPr>
        <w:t xml:space="preserve">Email: </w:t>
      </w:r>
      <w:bookmarkEnd w:id="3"/>
      <w:r w:rsidRPr="00A55D6E">
        <w:rPr>
          <w:rFonts w:ascii="Times New Roman" w:hAnsi="Times New Roman" w:cs="Times New Roman"/>
          <w:sz w:val="24"/>
          <w:szCs w:val="24"/>
          <w:shd w:val="clear" w:color="auto" w:fill="FFFFFF"/>
          <w:lang w:val="en-US"/>
        </w:rPr>
        <w:t>samiram2005@yandex.ru</w:t>
      </w:r>
      <w:r w:rsidR="00371007" w:rsidRPr="00371007">
        <w:rPr>
          <w:rFonts w:ascii="Times New Roman" w:hAnsi="Times New Roman" w:cs="Times New Roman"/>
          <w:sz w:val="24"/>
          <w:szCs w:val="24"/>
          <w:shd w:val="clear" w:color="auto" w:fill="FFFFFF"/>
          <w:lang w:val="en-US"/>
        </w:rPr>
        <w:t>)</w:t>
      </w:r>
    </w:p>
    <w:p w14:paraId="6BCE18DA" w14:textId="7944DC7E" w:rsidR="006B1D4E" w:rsidRDefault="00BA29B1" w:rsidP="00A55D6E">
      <w:pPr>
        <w:spacing w:line="240" w:lineRule="auto"/>
        <w:ind w:left="709"/>
        <w:jc w:val="both"/>
        <w:rPr>
          <w:rFonts w:ascii="Times New Roman" w:hAnsi="Times New Roman" w:cs="Times New Roman"/>
          <w:sz w:val="24"/>
          <w:szCs w:val="24"/>
          <w:shd w:val="clear" w:color="auto" w:fill="FFFFFF"/>
          <w:lang w:val="en-US"/>
        </w:rPr>
      </w:pPr>
      <w:r w:rsidRPr="00BA29B1">
        <w:rPr>
          <w:rFonts w:ascii="Times New Roman" w:hAnsi="Times New Roman" w:cs="Times New Roman"/>
          <w:sz w:val="24"/>
          <w:szCs w:val="24"/>
          <w:shd w:val="clear" w:color="auto" w:fill="FFFFFF"/>
          <w:lang w:val="en-US"/>
        </w:rPr>
        <w:t>Kashapova Dina Raisovna (Russian Federation, Kazan)- Kazan Federal University Bachelor's Student in Institute of Management, Economics and Finance (Butlerova St.,4; Email:</w:t>
      </w:r>
      <w:r w:rsidR="00AC4678" w:rsidRPr="00AC4678">
        <w:rPr>
          <w:rFonts w:ascii="Times New Roman" w:hAnsi="Times New Roman" w:cs="Times New Roman"/>
          <w:sz w:val="24"/>
          <w:szCs w:val="24"/>
          <w:shd w:val="clear" w:color="auto" w:fill="FFFFFF"/>
          <w:lang w:val="en-US"/>
        </w:rPr>
        <w:t xml:space="preserve"> </w:t>
      </w:r>
      <w:hyperlink r:id="rId6" w:history="1">
        <w:r w:rsidR="00AC4678" w:rsidRPr="00C12BD5">
          <w:rPr>
            <w:rStyle w:val="a4"/>
            <w:rFonts w:ascii="Times New Roman" w:hAnsi="Times New Roman" w:cs="Times New Roman"/>
            <w:sz w:val="24"/>
            <w:szCs w:val="24"/>
            <w:shd w:val="clear" w:color="auto" w:fill="FFFFFF"/>
            <w:lang w:val="en-US"/>
          </w:rPr>
          <w:t>dina.kashapova22@yandex.ru</w:t>
        </w:r>
      </w:hyperlink>
      <w:r w:rsidR="00AC4678" w:rsidRPr="00AC4678">
        <w:rPr>
          <w:rFonts w:ascii="Times New Roman" w:hAnsi="Times New Roman" w:cs="Times New Roman"/>
          <w:sz w:val="24"/>
          <w:szCs w:val="24"/>
          <w:shd w:val="clear" w:color="auto" w:fill="FFFFFF"/>
          <w:lang w:val="en-US"/>
        </w:rPr>
        <w:t>)</w:t>
      </w:r>
    </w:p>
    <w:p w14:paraId="39334F50" w14:textId="77777777" w:rsidR="00AC4678" w:rsidRDefault="00AC4678" w:rsidP="00A55D6E">
      <w:pPr>
        <w:spacing w:line="240" w:lineRule="auto"/>
        <w:ind w:left="709"/>
        <w:jc w:val="both"/>
        <w:rPr>
          <w:rFonts w:ascii="Times New Roman" w:hAnsi="Times New Roman" w:cs="Times New Roman"/>
          <w:sz w:val="24"/>
          <w:szCs w:val="24"/>
          <w:shd w:val="clear" w:color="auto" w:fill="FFFFFF"/>
          <w:lang w:val="en-US"/>
        </w:rPr>
      </w:pPr>
    </w:p>
    <w:p w14:paraId="5144BDFD" w14:textId="77777777" w:rsidR="00837A3B" w:rsidRPr="00837A3B" w:rsidRDefault="00837A3B" w:rsidP="00837A3B">
      <w:pPr>
        <w:spacing w:line="240" w:lineRule="auto"/>
        <w:ind w:left="709"/>
        <w:jc w:val="both"/>
        <w:rPr>
          <w:rFonts w:ascii="Times New Roman" w:hAnsi="Times New Roman" w:cs="Times New Roman"/>
          <w:sz w:val="24"/>
          <w:szCs w:val="24"/>
          <w:shd w:val="clear" w:color="auto" w:fill="FFFFFF"/>
          <w:lang w:val="en-US"/>
        </w:rPr>
      </w:pPr>
      <w:r w:rsidRPr="00837A3B">
        <w:rPr>
          <w:rFonts w:ascii="Times New Roman" w:hAnsi="Times New Roman" w:cs="Times New Roman"/>
          <w:sz w:val="24"/>
          <w:szCs w:val="24"/>
          <w:shd w:val="clear" w:color="auto" w:fill="FFFFFF"/>
          <w:lang w:val="en-US"/>
        </w:rPr>
        <w:t>References:</w:t>
      </w:r>
    </w:p>
    <w:p w14:paraId="45DC66AC" w14:textId="4A532C36" w:rsidR="00837A3B" w:rsidRPr="00837A3B" w:rsidRDefault="00837A3B" w:rsidP="00837A3B">
      <w:pPr>
        <w:pStyle w:val="a5"/>
        <w:numPr>
          <w:ilvl w:val="0"/>
          <w:numId w:val="15"/>
        </w:numPr>
        <w:spacing w:line="240" w:lineRule="auto"/>
        <w:jc w:val="both"/>
        <w:rPr>
          <w:rFonts w:ascii="Times New Roman" w:hAnsi="Times New Roman" w:cs="Times New Roman"/>
          <w:sz w:val="24"/>
          <w:szCs w:val="24"/>
          <w:shd w:val="clear" w:color="auto" w:fill="FFFFFF"/>
          <w:lang w:val="en-US"/>
        </w:rPr>
      </w:pPr>
      <w:r w:rsidRPr="00837A3B">
        <w:rPr>
          <w:rFonts w:ascii="Times New Roman" w:hAnsi="Times New Roman" w:cs="Times New Roman"/>
          <w:sz w:val="24"/>
          <w:szCs w:val="24"/>
          <w:shd w:val="clear" w:color="auto" w:fill="FFFFFF"/>
          <w:lang w:val="en-US"/>
        </w:rPr>
        <w:t xml:space="preserve">Law of the Russian Federation "On Protection of Consumer Rights" </w:t>
      </w:r>
    </w:p>
    <w:p w14:paraId="4C69C1A1" w14:textId="7F8B6255" w:rsidR="00837A3B" w:rsidRPr="00837A3B" w:rsidRDefault="00837A3B" w:rsidP="00837A3B">
      <w:pPr>
        <w:pStyle w:val="a5"/>
        <w:numPr>
          <w:ilvl w:val="0"/>
          <w:numId w:val="15"/>
        </w:numPr>
        <w:spacing w:line="240" w:lineRule="auto"/>
        <w:jc w:val="both"/>
        <w:rPr>
          <w:rFonts w:ascii="Times New Roman" w:hAnsi="Times New Roman" w:cs="Times New Roman"/>
          <w:sz w:val="24"/>
          <w:szCs w:val="24"/>
          <w:shd w:val="clear" w:color="auto" w:fill="FFFFFF"/>
          <w:lang w:val="en-US"/>
        </w:rPr>
      </w:pPr>
      <w:r w:rsidRPr="00837A3B">
        <w:rPr>
          <w:rFonts w:ascii="Times New Roman" w:hAnsi="Times New Roman" w:cs="Times New Roman"/>
          <w:sz w:val="24"/>
          <w:szCs w:val="24"/>
          <w:shd w:val="clear" w:color="auto" w:fill="FFFFFF"/>
          <w:lang w:val="en-US"/>
        </w:rPr>
        <w:t xml:space="preserve">Civil Law. Ed. by A.P. Sergeev, Yu.K. </w:t>
      </w:r>
    </w:p>
    <w:p w14:paraId="5CF6D840" w14:textId="77777777" w:rsidR="009F64B5" w:rsidRDefault="00837A3B" w:rsidP="009F64B5">
      <w:pPr>
        <w:pStyle w:val="a5"/>
        <w:numPr>
          <w:ilvl w:val="0"/>
          <w:numId w:val="15"/>
        </w:numPr>
        <w:spacing w:line="240" w:lineRule="auto"/>
        <w:jc w:val="both"/>
        <w:rPr>
          <w:rFonts w:ascii="Times New Roman" w:hAnsi="Times New Roman" w:cs="Times New Roman"/>
          <w:sz w:val="24"/>
          <w:szCs w:val="24"/>
          <w:shd w:val="clear" w:color="auto" w:fill="FFFFFF"/>
          <w:lang w:val="en-US"/>
        </w:rPr>
      </w:pPr>
      <w:r w:rsidRPr="00837A3B">
        <w:rPr>
          <w:rFonts w:ascii="Times New Roman" w:hAnsi="Times New Roman" w:cs="Times New Roman"/>
          <w:sz w:val="24"/>
          <w:szCs w:val="24"/>
          <w:shd w:val="clear" w:color="auto" w:fill="FFFFFF"/>
          <w:lang w:val="en-US"/>
        </w:rPr>
        <w:t xml:space="preserve">Pelikh A.S., Barannikov V.I. Economics of Small Business </w:t>
      </w:r>
    </w:p>
    <w:p w14:paraId="66EF0F65" w14:textId="05565B3D" w:rsidR="00AC4678" w:rsidRPr="009F64B5" w:rsidRDefault="00837A3B" w:rsidP="009F64B5">
      <w:pPr>
        <w:pStyle w:val="a5"/>
        <w:numPr>
          <w:ilvl w:val="0"/>
          <w:numId w:val="15"/>
        </w:numPr>
        <w:spacing w:line="240" w:lineRule="auto"/>
        <w:jc w:val="both"/>
        <w:rPr>
          <w:rFonts w:ascii="Times New Roman" w:hAnsi="Times New Roman" w:cs="Times New Roman"/>
          <w:sz w:val="24"/>
          <w:szCs w:val="24"/>
          <w:shd w:val="clear" w:color="auto" w:fill="FFFFFF"/>
          <w:lang w:val="en-US"/>
        </w:rPr>
      </w:pPr>
      <w:r w:rsidRPr="009F64B5">
        <w:rPr>
          <w:rFonts w:ascii="Times New Roman" w:hAnsi="Times New Roman" w:cs="Times New Roman"/>
          <w:sz w:val="24"/>
          <w:szCs w:val="24"/>
          <w:shd w:val="clear" w:color="auto" w:fill="FFFFFF"/>
          <w:lang w:val="en-US"/>
        </w:rPr>
        <w:t xml:space="preserve">Official Reports of the Association of Retail Companies (AKRT) </w:t>
      </w:r>
    </w:p>
    <w:sectPr w:rsidR="00AC4678" w:rsidRPr="009F64B5" w:rsidSect="007449F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677DE"/>
    <w:multiLevelType w:val="multilevel"/>
    <w:tmpl w:val="99EEC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F01AF2"/>
    <w:multiLevelType w:val="multilevel"/>
    <w:tmpl w:val="E2602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0C7533"/>
    <w:multiLevelType w:val="multilevel"/>
    <w:tmpl w:val="12DAB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5A57EB"/>
    <w:multiLevelType w:val="multilevel"/>
    <w:tmpl w:val="16589D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4379E0"/>
    <w:multiLevelType w:val="multilevel"/>
    <w:tmpl w:val="C6E27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771866"/>
    <w:multiLevelType w:val="hybridMultilevel"/>
    <w:tmpl w:val="DCF8ACAA"/>
    <w:lvl w:ilvl="0" w:tplc="9FFC08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063069E"/>
    <w:multiLevelType w:val="multilevel"/>
    <w:tmpl w:val="2370C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2C2607D"/>
    <w:multiLevelType w:val="multilevel"/>
    <w:tmpl w:val="D9124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E196DC6"/>
    <w:multiLevelType w:val="multilevel"/>
    <w:tmpl w:val="2C287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C23BF7"/>
    <w:multiLevelType w:val="multilevel"/>
    <w:tmpl w:val="5EE05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4F92053"/>
    <w:multiLevelType w:val="hybridMultilevel"/>
    <w:tmpl w:val="7AC8C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BD374C3"/>
    <w:multiLevelType w:val="multilevel"/>
    <w:tmpl w:val="41863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CE8579C"/>
    <w:multiLevelType w:val="hybridMultilevel"/>
    <w:tmpl w:val="D5EA197E"/>
    <w:lvl w:ilvl="0" w:tplc="C4FC9F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E131461"/>
    <w:multiLevelType w:val="multilevel"/>
    <w:tmpl w:val="07161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BA65F5C"/>
    <w:multiLevelType w:val="multilevel"/>
    <w:tmpl w:val="1CECF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7"/>
  </w:num>
  <w:num w:numId="3">
    <w:abstractNumId w:val="8"/>
  </w:num>
  <w:num w:numId="4">
    <w:abstractNumId w:val="2"/>
  </w:num>
  <w:num w:numId="5">
    <w:abstractNumId w:val="3"/>
  </w:num>
  <w:num w:numId="6">
    <w:abstractNumId w:val="9"/>
  </w:num>
  <w:num w:numId="7">
    <w:abstractNumId w:val="13"/>
  </w:num>
  <w:num w:numId="8">
    <w:abstractNumId w:val="6"/>
  </w:num>
  <w:num w:numId="9">
    <w:abstractNumId w:val="11"/>
  </w:num>
  <w:num w:numId="10">
    <w:abstractNumId w:val="4"/>
  </w:num>
  <w:num w:numId="11">
    <w:abstractNumId w:val="10"/>
  </w:num>
  <w:num w:numId="12">
    <w:abstractNumId w:val="0"/>
  </w:num>
  <w:num w:numId="13">
    <w:abstractNumId w:val="14"/>
  </w:num>
  <w:num w:numId="14">
    <w:abstractNumId w:val="5"/>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A13"/>
    <w:rsid w:val="000200B3"/>
    <w:rsid w:val="0002329C"/>
    <w:rsid w:val="00046D78"/>
    <w:rsid w:val="00083DD0"/>
    <w:rsid w:val="000E7BE1"/>
    <w:rsid w:val="00114E03"/>
    <w:rsid w:val="00133056"/>
    <w:rsid w:val="001B1867"/>
    <w:rsid w:val="001C2128"/>
    <w:rsid w:val="001C43AD"/>
    <w:rsid w:val="00210351"/>
    <w:rsid w:val="00235DCE"/>
    <w:rsid w:val="00283B2F"/>
    <w:rsid w:val="00284566"/>
    <w:rsid w:val="002951CD"/>
    <w:rsid w:val="002C3473"/>
    <w:rsid w:val="002D346A"/>
    <w:rsid w:val="003020C5"/>
    <w:rsid w:val="00331687"/>
    <w:rsid w:val="003566FF"/>
    <w:rsid w:val="00366D1B"/>
    <w:rsid w:val="00371007"/>
    <w:rsid w:val="003840D7"/>
    <w:rsid w:val="003A2BFA"/>
    <w:rsid w:val="003E316A"/>
    <w:rsid w:val="003E3B16"/>
    <w:rsid w:val="003F2CBE"/>
    <w:rsid w:val="004657C8"/>
    <w:rsid w:val="00484415"/>
    <w:rsid w:val="004A743D"/>
    <w:rsid w:val="004F0E34"/>
    <w:rsid w:val="00530516"/>
    <w:rsid w:val="00534B1D"/>
    <w:rsid w:val="00546DC2"/>
    <w:rsid w:val="00547E25"/>
    <w:rsid w:val="00552110"/>
    <w:rsid w:val="005761C0"/>
    <w:rsid w:val="00596522"/>
    <w:rsid w:val="005A1863"/>
    <w:rsid w:val="005E2E35"/>
    <w:rsid w:val="005E7839"/>
    <w:rsid w:val="00635080"/>
    <w:rsid w:val="00637020"/>
    <w:rsid w:val="0066764C"/>
    <w:rsid w:val="00693C7C"/>
    <w:rsid w:val="006B1D4E"/>
    <w:rsid w:val="006B7B20"/>
    <w:rsid w:val="006E4FEF"/>
    <w:rsid w:val="006F7A13"/>
    <w:rsid w:val="00701C6C"/>
    <w:rsid w:val="0070344C"/>
    <w:rsid w:val="00704015"/>
    <w:rsid w:val="0071632B"/>
    <w:rsid w:val="007449F9"/>
    <w:rsid w:val="00756996"/>
    <w:rsid w:val="00776892"/>
    <w:rsid w:val="00783C36"/>
    <w:rsid w:val="00785CBE"/>
    <w:rsid w:val="007B1B57"/>
    <w:rsid w:val="007C3D7C"/>
    <w:rsid w:val="007C70C2"/>
    <w:rsid w:val="007E308C"/>
    <w:rsid w:val="007F60A2"/>
    <w:rsid w:val="00837A3B"/>
    <w:rsid w:val="0084214D"/>
    <w:rsid w:val="00876E99"/>
    <w:rsid w:val="008C4FB6"/>
    <w:rsid w:val="0091402D"/>
    <w:rsid w:val="00940B51"/>
    <w:rsid w:val="009458C2"/>
    <w:rsid w:val="009556D6"/>
    <w:rsid w:val="00973812"/>
    <w:rsid w:val="00974BB2"/>
    <w:rsid w:val="0097758B"/>
    <w:rsid w:val="009A13EF"/>
    <w:rsid w:val="009C1CF1"/>
    <w:rsid w:val="009F64B5"/>
    <w:rsid w:val="00A53476"/>
    <w:rsid w:val="00A55D6E"/>
    <w:rsid w:val="00A63F7E"/>
    <w:rsid w:val="00AB13A3"/>
    <w:rsid w:val="00AC4678"/>
    <w:rsid w:val="00AD271B"/>
    <w:rsid w:val="00B01247"/>
    <w:rsid w:val="00B21030"/>
    <w:rsid w:val="00B51057"/>
    <w:rsid w:val="00BA21ED"/>
    <w:rsid w:val="00BA29B1"/>
    <w:rsid w:val="00BB28AD"/>
    <w:rsid w:val="00BB38CC"/>
    <w:rsid w:val="00BE41E7"/>
    <w:rsid w:val="00BE77B7"/>
    <w:rsid w:val="00C103A9"/>
    <w:rsid w:val="00C570B5"/>
    <w:rsid w:val="00CA0FBA"/>
    <w:rsid w:val="00CD7997"/>
    <w:rsid w:val="00DA51BC"/>
    <w:rsid w:val="00E110AC"/>
    <w:rsid w:val="00E12DB6"/>
    <w:rsid w:val="00E15D51"/>
    <w:rsid w:val="00E4456E"/>
    <w:rsid w:val="00E52F8E"/>
    <w:rsid w:val="00E53FC8"/>
    <w:rsid w:val="00E82B89"/>
    <w:rsid w:val="00E9607C"/>
    <w:rsid w:val="00EA01C6"/>
    <w:rsid w:val="00ED4B90"/>
    <w:rsid w:val="00F2348E"/>
    <w:rsid w:val="00F24D93"/>
    <w:rsid w:val="00F41CD0"/>
    <w:rsid w:val="00F8083A"/>
    <w:rsid w:val="00FD2BB6"/>
    <w:rsid w:val="00FE58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523D1"/>
  <w15:chartTrackingRefBased/>
  <w15:docId w15:val="{48163214-E440-4541-8E64-7F7896F34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3C7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0344C"/>
    <w:rPr>
      <w:b/>
      <w:bCs/>
    </w:rPr>
  </w:style>
  <w:style w:type="character" w:styleId="a4">
    <w:name w:val="Hyperlink"/>
    <w:basedOn w:val="a0"/>
    <w:uiPriority w:val="99"/>
    <w:unhideWhenUsed/>
    <w:rsid w:val="0070344C"/>
    <w:rPr>
      <w:color w:val="0000FF"/>
      <w:u w:val="single"/>
    </w:rPr>
  </w:style>
  <w:style w:type="paragraph" w:styleId="a5">
    <w:name w:val="List Paragraph"/>
    <w:basedOn w:val="a"/>
    <w:uiPriority w:val="34"/>
    <w:qFormat/>
    <w:rsid w:val="00A53476"/>
    <w:pPr>
      <w:ind w:left="720"/>
      <w:contextualSpacing/>
    </w:pPr>
  </w:style>
  <w:style w:type="character" w:styleId="a6">
    <w:name w:val="Unresolved Mention"/>
    <w:basedOn w:val="a0"/>
    <w:uiPriority w:val="99"/>
    <w:semiHidden/>
    <w:unhideWhenUsed/>
    <w:rsid w:val="00530516"/>
    <w:rPr>
      <w:color w:val="605E5C"/>
      <w:shd w:val="clear" w:color="auto" w:fill="E1DFDD"/>
    </w:rPr>
  </w:style>
  <w:style w:type="paragraph" w:customStyle="1" w:styleId="ds-markdown-paragraph">
    <w:name w:val="ds-markdown-paragraph"/>
    <w:basedOn w:val="a"/>
    <w:rsid w:val="005A186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661621">
      <w:bodyDiv w:val="1"/>
      <w:marLeft w:val="0"/>
      <w:marRight w:val="0"/>
      <w:marTop w:val="0"/>
      <w:marBottom w:val="0"/>
      <w:divBdr>
        <w:top w:val="none" w:sz="0" w:space="0" w:color="auto"/>
        <w:left w:val="none" w:sz="0" w:space="0" w:color="auto"/>
        <w:bottom w:val="none" w:sz="0" w:space="0" w:color="auto"/>
        <w:right w:val="none" w:sz="0" w:space="0" w:color="auto"/>
      </w:divBdr>
    </w:div>
    <w:div w:id="623510245">
      <w:bodyDiv w:val="1"/>
      <w:marLeft w:val="0"/>
      <w:marRight w:val="0"/>
      <w:marTop w:val="0"/>
      <w:marBottom w:val="0"/>
      <w:divBdr>
        <w:top w:val="none" w:sz="0" w:space="0" w:color="auto"/>
        <w:left w:val="none" w:sz="0" w:space="0" w:color="auto"/>
        <w:bottom w:val="none" w:sz="0" w:space="0" w:color="auto"/>
        <w:right w:val="none" w:sz="0" w:space="0" w:color="auto"/>
      </w:divBdr>
    </w:div>
    <w:div w:id="954406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ina.kashapova22@yandex.ru" TargetMode="External"/><Relationship Id="rId5" Type="http://schemas.openxmlformats.org/officeDocument/2006/relationships/hyperlink" Target="mailto:dina.kashapova22@yandex.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TotalTime>
  <Pages>5</Pages>
  <Words>1880</Words>
  <Characters>10716</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Самира Мотыгуллина</dc:creator>
  <cp:keywords/>
  <dc:description/>
  <cp:lastModifiedBy>Самира Мотыгуллина</cp:lastModifiedBy>
  <cp:revision>109</cp:revision>
  <dcterms:created xsi:type="dcterms:W3CDTF">2025-04-08T17:18:00Z</dcterms:created>
  <dcterms:modified xsi:type="dcterms:W3CDTF">2025-05-15T21:23:00Z</dcterms:modified>
</cp:coreProperties>
</file>