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823" w:rsidRPr="002E1784" w:rsidRDefault="00EF0823" w:rsidP="005332D5">
      <w:pPr>
        <w:spacing w:after="0" w:line="240" w:lineRule="auto"/>
        <w:ind w:left="-540" w:firstLine="540"/>
        <w:contextualSpacing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91589">
        <w:rPr>
          <w:rFonts w:ascii="Times New Roman" w:eastAsia="Times New Roman" w:hAnsi="Times New Roman" w:cs="Times New Roman"/>
          <w:b/>
          <w:sz w:val="24"/>
          <w:lang w:eastAsia="ru-RU"/>
        </w:rPr>
        <w:t>УДК 658.51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/ББК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091589">
        <w:rPr>
          <w:rFonts w:ascii="Times New Roman" w:eastAsia="Times New Roman" w:hAnsi="Times New Roman" w:cs="Times New Roman"/>
          <w:b/>
          <w:sz w:val="24"/>
          <w:lang w:eastAsia="ru-RU"/>
        </w:rPr>
        <w:t>60.82</w:t>
      </w:r>
    </w:p>
    <w:p w:rsidR="00EF0823" w:rsidRPr="002E1784" w:rsidRDefault="00EF0823" w:rsidP="005332D5">
      <w:pPr>
        <w:spacing w:after="0" w:line="240" w:lineRule="auto"/>
        <w:ind w:left="-540" w:firstLine="540"/>
        <w:contextualSpacing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Чубинская М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.В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:rsidR="00EF0823" w:rsidRDefault="00EF0823" w:rsidP="005332D5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F0823">
        <w:rPr>
          <w:rFonts w:ascii="Times New Roman" w:eastAsiaTheme="majorEastAsia" w:hAnsi="Times New Roman" w:cs="Times New Roman"/>
          <w:b/>
          <w:sz w:val="24"/>
          <w:szCs w:val="24"/>
        </w:rPr>
        <w:t>УПРАВЛЕНИЕ РИСКАМИ В ИНВЕСТИЦИОННЫХ ПРОЕКТАХ МАШИНОСТРОИТЕЛЬНОЙ ПРОМЫШЛЕННОСТИ: ИНСТРУМЕНТЫ И МЕТОДЫ ПОВЫШЕНИЯ УСТОЙЧИВОСТИ</w:t>
      </w:r>
    </w:p>
    <w:p w:rsidR="00EF0823" w:rsidRDefault="00EF0823" w:rsidP="005332D5">
      <w:pPr>
        <w:spacing w:after="0" w:line="240" w:lineRule="auto"/>
        <w:ind w:left="-540" w:firstLine="540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F0823" w:rsidRPr="002E1784" w:rsidRDefault="00EF0823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Аннотация: </w:t>
      </w:r>
      <w:r w:rsidR="00C65A1B" w:rsidRPr="00C65A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статье рассматриваются основные виды рисков с учётом региональной специфики и анализируются методы их минимизации, включая стандарты управления, государственную поддержку и страхование. Представлены данные по реализации проектов и влиянию внешних факторов в различных регионах РФ.</w:t>
      </w:r>
    </w:p>
    <w:p w:rsidR="00EF0823" w:rsidRDefault="00EF0823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слова: </w:t>
      </w:r>
      <w:r w:rsidR="00C65A1B" w:rsidRPr="00C65A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инвестиционные проекты, управление рисками, машиностроение, ISO 31000, страхование экспортных рисков, региональные особенности, стратегическое планирование.</w:t>
      </w:r>
    </w:p>
    <w:p w:rsidR="00EF0823" w:rsidRPr="00A82021" w:rsidRDefault="00EF0823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Машиностроение является одной из ключевых отраслей промышленности России, обеспечивающей развитие других секторов экономики — от транспорта до энергетики. В условиях импортозамещения, санкционного давления и изменения внешнеэкономической среды особое значение приобретает модернизация производственных мощностей и реализация новых инвестиционных проектов внутри страны [6].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Однако такие проекты сопряжены с рядом рисков — финансовых, операционных, экологических и геополитических. </w:t>
      </w:r>
      <w:r w:rsidR="005332D5" w:rsidRPr="005332D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Эффективное управление этими факторами становится критически важным для устойчивости и успеха проектов. Особую значимость имеет учет региональной специфики, так как социально-экономические условия, инфраструктура, доступ к трудовым и сырьевым ресурсам варьируются по территории страны [4]. В этой связи необходимо применение адаптированных методов управления рисками, учитывающих отраслевые и территориальные особенности.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Анализ текущих рисков в инвестиционных проектах машиностроительных предприятий</w:t>
      </w:r>
      <w:r w:rsid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Реализация инвестиционных проектов в машиностроении связана с высокой степенью неопределённости. К основным рискам относятся: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Финансовые риски –</w:t>
      </w:r>
      <w:r w:rsid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колебания процентных ставок, ограничения в получении кредитов, </w:t>
      </w:r>
      <w:r w:rsidR="00EF0823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колебания валютных курсов</w:t>
      </w:r>
      <w:r w:rsid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Операционные риски – 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нехватка 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квалифицированных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специалистов,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сбои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логистике, устаревшее оборудование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EF0823" w:rsidRPr="00EF0823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Геополитические риски – 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экспортно-импортные ограничения, санкции, изменения торговой политики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Экологические риски – </w:t>
      </w:r>
      <w:r w:rsidR="00EF0823"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влияние климатических факторов, необходимость соответствия стандартам устойчивого развития [10].</w:t>
      </w:r>
    </w:p>
    <w:p w:rsidR="00112DA7" w:rsidRPr="003F1CBD" w:rsidRDefault="00EF0823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F082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 данным Минпромторга РФ, в 2023 году почти половина машиностроительных предприятий (47%) столкнулась с перебоями в поставках комплектующих из-за замены зарубежных партнеров на отечественных [1]. Это привело к увеличению сроков реализации проектов и дополнительным финансовым затратам.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Методы управления рисками в инвестиционных проектах</w:t>
      </w:r>
      <w:r w:rsidR="006A07BD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Для снижения влияния рисков и повышения устойчивости проектов применяются различные подходы, основанные на принципах стратегического, операционного и проектного управления.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Стандарты управления рисками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Наиболее распространённым подходом является использование междунар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одного стандарта ISO 31000:2018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который предлагает универсальный процесс управления рисками: идентификация, анализ, оценка, реагирование и мониторинг [4]. Этот стандарт способствует созданию системного подхода, позволяющего учитывать риски на всех уровнях управления проектом.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Примером его применения может служить внедрение системы управления рисками на предприятиях «Ростеха», где процессы анализа и минимизации рисков стали частью корпоративной культуры [5].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 Управление рисками на уровне проекта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рамках проектного управления и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спользуется методология PRINCE2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которая предусматривает постоянную оценку рисков на каждом этапе жизненного цикла проекта. Также активно применяется подход PMI (Project Management Institute), предполагающий формализованное описание рисков, их вероятности и воздействия, а также разработку планов реагирования [7].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Например, при реализации инвестиционного проекта по строительству нового завода по выпуску электромобилей в Нижегородской области был внедрён механизм еженедельного анализа рисков, что позволило заранее выявлять потенциальные проблемы в поставках комплектующих и обеспечивать своевременную корректировку графика работ [9].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3. Менеджмент рисков на уровне организации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Внутри компании важно развивать культуру управления рисками, основанную на участии всех уровней руководства и персонала. Это достигается через: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обучение сотрудников;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регулярный аудит рисков;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внедрение KPI, связанных с рисками;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создание специализированных комитетов по управлению рисками.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Согласно исследованиям Александрова Д.А. и Смирнова М.Н., предприятия, которые внедряют практики enterprise risk management (ERM), демонстрируют более высокую устойчивость к внешним шокам [5].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4. Использование страхования и государственной поддержки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Особое место занимает страхова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ние экспортных рисков через АСВ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которое позволяет снизить финансовую нагрузку на предприятия, работающие на международных рынках [8]. Например, в рамках программы поддержки экспорта АСВ предоставляет гарантии исполнения контрактов, особенно в странах с нестабильной политической обстановкой.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Региональные особенности управления рисками в машиностроительной отрасли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Россия характеризуется значительным территориальным разнообразием условий ведения промышленного бизнеса. </w:t>
      </w:r>
      <w:r w:rsidR="00CA5392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</w:t>
      </w:r>
      <w:r w:rsidR="00CA5392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собенности</w:t>
      </w:r>
      <w:r w:rsidR="00CA5392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функционирования промышленных предприятий разных федеральных округов н</w:t>
      </w:r>
      <w:r w:rsidR="00CA5392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а основе анализа данных Росстата и Министерства </w:t>
      </w:r>
      <w:r w:rsidR="00CA5392"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экономического развития приведены в таблице 1. </w:t>
      </w:r>
    </w:p>
    <w:p w:rsidR="00112DA7" w:rsidRPr="003F1CBD" w:rsidRDefault="003F1CBD" w:rsidP="005332D5">
      <w:pPr>
        <w:spacing w:line="240" w:lineRule="auto"/>
        <w:ind w:firstLine="709"/>
        <w:contextualSpacing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Таблица 1</w:t>
      </w:r>
    </w:p>
    <w:p w:rsidR="003F1CBD" w:rsidRPr="003F1CBD" w:rsidRDefault="003F1CBD" w:rsidP="005332D5">
      <w:pPr>
        <w:spacing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Особенности функционирования промышленных предприятий разных федеральных округов</w:t>
      </w: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3210"/>
        <w:gridCol w:w="3210"/>
        <w:gridCol w:w="3208"/>
      </w:tblGrid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Федеральный округ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Преимущества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Основные риски</w:t>
            </w:r>
          </w:p>
        </w:tc>
      </w:tr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Центральный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Высокий уровень инфраструктуры, научно-технический потенциал, близость к столице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Высокая конкуренция, дорогая недвижимость</w:t>
            </w:r>
          </w:p>
        </w:tc>
      </w:tr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Приволжский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Развитая промышленная база, наличие университетов и НИИ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Зависимость от импорта компонентов</w:t>
            </w:r>
          </w:p>
        </w:tc>
      </w:tr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Уральский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Близость к металлургическим и энергетическим ресурсам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Старение оборудования, экологические проблемы</w:t>
            </w:r>
          </w:p>
        </w:tc>
      </w:tr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Сибирский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Обилие природных ресурсов, перспективные площадки для новых заводов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Отдалённость, сложные климатические условия</w:t>
            </w:r>
          </w:p>
        </w:tc>
      </w:tr>
      <w:tr w:rsidR="00CA5392" w:rsidRPr="003F1CBD" w:rsidTr="00112DA7"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Дальневосточный</w:t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Логистический потенциал, доступ к азиатским рынкам</w:t>
            </w: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ab/>
            </w:r>
          </w:p>
        </w:tc>
        <w:tc>
          <w:tcPr>
            <w:tcW w:w="1667" w:type="pct"/>
          </w:tcPr>
          <w:p w:rsidR="00112DA7" w:rsidRPr="003F1CBD" w:rsidRDefault="00112DA7" w:rsidP="005332D5">
            <w:pPr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3F1C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Дефицит кадров, неразвитая инфраструктура</w:t>
            </w:r>
          </w:p>
        </w:tc>
      </w:tr>
    </w:tbl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Например, в Пермском крае успешно развивается авиационное и электромашиностроение благодаря наличию опытных кадров и инфраструктуры. В то же время, в Якутии или Чукотке, несмотря на наличие месторождений полезных ископаемых, реализация инвестиционных проектов затруднена из-за сурового климата и недостатка логистических решений [6].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Управление рисками в инвестиционных проектах машиностроительных предприятий РФ требует комплексного подхода, учитывающего как общие тенденции мировой экономики, так и региональные особенности. Финансовые, операционные и экологические риски остаются ключевыми вызовами, особенно в условиях санкций и изменений внешнеэкономической среды.</w:t>
      </w:r>
    </w:p>
    <w:p w:rsidR="00112DA7" w:rsidRPr="003F1CBD" w:rsidRDefault="00112DA7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Наиболее эффективными мерами повышения устойчивости являются:</w:t>
      </w:r>
    </w:p>
    <w:p w:rsidR="00112DA7" w:rsidRPr="003F1CBD" w:rsidRDefault="00112DA7" w:rsidP="005332D5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использование международных стандартов управления рисками (ISO 31000);</w:t>
      </w:r>
    </w:p>
    <w:p w:rsidR="00112DA7" w:rsidRPr="003F1CBD" w:rsidRDefault="00112DA7" w:rsidP="005332D5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внедрение практик проектного и корпоративного управления рисками;</w:t>
      </w:r>
    </w:p>
    <w:p w:rsidR="00112DA7" w:rsidRPr="003F1CBD" w:rsidRDefault="00112DA7" w:rsidP="005332D5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применение инструментов страхования и хеджирования;</w:t>
      </w:r>
    </w:p>
    <w:p w:rsidR="00112DA7" w:rsidRPr="003F1CBD" w:rsidRDefault="00112DA7" w:rsidP="005332D5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региональная дифференциация стратегий управления рисками;</w:t>
      </w:r>
    </w:p>
    <w:p w:rsidR="00112DA7" w:rsidRPr="003F1CBD" w:rsidRDefault="00112DA7" w:rsidP="005332D5">
      <w:pPr>
        <w:pStyle w:val="a5"/>
        <w:numPr>
          <w:ilvl w:val="0"/>
          <w:numId w:val="5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развитие кадрового потенциала и культуры ответственности за риски.</w:t>
      </w:r>
    </w:p>
    <w:p w:rsidR="00112DA7" w:rsidRPr="003F1CBD" w:rsidRDefault="00112DA7" w:rsidP="005332D5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Успешная реализация инвестиционных проектов в машиностроении возможна только при условии системного подхода к управлению рисками, основанного на актуальных данных, современных методологиях и глубоком понимании региональной специфики.</w:t>
      </w:r>
    </w:p>
    <w:p w:rsidR="00F74DF8" w:rsidRPr="003F1CBD" w:rsidRDefault="00D97C0D" w:rsidP="005332D5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65A1B" w:rsidRPr="00C65A1B" w:rsidRDefault="00C65A1B" w:rsidP="005332D5">
      <w:pPr>
        <w:pStyle w:val="a5"/>
        <w:spacing w:after="0" w:line="240" w:lineRule="auto"/>
        <w:ind w:left="1429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65A1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Библиографический список на русском языке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Министерство промышленности и торговли Российской Федерации. Аналитический обзор состояния машиностроительной отрасли в 2023 году [Электронный ресурс]. – URL: https://minpromtorg.gov.ru (дата обращения: 05.04.2025).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Центральный банк Российской Федерации. Отчет о денежно-кредитной политике за IV квартал 2024 года [Электронный ресурс]. – URL: https://www.cbr.ru (дата обращения: 04.04.2025).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Росстат. Официальные данные по занятости и демографии в промышленности за 2023–2024 гг. [Электронный ресурс]. – URL: https://rosstat.gov.ru (дата обращения: 03.04.2025).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ISO 31000:2018. </w:t>
      </w:r>
      <w:r w:rsidRPr="003F1CB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Risk management – Guidelines / International Organization for Standardization. – Geneva, Switzerland, 2018. – 24 p.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Александров, Д.А. Управление рисками в промышленности: современные подходы и технологии / Д.А. Александров, М.Н. Смирнов // Журнал "Управление проектами". – 2023. – № 3. – С. 45–59.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Петров, А.С. Региональные аспекты инвестиционной привлекательности промышленных предприятий / А.С. Петров, Е.В. Соколова // Экономика и управление. – 2022. – № 7. – С. 112–125.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Иванов, С.Л. Методы оценки инвестиционных проектов в условиях риска / С.Л. Иванов // Финансы и кредит. – 2023. – № 12. – С. 67–79.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Российская академия наук. Экологические риски и устойчивое развитие промышленности / Под ред. А.Н. Тихомирова. – Москва: Наука, 2023. – 234 с.</w:t>
      </w:r>
    </w:p>
    <w:p w:rsidR="00CA5392" w:rsidRPr="003F1CBD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Правительство Российской Федерации. Национальная технологическая инициатива: стратегия развития до 2035 года [Электронный ресурс]. – URL: https://nti2035.ru (дата обращения: 02.04.2025).</w:t>
      </w:r>
    </w:p>
    <w:p w:rsidR="00CA5392" w:rsidRDefault="00CA5392" w:rsidP="005332D5">
      <w:pPr>
        <w:pStyle w:val="a5"/>
        <w:numPr>
          <w:ilvl w:val="0"/>
          <w:numId w:val="7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3F1CBD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World Economic Forum. The Global Risks Report 2024 / WEF. – Geneva, 2024. – 100 p.</w:t>
      </w:r>
    </w:p>
    <w:p w:rsidR="00F53E82" w:rsidRDefault="00F53E82" w:rsidP="005332D5">
      <w:pPr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4"/>
        </w:rPr>
      </w:pPr>
    </w:p>
    <w:p w:rsidR="00432BDE" w:rsidRPr="002E1784" w:rsidRDefault="00432BDE" w:rsidP="00F53E82">
      <w:pPr>
        <w:keepNext/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lastRenderedPageBreak/>
        <w:t>Информация об авторе на русском языке</w:t>
      </w:r>
    </w:p>
    <w:p w:rsidR="00432BDE" w:rsidRPr="005332D5" w:rsidRDefault="00432BDE" w:rsidP="005332D5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Чубинская Мария Валерьевна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Екатеринбург</w:t>
      </w:r>
      <w:r w:rsidRPr="002E1784">
        <w:rPr>
          <w:rFonts w:ascii="Times New Roman" w:eastAsia="Calibri" w:hAnsi="Times New Roman" w:cs="Times New Roman"/>
          <w:sz w:val="24"/>
        </w:rPr>
        <w:t>) –</w:t>
      </w:r>
      <w:r>
        <w:rPr>
          <w:rFonts w:ascii="Times New Roman" w:eastAsia="Calibri" w:hAnsi="Times New Roman" w:cs="Times New Roman"/>
          <w:sz w:val="24"/>
        </w:rPr>
        <w:t xml:space="preserve"> студент магистратуры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DD45C5">
        <w:rPr>
          <w:rFonts w:ascii="Times New Roman" w:eastAsia="Calibri" w:hAnsi="Times New Roman" w:cs="Times New Roman"/>
          <w:sz w:val="24"/>
        </w:rPr>
        <w:t xml:space="preserve">Федеральное государственное автономное образовательное учреждение высшего образования «Уральский федеральный университет имени первого </w:t>
      </w:r>
      <w:r>
        <w:rPr>
          <w:rFonts w:ascii="Times New Roman" w:eastAsia="Calibri" w:hAnsi="Times New Roman" w:cs="Times New Roman"/>
          <w:sz w:val="24"/>
        </w:rPr>
        <w:t>Президента России Б.Н. Ельцина»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 w:rsidRPr="00DD45C5">
        <w:rPr>
          <w:rFonts w:ascii="Times New Roman" w:eastAsia="Calibri" w:hAnsi="Times New Roman" w:cs="Times New Roman"/>
          <w:sz w:val="24"/>
        </w:rPr>
        <w:t>620062, Свердловская область, г. Екатеринбург, ул. Мира, д. 19</w:t>
      </w:r>
      <w:r>
        <w:rPr>
          <w:rFonts w:ascii="Times New Roman" w:eastAsia="Calibri" w:hAnsi="Times New Roman" w:cs="Times New Roman"/>
          <w:sz w:val="24"/>
        </w:rPr>
        <w:t xml:space="preserve">, </w:t>
      </w:r>
      <w:hyperlink r:id="rId6" w:history="1">
        <w:r w:rsidR="00C65A1B" w:rsidRPr="005332D5">
          <w:rPr>
            <w:rStyle w:val="a7"/>
            <w:rFonts w:ascii="Times New Roman" w:eastAsia="Calibri" w:hAnsi="Times New Roman" w:cs="Times New Roman"/>
            <w:color w:val="auto"/>
            <w:sz w:val="24"/>
            <w:u w:val="none"/>
            <w:lang w:val="en-US"/>
          </w:rPr>
          <w:t>Maria.Chubinskaia</w:t>
        </w:r>
        <w:r w:rsidR="00C65A1B" w:rsidRPr="005332D5">
          <w:rPr>
            <w:rStyle w:val="a7"/>
            <w:rFonts w:ascii="Times New Roman" w:eastAsia="Calibri" w:hAnsi="Times New Roman" w:cs="Times New Roman"/>
            <w:color w:val="auto"/>
            <w:sz w:val="24"/>
            <w:u w:val="none"/>
          </w:rPr>
          <w:t>@urfu.me</w:t>
        </w:r>
      </w:hyperlink>
      <w:r w:rsidRPr="005332D5">
        <w:rPr>
          <w:rFonts w:ascii="Times New Roman" w:eastAsia="Calibri" w:hAnsi="Times New Roman" w:cs="Times New Roman"/>
          <w:sz w:val="24"/>
        </w:rPr>
        <w:t>).</w:t>
      </w:r>
    </w:p>
    <w:p w:rsidR="00C65A1B" w:rsidRDefault="00C65A1B" w:rsidP="005332D5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</w:rPr>
      </w:pPr>
    </w:p>
    <w:p w:rsidR="00C65A1B" w:rsidRPr="00182718" w:rsidRDefault="00C65A1B" w:rsidP="005332D5">
      <w:pPr>
        <w:spacing w:after="0" w:line="240" w:lineRule="auto"/>
        <w:ind w:firstLine="709"/>
        <w:contextualSpacing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>
        <w:rPr>
          <w:rFonts w:ascii="Times New Roman" w:eastAsia="Calibri" w:hAnsi="Times New Roman" w:cs="Times New Roman"/>
          <w:b/>
          <w:sz w:val="24"/>
          <w:lang w:val="en-US"/>
        </w:rPr>
        <w:t>ChubinskayaM</w:t>
      </w:r>
      <w:r w:rsidRPr="00182718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V</w:t>
      </w:r>
      <w:r w:rsidRPr="00182718">
        <w:rPr>
          <w:rFonts w:ascii="Times New Roman" w:eastAsia="Calibri" w:hAnsi="Times New Roman" w:cs="Times New Roman"/>
          <w:b/>
          <w:sz w:val="24"/>
          <w:lang w:val="en-US"/>
        </w:rPr>
        <w:t xml:space="preserve">. </w:t>
      </w:r>
    </w:p>
    <w:p w:rsidR="00C65A1B" w:rsidRPr="00C65A1B" w:rsidRDefault="00C65A1B" w:rsidP="005332D5">
      <w:pPr>
        <w:spacing w:after="0" w:line="240" w:lineRule="auto"/>
        <w:ind w:firstLine="709"/>
        <w:contextualSpacing/>
        <w:jc w:val="center"/>
        <w:rPr>
          <w:rFonts w:ascii="Times New Roman" w:eastAsiaTheme="majorEastAsia" w:hAnsi="Times New Roman" w:cs="Times New Roman"/>
          <w:b/>
          <w:sz w:val="24"/>
          <w:szCs w:val="24"/>
          <w:lang w:val="en-US"/>
        </w:rPr>
      </w:pPr>
      <w:r w:rsidRPr="00C65A1B">
        <w:rPr>
          <w:rFonts w:ascii="Times New Roman" w:eastAsiaTheme="majorEastAsia" w:hAnsi="Times New Roman" w:cs="Times New Roman"/>
          <w:b/>
          <w:sz w:val="24"/>
          <w:szCs w:val="24"/>
          <w:lang w:val="en-US"/>
        </w:rPr>
        <w:t>RISK MANAGEMENT IN INDUSTRIAL INVESTMENT PROJECTS: TOOLS AND REGIONAL SPECIFICS IN RUSSIAN MACHINE BUILDING</w:t>
      </w:r>
    </w:p>
    <w:p w:rsidR="00C65A1B" w:rsidRPr="00C65A1B" w:rsidRDefault="00C65A1B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A</w:t>
      </w:r>
      <w:r w:rsidRPr="00A8202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bstract: </w:t>
      </w:r>
      <w:r w:rsidRPr="00C65A1B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The article examines major risk types considering regional specifics and analyzes mitigation methods, including management standards, state support, and export credit insurance. </w:t>
      </w:r>
      <w:r w:rsidRPr="00C65A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Data on project implementation and external impacts across Russian regions are presented.</w:t>
      </w:r>
    </w:p>
    <w:p w:rsidR="00C65A1B" w:rsidRDefault="00C65A1B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iCs/>
          <w:sz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4"/>
          <w:lang w:val="en-US" w:eastAsia="ru-RU"/>
        </w:rPr>
        <w:t>Key words:</w:t>
      </w:r>
      <w:r w:rsidRPr="00A8202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C65A1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investment projects, risk management, machinery industry, ISO 31000, export credit insurance, regional characteristics.</w:t>
      </w:r>
    </w:p>
    <w:p w:rsidR="00C65A1B" w:rsidRPr="00A82021" w:rsidRDefault="00C65A1B" w:rsidP="005332D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C65A1B" w:rsidRPr="002E1784" w:rsidRDefault="00C65A1B" w:rsidP="005332D5">
      <w:pPr>
        <w:spacing w:after="0"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на английском языке</w:t>
      </w:r>
    </w:p>
    <w:p w:rsidR="005332D5" w:rsidRPr="005332D5" w:rsidRDefault="006A6F2F" w:rsidP="005332D5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lang w:val="en-US"/>
        </w:rPr>
      </w:pPr>
      <w:r>
        <w:rPr>
          <w:rFonts w:ascii="Times New Roman" w:eastAsia="Calibri" w:hAnsi="Times New Roman" w:cs="Times New Roman"/>
          <w:sz w:val="24"/>
          <w:lang w:val="en-US"/>
        </w:rPr>
        <w:t>Chubinskaya Maria Valerievna</w:t>
      </w:r>
      <w:r w:rsidR="00C65A1B" w:rsidRPr="00DD45C5">
        <w:rPr>
          <w:rFonts w:ascii="Times New Roman" w:eastAsia="Calibri" w:hAnsi="Times New Roman" w:cs="Times New Roman"/>
          <w:sz w:val="24"/>
          <w:lang w:val="en-US"/>
        </w:rPr>
        <w:t xml:space="preserve"> (Russia, Yekaterinburg) – master's student, Federal State Autonomous Educational Institution of Higher Education «Ural Fede</w:t>
      </w:r>
      <w:r w:rsidR="00C65A1B">
        <w:rPr>
          <w:rFonts w:ascii="Times New Roman" w:eastAsia="Calibri" w:hAnsi="Times New Roman" w:cs="Times New Roman"/>
          <w:sz w:val="24"/>
          <w:lang w:val="en-US"/>
        </w:rPr>
        <w:t>ral University named after the F</w:t>
      </w:r>
      <w:r w:rsidR="00C65A1B" w:rsidRPr="00DD45C5">
        <w:rPr>
          <w:rFonts w:ascii="Times New Roman" w:eastAsia="Calibri" w:hAnsi="Times New Roman" w:cs="Times New Roman"/>
          <w:sz w:val="24"/>
          <w:lang w:val="en-US"/>
        </w:rPr>
        <w:t>irst President of Russia B.N.</w:t>
      </w:r>
      <w:r w:rsidR="00C65A1B">
        <w:rPr>
          <w:rFonts w:ascii="Times New Roman" w:eastAsia="Calibri" w:hAnsi="Times New Roman" w:cs="Times New Roman"/>
          <w:sz w:val="24"/>
          <w:lang w:val="en-US"/>
        </w:rPr>
        <w:t> </w:t>
      </w:r>
      <w:r w:rsidR="00C65A1B" w:rsidRPr="00DD45C5">
        <w:rPr>
          <w:rFonts w:ascii="Times New Roman" w:eastAsia="Calibri" w:hAnsi="Times New Roman" w:cs="Times New Roman"/>
          <w:sz w:val="24"/>
          <w:lang w:val="en-US"/>
        </w:rPr>
        <w:t xml:space="preserve">Yeltsin» (620062, Sverdlovsk region, Yekaterinburg, Mira st., 19, </w:t>
      </w:r>
      <w:hyperlink r:id="rId7" w:history="1">
        <w:r w:rsidR="005332D5" w:rsidRPr="005332D5">
          <w:rPr>
            <w:rStyle w:val="a7"/>
            <w:rFonts w:ascii="Times New Roman" w:eastAsia="Calibri" w:hAnsi="Times New Roman" w:cs="Times New Roman"/>
            <w:color w:val="auto"/>
            <w:sz w:val="24"/>
            <w:u w:val="none"/>
            <w:lang w:val="en-US"/>
          </w:rPr>
          <w:t>Maria.Chubinskaia@urfu.me</w:t>
        </w:r>
      </w:hyperlink>
      <w:r w:rsidR="005332D5" w:rsidRPr="005332D5">
        <w:rPr>
          <w:rFonts w:ascii="Times New Roman" w:eastAsia="Calibri" w:hAnsi="Times New Roman" w:cs="Times New Roman"/>
          <w:sz w:val="24"/>
          <w:lang w:val="en-US"/>
        </w:rPr>
        <w:t>).</w:t>
      </w:r>
    </w:p>
    <w:p w:rsidR="00C65A1B" w:rsidRPr="00DD45C5" w:rsidRDefault="00C65A1B" w:rsidP="005332D5">
      <w:pPr>
        <w:spacing w:after="0" w:line="240" w:lineRule="auto"/>
        <w:ind w:left="-540" w:firstLine="540"/>
        <w:contextualSpacing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C65A1B" w:rsidRPr="001C503E" w:rsidRDefault="00C65A1B" w:rsidP="005332D5">
      <w:pPr>
        <w:spacing w:after="0" w:line="240" w:lineRule="auto"/>
        <w:ind w:left="-540" w:firstLine="540"/>
        <w:contextualSpacing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1C503E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Ministry of Industry and Trade of the Russian Federation. </w:t>
      </w: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Analytical Review of the State of the Machine-Building Industry in 2023 [Electronic resource]. – URL: </w:t>
      </w:r>
      <w:hyperlink r:id="rId8" w:tgtFrame="_blank" w:history="1">
        <w:r w:rsidRPr="006A6F2F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 xml:space="preserve">https://minpromtorg.gov.ru </w:t>
        </w:r>
      </w:hyperlink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(accessed: 05.04.2025).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Central Bank of the Russian Federation. Report on Monetary Policy for Q4 2024 [Electronic resource]. – URL: </w:t>
      </w:r>
      <w:hyperlink r:id="rId9" w:tgtFrame="_blank" w:history="1">
        <w:r w:rsidRPr="006A6F2F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 xml:space="preserve">https://www.cbr.ru </w:t>
        </w:r>
      </w:hyperlink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(accessed: 04.04.2025).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Rosstat. Official Data on Employment and Demographics in Industry for 2023–2024 [Electronic resource]. – URL: </w:t>
      </w:r>
      <w:hyperlink r:id="rId10" w:tgtFrame="_blank" w:history="1">
        <w:r w:rsidRPr="006A6F2F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 xml:space="preserve">https://rosstat.gov.ru </w:t>
        </w:r>
      </w:hyperlink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(accessed: 03.04.2025).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ISO 31000:2018. Risk Management – Guidelines / International Organization for Standardization. Geneva, Switzerland, 2018. – 24 p.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Aleksandrov, D.A. Risk Management in Industry: Modern Approaches and Technologies / D.A. Aleksandrov, M.N. Smirnov // Journal "Project Management". – 2023. – No. 3. – P. 45–59.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Petrov, A.S. </w:t>
      </w:r>
      <w:r w:rsidRPr="005332D5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 xml:space="preserve">Regional Aspects of Investment Attractiveness of Industrial Enterprises </w:t>
      </w:r>
      <w:r w:rsidRPr="006A6F2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/ A.S. Petrov, E.V. Sokolova // Economics and Management. – 2022. – No. 7. – P. 112–125.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Ivanov, S.L. Methods for Evaluating Investment Projects under Risk Conditions / S.L. Ivanov // Finance and Credit. – 2023. – No. 12. – P. 67–79.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Russian Academy of Sciences. Environmental Risks and Sustainable Development of Industry / Ed. by A.N. Tikhomirov. Moscow: Nauka, 2023. – 234 p.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Government of the Russian Federation. National Technology Initiative: Development Strategy until 2035 [Electronic resource]. – URL: </w:t>
      </w:r>
      <w:hyperlink r:id="rId11" w:tgtFrame="_blank" w:history="1">
        <w:r w:rsidRPr="006A6F2F">
          <w:rPr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 xml:space="preserve">https://nti2035.ru </w:t>
        </w:r>
      </w:hyperlink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(accessed: 02.04.2025).</w:t>
      </w:r>
    </w:p>
    <w:p w:rsidR="006A6F2F" w:rsidRPr="006A6F2F" w:rsidRDefault="006A6F2F" w:rsidP="005332D5">
      <w:pPr>
        <w:pStyle w:val="a5"/>
        <w:numPr>
          <w:ilvl w:val="0"/>
          <w:numId w:val="9"/>
        </w:numP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W</w:t>
      </w:r>
      <w:bookmarkStart w:id="0" w:name="_GoBack"/>
      <w:bookmarkEnd w:id="0"/>
      <w:r w:rsidRPr="006A6F2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orld Economic Forum. The Global Risks Report 2024 / WEF. Geneva, 2024. – 100p.</w:t>
      </w:r>
    </w:p>
    <w:sectPr w:rsidR="006A6F2F" w:rsidRPr="006A6F2F" w:rsidSect="003F1CB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3E2208"/>
    <w:multiLevelType w:val="hybridMultilevel"/>
    <w:tmpl w:val="9CA602A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CF87B09"/>
    <w:multiLevelType w:val="multilevel"/>
    <w:tmpl w:val="9AF8BB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2BF778C"/>
    <w:multiLevelType w:val="multilevel"/>
    <w:tmpl w:val="2488E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9BF1DEF"/>
    <w:multiLevelType w:val="multilevel"/>
    <w:tmpl w:val="22A0A2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C3224C9"/>
    <w:multiLevelType w:val="hybridMultilevel"/>
    <w:tmpl w:val="917A9C1A"/>
    <w:lvl w:ilvl="0" w:tplc="C192B5B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5E5E1319"/>
    <w:multiLevelType w:val="hybridMultilevel"/>
    <w:tmpl w:val="93E2DF42"/>
    <w:lvl w:ilvl="0" w:tplc="8E6A0E58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217529F"/>
    <w:multiLevelType w:val="hybridMultilevel"/>
    <w:tmpl w:val="BB0893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75AA4A1D"/>
    <w:multiLevelType w:val="multilevel"/>
    <w:tmpl w:val="E8665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66D0E80"/>
    <w:multiLevelType w:val="multilevel"/>
    <w:tmpl w:val="DFEE6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0"/>
  </w:num>
  <w:num w:numId="5">
    <w:abstractNumId w:val="5"/>
  </w:num>
  <w:num w:numId="6">
    <w:abstractNumId w:val="1"/>
  </w:num>
  <w:num w:numId="7">
    <w:abstractNumId w:val="6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DA7"/>
    <w:rsid w:val="00112DA7"/>
    <w:rsid w:val="001A580E"/>
    <w:rsid w:val="0039316A"/>
    <w:rsid w:val="003F1CBD"/>
    <w:rsid w:val="00432BDE"/>
    <w:rsid w:val="005332D5"/>
    <w:rsid w:val="006A07BD"/>
    <w:rsid w:val="006A6F2F"/>
    <w:rsid w:val="00C65A1B"/>
    <w:rsid w:val="00CA5392"/>
    <w:rsid w:val="00CF5F1C"/>
    <w:rsid w:val="00D97C0D"/>
    <w:rsid w:val="00EF0823"/>
    <w:rsid w:val="00F53E82"/>
    <w:rsid w:val="00F81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FAE42"/>
  <w15:chartTrackingRefBased/>
  <w15:docId w15:val="{FF464000-373A-473A-921F-71958C85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F082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112D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112DA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112D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112DA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112D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12DA7"/>
    <w:rPr>
      <w:b/>
      <w:bCs/>
    </w:rPr>
  </w:style>
  <w:style w:type="paragraph" w:styleId="a5">
    <w:name w:val="List Paragraph"/>
    <w:basedOn w:val="a"/>
    <w:uiPriority w:val="34"/>
    <w:qFormat/>
    <w:rsid w:val="00112DA7"/>
    <w:pPr>
      <w:ind w:left="720"/>
      <w:contextualSpacing/>
    </w:pPr>
  </w:style>
  <w:style w:type="table" w:styleId="a6">
    <w:name w:val="Table Grid"/>
    <w:basedOn w:val="a1"/>
    <w:uiPriority w:val="39"/>
    <w:rsid w:val="00112D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CA5392"/>
    <w:rPr>
      <w:color w:val="0000FF"/>
      <w:u w:val="single"/>
    </w:rPr>
  </w:style>
  <w:style w:type="character" w:customStyle="1" w:styleId="alert-success">
    <w:name w:val="alert-success"/>
    <w:basedOn w:val="a0"/>
    <w:rsid w:val="00EF0823"/>
  </w:style>
  <w:style w:type="character" w:customStyle="1" w:styleId="10">
    <w:name w:val="Заголовок 1 Знак"/>
    <w:basedOn w:val="a0"/>
    <w:link w:val="1"/>
    <w:uiPriority w:val="9"/>
    <w:rsid w:val="00EF08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087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302863">
          <w:marLeft w:val="0"/>
          <w:marRight w:val="0"/>
          <w:marTop w:val="0"/>
          <w:marBottom w:val="0"/>
          <w:divBdr>
            <w:top w:val="single" w:sz="6" w:space="0" w:color="414149"/>
            <w:left w:val="single" w:sz="6" w:space="0" w:color="414149"/>
            <w:bottom w:val="single" w:sz="6" w:space="0" w:color="414149"/>
            <w:right w:val="single" w:sz="6" w:space="0" w:color="414149"/>
          </w:divBdr>
          <w:divsChild>
            <w:div w:id="197440889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8560956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66049877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62464887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44246263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92606455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56951021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63414042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208837880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77505652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55296096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5711980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201641987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6247462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89863109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29480010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89975102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34139087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  <w:div w:id="15167642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none" w:sz="0" w:space="0" w:color="auto"/>
                    <w:bottom w:val="single" w:sz="2" w:space="0" w:color="E3E3E3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3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promtorg.gov.r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Maria.Chubinskaia@urfu.me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aria.Chubinskaia@urfu.me" TargetMode="External"/><Relationship Id="rId11" Type="http://schemas.openxmlformats.org/officeDocument/2006/relationships/hyperlink" Target="https://nti2035.ru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rosstat.gov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br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CC08A1-0EFC-416B-8133-D639C76F2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1791</Words>
  <Characters>10213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2025-05-15T15:59:00Z</dcterms:created>
  <dcterms:modified xsi:type="dcterms:W3CDTF">2025-05-15T15:59:00Z</dcterms:modified>
</cp:coreProperties>
</file>