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19D184" w14:textId="7D2464AD" w:rsidR="006F7FCA" w:rsidRPr="00D22C4B" w:rsidRDefault="000600C7" w:rsidP="00C77E36">
      <w:pPr>
        <w:pStyle w:val="2"/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C77E36">
        <w:rPr>
          <w:rFonts w:ascii="Times New Roman" w:hAnsi="Times New Roman" w:cs="Times New Roman"/>
          <w:sz w:val="24"/>
          <w:szCs w:val="24"/>
        </w:rPr>
        <w:t>УДК 3</w:t>
      </w:r>
      <w:r w:rsidR="00757393" w:rsidRPr="00C77E36">
        <w:rPr>
          <w:rFonts w:ascii="Times New Roman" w:hAnsi="Times New Roman" w:cs="Times New Roman"/>
          <w:sz w:val="24"/>
          <w:szCs w:val="24"/>
        </w:rPr>
        <w:t>31.5</w:t>
      </w:r>
      <w:r w:rsidRPr="00C77E36">
        <w:rPr>
          <w:rFonts w:ascii="Times New Roman" w:hAnsi="Times New Roman" w:cs="Times New Roman"/>
          <w:sz w:val="24"/>
          <w:szCs w:val="24"/>
        </w:rPr>
        <w:t xml:space="preserve"> / ББК 65.</w:t>
      </w:r>
      <w:r w:rsidR="0083498B" w:rsidRPr="00D22C4B">
        <w:rPr>
          <w:rFonts w:ascii="Times New Roman" w:hAnsi="Times New Roman" w:cs="Times New Roman"/>
          <w:sz w:val="24"/>
          <w:szCs w:val="24"/>
        </w:rPr>
        <w:t>1</w:t>
      </w:r>
    </w:p>
    <w:p w14:paraId="3087880D" w14:textId="22B6205B" w:rsidR="006F7FCA" w:rsidRPr="00C77E36" w:rsidRDefault="00757393" w:rsidP="00C77E36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C77E36">
        <w:rPr>
          <w:rFonts w:ascii="Times New Roman" w:hAnsi="Times New Roman" w:cs="Times New Roman"/>
          <w:b/>
          <w:sz w:val="24"/>
          <w:szCs w:val="24"/>
        </w:rPr>
        <w:t>Секушина</w:t>
      </w:r>
      <w:r w:rsidR="000600C7" w:rsidRPr="00C77E36">
        <w:rPr>
          <w:rFonts w:ascii="Times New Roman" w:hAnsi="Times New Roman" w:cs="Times New Roman"/>
          <w:b/>
          <w:sz w:val="24"/>
          <w:szCs w:val="24"/>
        </w:rPr>
        <w:t xml:space="preserve"> И.</w:t>
      </w:r>
      <w:r w:rsidRPr="00C77E36">
        <w:rPr>
          <w:rFonts w:ascii="Times New Roman" w:hAnsi="Times New Roman" w:cs="Times New Roman"/>
          <w:b/>
          <w:sz w:val="24"/>
          <w:szCs w:val="24"/>
        </w:rPr>
        <w:t>А</w:t>
      </w:r>
      <w:r w:rsidR="000600C7" w:rsidRPr="00C77E36">
        <w:rPr>
          <w:rFonts w:ascii="Times New Roman" w:hAnsi="Times New Roman" w:cs="Times New Roman"/>
          <w:b/>
          <w:sz w:val="24"/>
          <w:szCs w:val="24"/>
        </w:rPr>
        <w:t>.</w:t>
      </w:r>
    </w:p>
    <w:p w14:paraId="64C90267" w14:textId="77777777" w:rsidR="00A34299" w:rsidRPr="00C77E36" w:rsidRDefault="00A34299" w:rsidP="00C77E3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Hlk129337751"/>
    </w:p>
    <w:p w14:paraId="40634F1A" w14:textId="6AC76C0E" w:rsidR="006F7FCA" w:rsidRPr="00C77E36" w:rsidRDefault="00D22C4B" w:rsidP="00C77E3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ПЕРСПЕКТИВНЫЕ НАПРАВЛЕНИЯ РАЗВИТИЯ М</w:t>
      </w:r>
      <w:r w:rsidRPr="00C77E36">
        <w:rPr>
          <w:rFonts w:ascii="Times New Roman" w:hAnsi="Times New Roman" w:cs="Times New Roman"/>
          <w:b/>
          <w:bCs/>
          <w:sz w:val="24"/>
          <w:szCs w:val="24"/>
        </w:rPr>
        <w:t>ОНОПРОФИЛЬНЫ</w:t>
      </w:r>
      <w:r>
        <w:rPr>
          <w:rFonts w:ascii="Times New Roman" w:hAnsi="Times New Roman" w:cs="Times New Roman"/>
          <w:b/>
          <w:bCs/>
          <w:sz w:val="24"/>
          <w:szCs w:val="24"/>
        </w:rPr>
        <w:t>Х</w:t>
      </w:r>
      <w:r w:rsidRPr="00C77E36">
        <w:rPr>
          <w:rFonts w:ascii="Times New Roman" w:hAnsi="Times New Roman" w:cs="Times New Roman"/>
          <w:b/>
          <w:bCs/>
          <w:sz w:val="24"/>
          <w:szCs w:val="24"/>
        </w:rPr>
        <w:t xml:space="preserve"> МАЛЫ</w:t>
      </w:r>
      <w:r>
        <w:rPr>
          <w:rFonts w:ascii="Times New Roman" w:hAnsi="Times New Roman" w:cs="Times New Roman"/>
          <w:b/>
          <w:bCs/>
          <w:sz w:val="24"/>
          <w:szCs w:val="24"/>
        </w:rPr>
        <w:t>Х</w:t>
      </w:r>
      <w:r w:rsidRPr="00C77E36">
        <w:rPr>
          <w:rFonts w:ascii="Times New Roman" w:hAnsi="Times New Roman" w:cs="Times New Roman"/>
          <w:b/>
          <w:bCs/>
          <w:sz w:val="24"/>
          <w:szCs w:val="24"/>
        </w:rPr>
        <w:t xml:space="preserve"> И СРЕДНИ</w:t>
      </w:r>
      <w:r>
        <w:rPr>
          <w:rFonts w:ascii="Times New Roman" w:hAnsi="Times New Roman" w:cs="Times New Roman"/>
          <w:b/>
          <w:bCs/>
          <w:sz w:val="24"/>
          <w:szCs w:val="24"/>
        </w:rPr>
        <w:t>Х</w:t>
      </w:r>
      <w:r w:rsidRPr="00C77E36">
        <w:rPr>
          <w:rFonts w:ascii="Times New Roman" w:hAnsi="Times New Roman" w:cs="Times New Roman"/>
          <w:b/>
          <w:bCs/>
          <w:sz w:val="24"/>
          <w:szCs w:val="24"/>
        </w:rPr>
        <w:t xml:space="preserve"> ГОРОД</w:t>
      </w:r>
      <w:r>
        <w:rPr>
          <w:rFonts w:ascii="Times New Roman" w:hAnsi="Times New Roman" w:cs="Times New Roman"/>
          <w:b/>
          <w:bCs/>
          <w:sz w:val="24"/>
          <w:szCs w:val="24"/>
        </w:rPr>
        <w:t>ОВ</w:t>
      </w:r>
      <w:r w:rsidR="00724549" w:rsidRPr="00C77E36">
        <w:rPr>
          <w:rStyle w:val="afd"/>
          <w:rFonts w:ascii="Times New Roman" w:hAnsi="Times New Roman" w:cs="Times New Roman"/>
          <w:b/>
          <w:bCs/>
          <w:sz w:val="24"/>
          <w:szCs w:val="24"/>
        </w:rPr>
        <w:footnoteReference w:id="1"/>
      </w:r>
    </w:p>
    <w:p w14:paraId="423B4400" w14:textId="77777777" w:rsidR="00A34299" w:rsidRPr="00C77E36" w:rsidRDefault="00A34299" w:rsidP="00C77E36">
      <w:pPr>
        <w:spacing w:after="0" w:line="240" w:lineRule="auto"/>
        <w:jc w:val="center"/>
        <w:rPr>
          <w:rFonts w:ascii="Times New Roman" w:hAnsi="Times New Roman" w:cs="Times New Roman"/>
          <w:b/>
          <w:bCs/>
          <w:iCs/>
          <w:sz w:val="24"/>
          <w:szCs w:val="24"/>
        </w:rPr>
      </w:pPr>
    </w:p>
    <w:p w14:paraId="3CDE6B51" w14:textId="3786662A" w:rsidR="006F7FCA" w:rsidRPr="00C77E36" w:rsidRDefault="000600C7" w:rsidP="00C77E3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77E36">
        <w:rPr>
          <w:rFonts w:ascii="Times New Roman" w:hAnsi="Times New Roman" w:cs="Times New Roman"/>
          <w:b/>
          <w:bCs/>
          <w:sz w:val="24"/>
          <w:szCs w:val="24"/>
        </w:rPr>
        <w:t>Аннотация.</w:t>
      </w:r>
      <w:r w:rsidRPr="00C77E3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25095C" w:rsidRPr="00C77E36">
        <w:rPr>
          <w:rFonts w:ascii="Times New Roman" w:hAnsi="Times New Roman" w:cs="Times New Roman"/>
          <w:bCs/>
          <w:sz w:val="24"/>
          <w:szCs w:val="24"/>
        </w:rPr>
        <w:t>В исследовании представлен</w:t>
      </w:r>
      <w:r w:rsidR="007E3A5E">
        <w:rPr>
          <w:rFonts w:ascii="Times New Roman" w:hAnsi="Times New Roman" w:cs="Times New Roman"/>
          <w:bCs/>
          <w:sz w:val="24"/>
          <w:szCs w:val="24"/>
        </w:rPr>
        <w:t xml:space="preserve">а типология </w:t>
      </w:r>
      <w:proofErr w:type="spellStart"/>
      <w:r w:rsidR="007E3A5E">
        <w:rPr>
          <w:rFonts w:ascii="Times New Roman" w:hAnsi="Times New Roman" w:cs="Times New Roman"/>
          <w:bCs/>
          <w:sz w:val="24"/>
          <w:szCs w:val="24"/>
        </w:rPr>
        <w:t>монопрофильных</w:t>
      </w:r>
      <w:proofErr w:type="spellEnd"/>
      <w:r w:rsidR="007E3A5E">
        <w:rPr>
          <w:rFonts w:ascii="Times New Roman" w:hAnsi="Times New Roman" w:cs="Times New Roman"/>
          <w:bCs/>
          <w:sz w:val="24"/>
          <w:szCs w:val="24"/>
        </w:rPr>
        <w:t xml:space="preserve"> малых и средних городов </w:t>
      </w:r>
      <w:r w:rsidR="0025095C" w:rsidRPr="00C77E36">
        <w:rPr>
          <w:rFonts w:ascii="Times New Roman" w:hAnsi="Times New Roman" w:cs="Times New Roman"/>
          <w:bCs/>
          <w:sz w:val="24"/>
          <w:szCs w:val="24"/>
        </w:rPr>
        <w:t>Европейского Севера России.</w:t>
      </w:r>
      <w:r w:rsidR="007E3A5E">
        <w:rPr>
          <w:rFonts w:ascii="Times New Roman" w:hAnsi="Times New Roman" w:cs="Times New Roman"/>
          <w:bCs/>
          <w:sz w:val="24"/>
          <w:szCs w:val="24"/>
        </w:rPr>
        <w:t xml:space="preserve"> Предложены перспективные направления </w:t>
      </w:r>
      <w:r w:rsidR="007C0208">
        <w:rPr>
          <w:rFonts w:ascii="Times New Roman" w:hAnsi="Times New Roman" w:cs="Times New Roman"/>
          <w:bCs/>
          <w:sz w:val="24"/>
          <w:szCs w:val="24"/>
        </w:rPr>
        <w:t xml:space="preserve">экономического </w:t>
      </w:r>
      <w:r w:rsidR="007E3A5E">
        <w:rPr>
          <w:rFonts w:ascii="Times New Roman" w:hAnsi="Times New Roman" w:cs="Times New Roman"/>
          <w:bCs/>
          <w:sz w:val="24"/>
          <w:szCs w:val="24"/>
        </w:rPr>
        <w:t>развития городов раз</w:t>
      </w:r>
      <w:r w:rsidR="007C0208">
        <w:rPr>
          <w:rFonts w:ascii="Times New Roman" w:hAnsi="Times New Roman" w:cs="Times New Roman"/>
          <w:bCs/>
          <w:sz w:val="24"/>
          <w:szCs w:val="24"/>
        </w:rPr>
        <w:t>личных</w:t>
      </w:r>
      <w:r w:rsidR="007E3A5E">
        <w:rPr>
          <w:rFonts w:ascii="Times New Roman" w:hAnsi="Times New Roman" w:cs="Times New Roman"/>
          <w:bCs/>
          <w:sz w:val="24"/>
          <w:szCs w:val="24"/>
        </w:rPr>
        <w:t xml:space="preserve"> типов.</w:t>
      </w:r>
    </w:p>
    <w:p w14:paraId="3BC7D838" w14:textId="67F20490" w:rsidR="006F7FCA" w:rsidRPr="00C77E36" w:rsidRDefault="000600C7" w:rsidP="00C77E36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77E36">
        <w:rPr>
          <w:rFonts w:ascii="Times New Roman" w:hAnsi="Times New Roman" w:cs="Times New Roman"/>
          <w:b/>
          <w:bCs/>
          <w:sz w:val="24"/>
          <w:szCs w:val="24"/>
        </w:rPr>
        <w:t>Ключевые слова:</w:t>
      </w:r>
      <w:r w:rsidRPr="00C77E3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277E72">
        <w:rPr>
          <w:rFonts w:ascii="Times New Roman" w:hAnsi="Times New Roman" w:cs="Times New Roman"/>
          <w:bCs/>
          <w:sz w:val="24"/>
          <w:szCs w:val="24"/>
        </w:rPr>
        <w:t>малые и средние города</w:t>
      </w:r>
      <w:r w:rsidR="00217B45">
        <w:rPr>
          <w:rFonts w:ascii="Times New Roman" w:hAnsi="Times New Roman" w:cs="Times New Roman"/>
          <w:bCs/>
          <w:sz w:val="24"/>
          <w:szCs w:val="24"/>
        </w:rPr>
        <w:t>, моногород, Европейский Север России, градообразующее предприятие</w:t>
      </w:r>
      <w:r w:rsidR="007E3A5E">
        <w:rPr>
          <w:rFonts w:ascii="Times New Roman" w:hAnsi="Times New Roman" w:cs="Times New Roman"/>
          <w:bCs/>
          <w:sz w:val="24"/>
          <w:szCs w:val="24"/>
        </w:rPr>
        <w:t>.</w:t>
      </w:r>
    </w:p>
    <w:bookmarkEnd w:id="0"/>
    <w:p w14:paraId="0EEAB63B" w14:textId="77777777" w:rsidR="00EC7A3B" w:rsidRPr="00C77E36" w:rsidRDefault="00EC7A3B" w:rsidP="00C77E3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44408B67" w14:textId="162C54E0" w:rsidR="006F7FCA" w:rsidRPr="00C77E36" w:rsidRDefault="006F7FCA" w:rsidP="00C77E36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117CB989" w14:textId="77777777" w:rsidR="00217B45" w:rsidRDefault="0025095C" w:rsidP="00C77E36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25095C">
        <w:rPr>
          <w:rFonts w:ascii="Times New Roman" w:eastAsia="Calibri" w:hAnsi="Times New Roman" w:cs="Times New Roman"/>
          <w:sz w:val="24"/>
          <w:szCs w:val="24"/>
          <w:lang w:eastAsia="ru-RU"/>
        </w:rPr>
        <w:t>В последние годы Российская Федерация столкнулась с самым масштабным в своей истории санкционным давлением со стороны стран коллективного Запада. С начала специальной военной операции (СВО) в феврале 2022 года в адрес России было введено свыше 21 тыс. санкций, что в почти в 4 раза больше, чем Иран получил за 40 лет. Одн</w:t>
      </w:r>
      <w:r w:rsidR="00217B45">
        <w:rPr>
          <w:rFonts w:ascii="Times New Roman" w:eastAsia="Calibri" w:hAnsi="Times New Roman" w:cs="Times New Roman"/>
          <w:sz w:val="24"/>
          <w:szCs w:val="24"/>
          <w:lang w:eastAsia="ru-RU"/>
        </w:rPr>
        <w:t>им</w:t>
      </w:r>
      <w:r w:rsidRPr="0025095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из серьезных </w:t>
      </w:r>
      <w:r w:rsidR="00217B45">
        <w:rPr>
          <w:rFonts w:ascii="Times New Roman" w:eastAsia="Calibri" w:hAnsi="Times New Roman" w:cs="Times New Roman"/>
          <w:sz w:val="24"/>
          <w:szCs w:val="24"/>
          <w:lang w:eastAsia="ru-RU"/>
        </w:rPr>
        <w:t>последствий этого является</w:t>
      </w:r>
      <w:r w:rsidRPr="0025095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разрыв сложившихся производственных и логистических цепочек, в т.ч. связанных с поворотом экономики «на восток». Вводимые со стороны недружественных стран санкционные ограничения заметно отразились и на экономике городов с </w:t>
      </w:r>
      <w:proofErr w:type="spellStart"/>
      <w:r w:rsidRPr="0025095C">
        <w:rPr>
          <w:rFonts w:ascii="Times New Roman" w:eastAsia="Calibri" w:hAnsi="Times New Roman" w:cs="Times New Roman"/>
          <w:sz w:val="24"/>
          <w:szCs w:val="24"/>
          <w:lang w:eastAsia="ru-RU"/>
        </w:rPr>
        <w:t>моноотраслевой</w:t>
      </w:r>
      <w:proofErr w:type="spellEnd"/>
      <w:r w:rsidRPr="0025095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специализацией. </w:t>
      </w:r>
      <w:r w:rsidR="00217B45">
        <w:rPr>
          <w:rFonts w:ascii="Times New Roman" w:eastAsia="Calibri" w:hAnsi="Times New Roman" w:cs="Times New Roman"/>
          <w:sz w:val="24"/>
          <w:szCs w:val="24"/>
          <w:lang w:eastAsia="ru-RU"/>
        </w:rPr>
        <w:t>В</w:t>
      </w:r>
      <w:r w:rsidRPr="0025095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российской истории постсоветского периода это далеко не первый раз, когда моногорода сталкиваются с серьезными вызовами. </w:t>
      </w:r>
    </w:p>
    <w:p w14:paraId="50C2489B" w14:textId="65B474B3" w:rsidR="00217B45" w:rsidRPr="0025095C" w:rsidRDefault="00217B45" w:rsidP="00217B45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25095C">
        <w:rPr>
          <w:rFonts w:ascii="Times New Roman" w:eastAsia="Calibri" w:hAnsi="Times New Roman" w:cs="Times New Roman"/>
          <w:sz w:val="24"/>
          <w:szCs w:val="24"/>
          <w:lang w:eastAsia="ru-RU"/>
        </w:rPr>
        <w:t>В современной литературе изучение проблематики развития моногородов по-прежнему является одной из актуальных тем научных исследований</w:t>
      </w:r>
      <w:r w:rsidR="00095BFC"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  <w:r w:rsidRPr="0025095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Ключевые риски развития данных населенных пунктов давно известны и достаточно хорошо изучены</w:t>
      </w:r>
      <w:r w:rsidR="00095BF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095BFC" w:rsidRPr="00C77E36">
        <w:rPr>
          <w:rFonts w:ascii="Times New Roman" w:eastAsia="Calibri" w:hAnsi="Times New Roman" w:cs="Times New Roman"/>
          <w:sz w:val="24"/>
          <w:szCs w:val="24"/>
          <w:lang w:eastAsia="ru-RU"/>
        </w:rPr>
        <w:t>[</w:t>
      </w:r>
      <w:r w:rsidR="007C0208">
        <w:rPr>
          <w:rFonts w:ascii="Times New Roman" w:eastAsia="Calibri" w:hAnsi="Times New Roman" w:cs="Times New Roman"/>
          <w:sz w:val="24"/>
          <w:szCs w:val="24"/>
          <w:lang w:eastAsia="ru-RU"/>
        </w:rPr>
        <w:t>1,2,4,</w:t>
      </w:r>
      <w:r w:rsidR="00801D5A">
        <w:rPr>
          <w:rFonts w:ascii="Times New Roman" w:eastAsia="Calibri" w:hAnsi="Times New Roman" w:cs="Times New Roman"/>
          <w:sz w:val="24"/>
          <w:szCs w:val="24"/>
          <w:lang w:eastAsia="ru-RU"/>
        </w:rPr>
        <w:t>7,8</w:t>
      </w:r>
      <w:r w:rsidR="00095BFC" w:rsidRPr="00C77E36">
        <w:rPr>
          <w:rFonts w:ascii="Times New Roman" w:eastAsia="Calibri" w:hAnsi="Times New Roman" w:cs="Times New Roman"/>
          <w:sz w:val="24"/>
          <w:szCs w:val="24"/>
          <w:lang w:eastAsia="ru-RU"/>
        </w:rPr>
        <w:t>]</w:t>
      </w:r>
      <w:r w:rsidR="00095BFC" w:rsidRPr="0025095C"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  <w:r w:rsidRPr="0025095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</w:p>
    <w:p w14:paraId="3F8877F0" w14:textId="1A1AE89A" w:rsidR="0025095C" w:rsidRPr="0025095C" w:rsidRDefault="0025095C" w:rsidP="00C77E36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25095C">
        <w:rPr>
          <w:rFonts w:ascii="Times New Roman" w:eastAsia="Calibri" w:hAnsi="Times New Roman" w:cs="Times New Roman"/>
          <w:sz w:val="24"/>
          <w:szCs w:val="24"/>
        </w:rPr>
        <w:t xml:space="preserve">Со стороны органов государственной власти России неоднократно предпринимались попытки разработки и реализации мер поддержки </w:t>
      </w:r>
      <w:proofErr w:type="spellStart"/>
      <w:r w:rsidRPr="0025095C">
        <w:rPr>
          <w:rFonts w:ascii="Times New Roman" w:eastAsia="Calibri" w:hAnsi="Times New Roman" w:cs="Times New Roman"/>
          <w:sz w:val="24"/>
          <w:szCs w:val="24"/>
        </w:rPr>
        <w:t>монопрофильных</w:t>
      </w:r>
      <w:proofErr w:type="spellEnd"/>
      <w:r w:rsidRPr="0025095C">
        <w:rPr>
          <w:rFonts w:ascii="Times New Roman" w:eastAsia="Calibri" w:hAnsi="Times New Roman" w:cs="Times New Roman"/>
          <w:sz w:val="24"/>
          <w:szCs w:val="24"/>
        </w:rPr>
        <w:t xml:space="preserve"> муниципальных образований. </w:t>
      </w:r>
      <w:r w:rsidRPr="0025095C">
        <w:rPr>
          <w:rFonts w:ascii="Times New Roman" w:eastAsia="Calibri" w:hAnsi="Times New Roman" w:cs="Times New Roman"/>
          <w:sz w:val="24"/>
          <w:szCs w:val="24"/>
          <w:lang w:eastAsia="ru-RU"/>
        </w:rPr>
        <w:t>Перечень моногородов был составлен и утвержден в 2014 году</w:t>
      </w:r>
      <w:r w:rsidR="00801D5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801D5A" w:rsidRPr="00801D5A">
        <w:rPr>
          <w:rFonts w:ascii="Times New Roman" w:eastAsia="Calibri" w:hAnsi="Times New Roman" w:cs="Times New Roman"/>
          <w:sz w:val="24"/>
          <w:szCs w:val="24"/>
          <w:lang w:eastAsia="ru-RU"/>
        </w:rPr>
        <w:t>[5]</w:t>
      </w:r>
      <w:r w:rsidRPr="0025095C">
        <w:rPr>
          <w:rFonts w:ascii="Times New Roman" w:eastAsia="Calibri" w:hAnsi="Times New Roman" w:cs="Times New Roman"/>
          <w:sz w:val="24"/>
          <w:szCs w:val="24"/>
          <w:lang w:eastAsia="ru-RU"/>
        </w:rPr>
        <w:t>, т.е. 10 лет назад, а за этот период многое изменилось, российская экономика столкнулась как минимум с двумя новыми и весьма серьезными вызовами: пандемией коронавируса в 2020 году и беспрецедентным санкционным давлением со стороны недружественных стран в 2022 году. Необходимо отметить, что эксперты Счетной палаты РФ неоднократно отмечали тот факт, что утвержденный Перечень моногородов не актуален</w:t>
      </w:r>
      <w:r w:rsidR="00217B45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217B45" w:rsidRPr="00217B45">
        <w:rPr>
          <w:rFonts w:ascii="Times New Roman" w:eastAsia="Calibri" w:hAnsi="Times New Roman" w:cs="Times New Roman"/>
          <w:sz w:val="24"/>
          <w:szCs w:val="24"/>
          <w:lang w:eastAsia="ru-RU"/>
        </w:rPr>
        <w:t>[</w:t>
      </w:r>
      <w:r w:rsidR="007C0208">
        <w:rPr>
          <w:rFonts w:ascii="Times New Roman" w:eastAsia="Calibri" w:hAnsi="Times New Roman" w:cs="Times New Roman"/>
          <w:sz w:val="24"/>
          <w:szCs w:val="24"/>
          <w:lang w:eastAsia="ru-RU"/>
        </w:rPr>
        <w:t>3</w:t>
      </w:r>
      <w:r w:rsidR="00217B45" w:rsidRPr="00217B45">
        <w:rPr>
          <w:rFonts w:ascii="Times New Roman" w:eastAsia="Calibri" w:hAnsi="Times New Roman" w:cs="Times New Roman"/>
          <w:sz w:val="24"/>
          <w:szCs w:val="24"/>
          <w:lang w:eastAsia="ru-RU"/>
        </w:rPr>
        <w:t>]</w:t>
      </w:r>
      <w:r w:rsidRPr="00217B45">
        <w:rPr>
          <w:rFonts w:ascii="Times New Roman" w:eastAsia="Calibri" w:hAnsi="Times New Roman" w:cs="Times New Roman"/>
          <w:sz w:val="24"/>
          <w:szCs w:val="24"/>
          <w:vertAlign w:val="superscript"/>
          <w:lang w:eastAsia="ru-RU"/>
        </w:rPr>
        <w:t xml:space="preserve">. </w:t>
      </w:r>
    </w:p>
    <w:p w14:paraId="25ECF8EC" w14:textId="24A23FDF" w:rsidR="0025095C" w:rsidRPr="0025095C" w:rsidRDefault="0025095C" w:rsidP="00C77E36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proofErr w:type="spellStart"/>
      <w:r w:rsidRPr="0025095C">
        <w:rPr>
          <w:rFonts w:ascii="Times New Roman" w:eastAsia="Calibri" w:hAnsi="Times New Roman" w:cs="Times New Roman"/>
          <w:sz w:val="24"/>
          <w:szCs w:val="24"/>
          <w:lang w:eastAsia="ru-RU"/>
        </w:rPr>
        <w:t>Монопрофильность</w:t>
      </w:r>
      <w:proofErr w:type="spellEnd"/>
      <w:r w:rsidRPr="0025095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экономики является огромным риском для устойчивого социально-экономического развития любого города, однако в настоящее время в крупных городах как правило достаточно хорошо развит третичный (сфера услуг) и четвертичный (экономика знаний) сектора экономики, чего, к сожалению, нельзя сказать о подавляющем большинстве малых и средних российских городов. Экономика многих из них по-прежнему базируется на какой-то одной отраслевой специализации, а сфера социально-бытовых услуг слаборазвита, что выступает одной из причин миграционного оттока населения </w:t>
      </w:r>
    </w:p>
    <w:p w14:paraId="657911C3" w14:textId="0F503C6E" w:rsidR="0025095C" w:rsidRPr="0025095C" w:rsidRDefault="0025095C" w:rsidP="00C77E36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25095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исследовании мы сосредоточились на проблематике экономического развития малых и средних </w:t>
      </w:r>
      <w:proofErr w:type="spellStart"/>
      <w:r w:rsidRPr="0025095C">
        <w:rPr>
          <w:rFonts w:ascii="Times New Roman" w:eastAsia="Calibri" w:hAnsi="Times New Roman" w:cs="Times New Roman"/>
          <w:sz w:val="24"/>
          <w:szCs w:val="24"/>
          <w:lang w:eastAsia="ru-RU"/>
        </w:rPr>
        <w:t>монопрофильных</w:t>
      </w:r>
      <w:proofErr w:type="spellEnd"/>
      <w:r w:rsidRPr="0025095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городов Европейского Севера России (далее – ЕСР). Подавляющее большинство городов ЕСР относятся к категории малых и средних – 61 из 68 городов, при этом треть из них (20 ед.)</w:t>
      </w:r>
      <w:r w:rsidRPr="0025095C">
        <w:rPr>
          <w:rFonts w:ascii="Times New Roman" w:eastAsia="Calibri" w:hAnsi="Times New Roman" w:cs="Times New Roman"/>
          <w:sz w:val="24"/>
          <w:szCs w:val="24"/>
        </w:rPr>
        <w:t xml:space="preserve"> включены в Перечень </w:t>
      </w:r>
      <w:proofErr w:type="spellStart"/>
      <w:r w:rsidRPr="0025095C">
        <w:rPr>
          <w:rFonts w:ascii="Times New Roman" w:eastAsia="Calibri" w:hAnsi="Times New Roman" w:cs="Times New Roman"/>
          <w:sz w:val="24"/>
          <w:szCs w:val="24"/>
        </w:rPr>
        <w:t>монопрофильных</w:t>
      </w:r>
      <w:proofErr w:type="spellEnd"/>
      <w:r w:rsidRPr="0025095C">
        <w:rPr>
          <w:rFonts w:ascii="Times New Roman" w:eastAsia="Calibri" w:hAnsi="Times New Roman" w:cs="Times New Roman"/>
          <w:sz w:val="24"/>
          <w:szCs w:val="24"/>
        </w:rPr>
        <w:t xml:space="preserve"> муниципальных образований Российской Федерации (моногородов), утвержденный распоряжением Правительства Российской Федерации от 29 июля 2014 г. № 1398-р. </w:t>
      </w:r>
    </w:p>
    <w:p w14:paraId="08A6A8FA" w14:textId="3553591D" w:rsidR="0025095C" w:rsidRPr="0025095C" w:rsidRDefault="0025095C" w:rsidP="00C77E36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25095C"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В настоящее время на территории Европейского Севера России расположено 33 муниципальных образования с </w:t>
      </w:r>
      <w:proofErr w:type="spellStart"/>
      <w:r w:rsidRPr="0025095C">
        <w:rPr>
          <w:rFonts w:ascii="Times New Roman" w:eastAsia="Calibri" w:hAnsi="Times New Roman" w:cs="Times New Roman"/>
          <w:sz w:val="24"/>
          <w:szCs w:val="24"/>
        </w:rPr>
        <w:t>монопрофильной</w:t>
      </w:r>
      <w:proofErr w:type="spellEnd"/>
      <w:r w:rsidRPr="0025095C">
        <w:rPr>
          <w:rFonts w:ascii="Times New Roman" w:eastAsia="Calibri" w:hAnsi="Times New Roman" w:cs="Times New Roman"/>
          <w:sz w:val="24"/>
          <w:szCs w:val="24"/>
        </w:rPr>
        <w:t xml:space="preserve"> экономикой, при этом 20 из них это малые и средние города. </w:t>
      </w:r>
    </w:p>
    <w:p w14:paraId="5026B03F" w14:textId="1D5A4722" w:rsidR="0025095C" w:rsidRPr="0025095C" w:rsidRDefault="00095BFC" w:rsidP="00C77E36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На наш взгляд, в</w:t>
      </w:r>
      <w:r w:rsidRPr="0025095C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законодательно закрепленном списке моногородов далеко не все муниципальные образования характеризуются </w:t>
      </w:r>
      <w:proofErr w:type="spellStart"/>
      <w:r w:rsidRPr="0025095C">
        <w:rPr>
          <w:rFonts w:ascii="Times New Roman" w:eastAsia="Calibri" w:hAnsi="Times New Roman" w:cs="Times New Roman"/>
          <w:sz w:val="24"/>
          <w:szCs w:val="24"/>
          <w:lang w:eastAsia="ar-SA"/>
        </w:rPr>
        <w:t>моноотраслевой</w:t>
      </w:r>
      <w:proofErr w:type="spellEnd"/>
      <w:r w:rsidRPr="0025095C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экономикой, а в ряде из них градообразующие предприятия уже давно ликвидированы. </w:t>
      </w:r>
      <w:r>
        <w:rPr>
          <w:rFonts w:ascii="Times New Roman" w:eastAsia="Calibri" w:hAnsi="Times New Roman" w:cs="Times New Roman"/>
          <w:sz w:val="24"/>
          <w:szCs w:val="24"/>
        </w:rPr>
        <w:t>В результате</w:t>
      </w:r>
      <w:r w:rsidR="0025095C" w:rsidRPr="0025095C">
        <w:rPr>
          <w:rFonts w:ascii="Times New Roman" w:eastAsia="Calibri" w:hAnsi="Times New Roman" w:cs="Times New Roman"/>
          <w:sz w:val="24"/>
          <w:szCs w:val="24"/>
        </w:rPr>
        <w:t xml:space="preserve"> анализа действующих в муниципальных образованиях организаций  </w:t>
      </w:r>
      <w:r>
        <w:rPr>
          <w:rFonts w:ascii="Times New Roman" w:eastAsia="Calibri" w:hAnsi="Times New Roman" w:cs="Times New Roman"/>
          <w:sz w:val="24"/>
          <w:szCs w:val="24"/>
        </w:rPr>
        <w:t>нами было</w:t>
      </w:r>
      <w:r w:rsidR="0025095C" w:rsidRPr="0025095C">
        <w:rPr>
          <w:rFonts w:ascii="Times New Roman" w:eastAsia="Calibri" w:hAnsi="Times New Roman" w:cs="Times New Roman"/>
          <w:sz w:val="24"/>
          <w:szCs w:val="24"/>
        </w:rPr>
        <w:t xml:space="preserve"> выдел</w:t>
      </w:r>
      <w:r>
        <w:rPr>
          <w:rFonts w:ascii="Times New Roman" w:eastAsia="Calibri" w:hAnsi="Times New Roman" w:cs="Times New Roman"/>
          <w:sz w:val="24"/>
          <w:szCs w:val="24"/>
        </w:rPr>
        <w:t>ено</w:t>
      </w:r>
      <w:r w:rsidR="0025095C" w:rsidRPr="0025095C">
        <w:rPr>
          <w:rFonts w:ascii="Times New Roman" w:eastAsia="Calibri" w:hAnsi="Times New Roman" w:cs="Times New Roman"/>
          <w:sz w:val="24"/>
          <w:szCs w:val="24"/>
        </w:rPr>
        <w:t xml:space="preserve"> три основные группы городов: 1) моногорода с одним или несколькими крупными предприятиями в одной отрасли промышленности (т.е. города сохранившие свою </w:t>
      </w:r>
      <w:proofErr w:type="spellStart"/>
      <w:r w:rsidR="0025095C" w:rsidRPr="0025095C">
        <w:rPr>
          <w:rFonts w:ascii="Times New Roman" w:eastAsia="Calibri" w:hAnsi="Times New Roman" w:cs="Times New Roman"/>
          <w:sz w:val="24"/>
          <w:szCs w:val="24"/>
        </w:rPr>
        <w:t>монопрофильность</w:t>
      </w:r>
      <w:proofErr w:type="spellEnd"/>
      <w:r w:rsidR="0025095C" w:rsidRPr="0025095C">
        <w:rPr>
          <w:rFonts w:ascii="Times New Roman" w:eastAsia="Calibri" w:hAnsi="Times New Roman" w:cs="Times New Roman"/>
          <w:sz w:val="24"/>
          <w:szCs w:val="24"/>
        </w:rPr>
        <w:t>); 2) моногорода, где в настоящее время имеются несколько крупных или средних предприятий в разных хозяйственных отраслях; 3) бывшие моногорода, где функционировало одно или несколько градообразующих предприятий, которые в настоящее время ликвидированы.</w:t>
      </w:r>
    </w:p>
    <w:p w14:paraId="0FBDECC3" w14:textId="2E2A1A6B" w:rsidR="00095BFC" w:rsidRPr="007E3A5E" w:rsidRDefault="00095BFC" w:rsidP="00C77E36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На основе данных </w:t>
      </w:r>
      <w:r w:rsidRPr="00095BFC">
        <w:rPr>
          <w:rFonts w:ascii="Times New Roman" w:eastAsia="Calibri" w:hAnsi="Times New Roman" w:cs="Times New Roman"/>
          <w:sz w:val="24"/>
          <w:szCs w:val="24"/>
        </w:rPr>
        <w:t>сервиса проверки контрагентов List-</w:t>
      </w:r>
      <w:proofErr w:type="spellStart"/>
      <w:r w:rsidRPr="00095BFC">
        <w:rPr>
          <w:rFonts w:ascii="Times New Roman" w:eastAsia="Calibri" w:hAnsi="Times New Roman" w:cs="Times New Roman"/>
          <w:sz w:val="24"/>
          <w:szCs w:val="24"/>
        </w:rPr>
        <w:t>org</w:t>
      </w:r>
      <w:proofErr w:type="spellEnd"/>
      <w:r w:rsidRPr="00095BFC">
        <w:rPr>
          <w:rFonts w:ascii="Times New Roman" w:eastAsia="Calibri" w:hAnsi="Times New Roman" w:cs="Times New Roman"/>
          <w:sz w:val="24"/>
          <w:szCs w:val="24"/>
        </w:rPr>
        <w:t xml:space="preserve"> (https://www.list-org.com), </w:t>
      </w:r>
      <w:r>
        <w:rPr>
          <w:rFonts w:ascii="Times New Roman" w:eastAsia="Calibri" w:hAnsi="Times New Roman" w:cs="Times New Roman"/>
          <w:sz w:val="24"/>
          <w:szCs w:val="24"/>
        </w:rPr>
        <w:t xml:space="preserve">был проведен </w:t>
      </w:r>
      <w:r w:rsidRPr="00095BFC">
        <w:rPr>
          <w:rFonts w:ascii="Times New Roman" w:eastAsia="Calibri" w:hAnsi="Times New Roman" w:cs="Times New Roman"/>
          <w:sz w:val="24"/>
          <w:szCs w:val="24"/>
        </w:rPr>
        <w:t>анализ финансовых результатов деятельности предприятий, функционирующих в малых и средних городах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  <w:r w:rsidR="007E3A5E">
        <w:rPr>
          <w:rFonts w:ascii="Times New Roman" w:eastAsia="Calibri" w:hAnsi="Times New Roman" w:cs="Times New Roman"/>
          <w:sz w:val="24"/>
          <w:szCs w:val="24"/>
        </w:rPr>
        <w:t xml:space="preserve"> Было у</w:t>
      </w:r>
      <w:r w:rsidR="007E3A5E" w:rsidRPr="007E3A5E">
        <w:rPr>
          <w:rFonts w:ascii="Times New Roman" w:eastAsia="Calibri" w:hAnsi="Times New Roman" w:cs="Times New Roman"/>
          <w:sz w:val="24"/>
          <w:szCs w:val="24"/>
        </w:rPr>
        <w:t>становлено, что санкции и разрыв производственных цепочек с западными странами, привели к заметному снижению прибыли большинства из них. При этом особенно сильно пострадали предприятия лесопромышленного комплекса, поскольку их деятельность была более экспортоориентированной</w:t>
      </w:r>
      <w:r w:rsidR="007E3A5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7E3A5E" w:rsidRPr="007E3A5E">
        <w:rPr>
          <w:rFonts w:ascii="Times New Roman" w:eastAsia="Calibri" w:hAnsi="Times New Roman" w:cs="Times New Roman"/>
          <w:sz w:val="24"/>
          <w:szCs w:val="24"/>
        </w:rPr>
        <w:t>[</w:t>
      </w:r>
      <w:r w:rsidR="00801D5A">
        <w:rPr>
          <w:rFonts w:ascii="Times New Roman" w:eastAsia="Calibri" w:hAnsi="Times New Roman" w:cs="Times New Roman"/>
          <w:sz w:val="24"/>
          <w:szCs w:val="24"/>
        </w:rPr>
        <w:t>6</w:t>
      </w:r>
      <w:r w:rsidR="007E3A5E" w:rsidRPr="007E3A5E">
        <w:rPr>
          <w:rFonts w:ascii="Times New Roman" w:eastAsia="Calibri" w:hAnsi="Times New Roman" w:cs="Times New Roman"/>
          <w:sz w:val="24"/>
          <w:szCs w:val="24"/>
        </w:rPr>
        <w:t>].</w:t>
      </w:r>
    </w:p>
    <w:p w14:paraId="1A200959" w14:textId="02D030A3" w:rsidR="007E3A5E" w:rsidRDefault="007E3A5E" w:rsidP="007E3A5E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ar-SA"/>
        </w:rPr>
      </w:pPr>
      <w:r>
        <w:rPr>
          <w:rFonts w:ascii="Times New Roman" w:eastAsia="Calibri" w:hAnsi="Times New Roman" w:cs="Times New Roman"/>
          <w:sz w:val="24"/>
          <w:szCs w:val="24"/>
          <w:lang w:eastAsia="ar-SA"/>
        </w:rPr>
        <w:t>В качестве ключевых направлений развития городов разных типов, на наш взгляд, можно предложить следующие.</w:t>
      </w:r>
    </w:p>
    <w:p w14:paraId="38C2F1F5" w14:textId="48AC41BF" w:rsidR="007E3A5E" w:rsidRPr="0025095C" w:rsidRDefault="007E3A5E" w:rsidP="007E3A5E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ar-SA"/>
        </w:rPr>
      </w:pPr>
      <w:r>
        <w:rPr>
          <w:rFonts w:ascii="Times New Roman" w:eastAsia="Calibri" w:hAnsi="Times New Roman" w:cs="Times New Roman"/>
          <w:sz w:val="24"/>
          <w:szCs w:val="24"/>
          <w:lang w:eastAsia="ar-SA"/>
        </w:rPr>
        <w:t>Д</w:t>
      </w:r>
      <w:r w:rsidRPr="0025095C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ля </w:t>
      </w:r>
      <w:r>
        <w:rPr>
          <w:rFonts w:ascii="Times New Roman" w:eastAsia="Calibri" w:hAnsi="Times New Roman" w:cs="Times New Roman"/>
          <w:sz w:val="24"/>
          <w:szCs w:val="24"/>
          <w:lang w:eastAsia="ar-SA"/>
        </w:rPr>
        <w:t>городов</w:t>
      </w:r>
      <w:r w:rsidRPr="0025095C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с одним или несколькими крупными предприятиями в одной отрасли промышленности, </w:t>
      </w:r>
      <w:r w:rsidR="00801D5A" w:rsidRPr="0025095C">
        <w:rPr>
          <w:rFonts w:ascii="Times New Roman" w:eastAsia="Calibri" w:hAnsi="Times New Roman" w:cs="Times New Roman"/>
          <w:sz w:val="24"/>
          <w:szCs w:val="24"/>
          <w:lang w:eastAsia="ar-SA"/>
        </w:rPr>
        <w:t>другими</w:t>
      </w:r>
      <w:r w:rsidR="00801D5A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</w:t>
      </w:r>
      <w:r w:rsidR="00801D5A" w:rsidRPr="0025095C">
        <w:rPr>
          <w:rFonts w:ascii="Times New Roman" w:eastAsia="Calibri" w:hAnsi="Times New Roman" w:cs="Times New Roman"/>
          <w:sz w:val="24"/>
          <w:szCs w:val="24"/>
          <w:lang w:eastAsia="ar-SA"/>
        </w:rPr>
        <w:t>словами,</w:t>
      </w:r>
      <w:r w:rsidRPr="0025095C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«истинных» моногородов, действительно важна господдержка на федеральном уровне. При этом, поскольку большинство из этих городов можно отнести к «сырьевому» типу (добыча полезных ископаемых, лесная промышленность) важно понимать и уметь прогнозировать степень востребованности производимой в моногородах продукции на внутренних и внешних рынках. Соответственно инструменты поддержки должны быть направлены на предупреждение возможных рисков. Также, поскольку градообразующие предприятия во многих городах были созданы еще в советское время, важной задачей является проведение их модернизации в том числе за счет бюджетного финансирования. </w:t>
      </w:r>
    </w:p>
    <w:p w14:paraId="29C928DC" w14:textId="77777777" w:rsidR="007E3A5E" w:rsidRPr="0025095C" w:rsidRDefault="007E3A5E" w:rsidP="007E3A5E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ar-SA"/>
        </w:rPr>
      </w:pPr>
      <w:r w:rsidRPr="0025095C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Полная диверсификация экономики городов данного типа, на наш взгляд, крайне трудновыполнимая задача, однако вполне возможно в них параллельно основной отрасли развивать смежные сферы экономики. Так, одним из перспективных и вполне реализуемых направлений, на наш взгляд, может стать развитие промышленного туризма. </w:t>
      </w:r>
    </w:p>
    <w:p w14:paraId="5DE33F5B" w14:textId="4DB9CA2D" w:rsidR="007E3A5E" w:rsidRPr="0025095C" w:rsidRDefault="007E3A5E" w:rsidP="007E3A5E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ar-SA"/>
        </w:rPr>
      </w:pPr>
      <w:r w:rsidRPr="0025095C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Также в городах, где присутствуют крупные вертикально-интегрированные компании, особенно важно развивать государственно-частное и </w:t>
      </w:r>
      <w:proofErr w:type="spellStart"/>
      <w:r w:rsidRPr="0025095C">
        <w:rPr>
          <w:rFonts w:ascii="Times New Roman" w:eastAsia="Calibri" w:hAnsi="Times New Roman" w:cs="Times New Roman"/>
          <w:sz w:val="24"/>
          <w:szCs w:val="24"/>
          <w:lang w:eastAsia="ar-SA"/>
        </w:rPr>
        <w:t>муниципально</w:t>
      </w:r>
      <w:proofErr w:type="spellEnd"/>
      <w:r w:rsidRPr="0025095C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-частное партнерство. При этом одним из перспективных направлений именно для малых и средних городов видится сфера образования, в частности, открытие филиалов организаций высшего и среднего профессионального образования. </w:t>
      </w:r>
    </w:p>
    <w:p w14:paraId="72028117" w14:textId="6B8E0460" w:rsidR="007E3A5E" w:rsidRPr="0025095C" w:rsidRDefault="007E3A5E" w:rsidP="007E3A5E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25095C">
        <w:rPr>
          <w:rFonts w:ascii="Times New Roman" w:eastAsia="Calibri" w:hAnsi="Times New Roman" w:cs="Times New Roman"/>
          <w:sz w:val="24"/>
          <w:szCs w:val="24"/>
        </w:rPr>
        <w:t xml:space="preserve">Для второго выделенного нами типа городов, где в настоящее время функционируют несколько крупных или средних предприятий в разных хозяйственных отраслях, на первый взгляд может показаться, что проблема </w:t>
      </w:r>
      <w:proofErr w:type="spellStart"/>
      <w:r w:rsidRPr="0025095C">
        <w:rPr>
          <w:rFonts w:ascii="Times New Roman" w:eastAsia="Calibri" w:hAnsi="Times New Roman" w:cs="Times New Roman"/>
          <w:sz w:val="24"/>
          <w:szCs w:val="24"/>
        </w:rPr>
        <w:t>монопрофильности</w:t>
      </w:r>
      <w:proofErr w:type="spellEnd"/>
      <w:r w:rsidRPr="0025095C">
        <w:rPr>
          <w:rFonts w:ascii="Times New Roman" w:eastAsia="Calibri" w:hAnsi="Times New Roman" w:cs="Times New Roman"/>
          <w:sz w:val="24"/>
          <w:szCs w:val="24"/>
        </w:rPr>
        <w:t xml:space="preserve"> решена. Однако в реальности, по нашему мнению, социально-экономическое положение большинства из них сложно назвать устойчивым. При этом нужно понимать, что потенциально эти города могут быть исключены из перечня </w:t>
      </w:r>
      <w:proofErr w:type="spellStart"/>
      <w:r w:rsidRPr="0025095C">
        <w:rPr>
          <w:rFonts w:ascii="Times New Roman" w:eastAsia="Calibri" w:hAnsi="Times New Roman" w:cs="Times New Roman"/>
          <w:sz w:val="24"/>
          <w:szCs w:val="24"/>
        </w:rPr>
        <w:t>монопрофильных</w:t>
      </w:r>
      <w:proofErr w:type="spellEnd"/>
      <w:r w:rsidRPr="0025095C">
        <w:rPr>
          <w:rFonts w:ascii="Times New Roman" w:eastAsia="Calibri" w:hAnsi="Times New Roman" w:cs="Times New Roman"/>
          <w:sz w:val="24"/>
          <w:szCs w:val="24"/>
        </w:rPr>
        <w:t xml:space="preserve"> муниципальных образований, соответственно, они лишаться даже самой возможности получения федерального финансирования или присвоения статуса территории опережающего социально-экономического развития (ТОСЭР). В настоящее время из 20 моногородов ЕСР лишь 5 имеют данный статус: </w:t>
      </w:r>
      <w:proofErr w:type="spellStart"/>
      <w:r w:rsidRPr="0025095C">
        <w:rPr>
          <w:rFonts w:ascii="Times New Roman" w:eastAsia="Calibri" w:hAnsi="Times New Roman" w:cs="Times New Roman"/>
          <w:sz w:val="24"/>
          <w:szCs w:val="24"/>
        </w:rPr>
        <w:t>Емва</w:t>
      </w:r>
      <w:proofErr w:type="spellEnd"/>
      <w:r w:rsidRPr="0025095C">
        <w:rPr>
          <w:rFonts w:ascii="Times New Roman" w:eastAsia="Calibri" w:hAnsi="Times New Roman" w:cs="Times New Roman"/>
          <w:sz w:val="24"/>
          <w:szCs w:val="24"/>
        </w:rPr>
        <w:t xml:space="preserve">, Кировск, Кондопога, Онега, Костомукша, а также функционирует один индустриальный парк (г. Сокол Вологодской области). </w:t>
      </w:r>
    </w:p>
    <w:p w14:paraId="651F32EF" w14:textId="424AC385" w:rsidR="007E3A5E" w:rsidRPr="0025095C" w:rsidRDefault="007E3A5E" w:rsidP="007E3A5E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25095C">
        <w:rPr>
          <w:rFonts w:ascii="Times New Roman" w:eastAsia="Calibri" w:hAnsi="Times New Roman" w:cs="Times New Roman"/>
          <w:sz w:val="24"/>
          <w:szCs w:val="24"/>
        </w:rPr>
        <w:t xml:space="preserve">Еще одним значимым для данной категории городов направлений, на наш взгляд, является поддержка развития и выведение на конкурентоспособный уровень субъектов малого </w:t>
      </w:r>
      <w:r w:rsidRPr="0025095C"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и среднего предпринимательства, а не только функционирующих в городе крупных предприятий.  </w:t>
      </w:r>
    </w:p>
    <w:p w14:paraId="78F1E418" w14:textId="4EE61DD9" w:rsidR="007E3A5E" w:rsidRPr="0025095C" w:rsidRDefault="007C0208" w:rsidP="007E3A5E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Д</w:t>
      </w:r>
      <w:r w:rsidR="007E3A5E" w:rsidRPr="0025095C">
        <w:rPr>
          <w:rFonts w:ascii="Times New Roman" w:eastAsia="Calibri" w:hAnsi="Times New Roman" w:cs="Times New Roman"/>
          <w:sz w:val="24"/>
          <w:szCs w:val="24"/>
        </w:rPr>
        <w:t xml:space="preserve">ля третьей группы так называемых «бывших» моногородов варианты дальнейшего развития также не столь однозначны. Одним из них является реализация стратегии «управляемого сжатия». Данная модель развития вполне применима к добывающим городам, расположенным в неблагоприятных климатических условиях. Классическим примером является г. Инта, где давно прекращена добыча угля, а численность населения города сократилась почти на 2/3 по сравнению с эпохой позднего СССР. Для таких городов остро стоит вопрос содержания жилищно-коммунальной инфраструктуры и одним из вариантов ее решения как раз может стать политика управляемого сжатия. </w:t>
      </w:r>
    </w:p>
    <w:p w14:paraId="72C874C9" w14:textId="77777777" w:rsidR="007E3A5E" w:rsidRPr="0025095C" w:rsidRDefault="007E3A5E" w:rsidP="007E3A5E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25095C">
        <w:rPr>
          <w:rFonts w:ascii="Times New Roman" w:eastAsia="Calibri" w:hAnsi="Times New Roman" w:cs="Times New Roman"/>
          <w:sz w:val="24"/>
          <w:szCs w:val="24"/>
        </w:rPr>
        <w:t xml:space="preserve">Также для городов третьего типа, на наш взгляд, определяющее значение имеет то, какое положение они занимают в региональной системе расселения. К примеру, г. Красавино в Вологодской области территориально расположен между более крупными городами – Великим Устюгом и Котласом. Соответственно, одним из перспективных вариантов для г. Красавино является его развитие в составе Котласской городской агломерации. </w:t>
      </w:r>
    </w:p>
    <w:p w14:paraId="0891BCC5" w14:textId="78134D70" w:rsidR="007E3A5E" w:rsidRPr="0025095C" w:rsidRDefault="007C0208" w:rsidP="007E3A5E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bookmarkStart w:id="1" w:name="_Hlk141250369"/>
      <w:r>
        <w:rPr>
          <w:rFonts w:ascii="Times New Roman" w:eastAsia="Calibri" w:hAnsi="Times New Roman" w:cs="Times New Roman"/>
          <w:sz w:val="24"/>
          <w:szCs w:val="24"/>
        </w:rPr>
        <w:t>В заключение отметим, что, на наш взгляд,</w:t>
      </w:r>
      <w:r w:rsidR="007E3A5E" w:rsidRPr="0025095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7E3A5E" w:rsidRPr="0025095C">
        <w:rPr>
          <w:rFonts w:ascii="Times New Roman" w:eastAsia="Calibri" w:hAnsi="Times New Roman" w:cs="Times New Roman"/>
          <w:sz w:val="24"/>
          <w:szCs w:val="24"/>
        </w:rPr>
        <w:t>монопрофильность</w:t>
      </w:r>
      <w:proofErr w:type="spellEnd"/>
      <w:r w:rsidR="007E3A5E" w:rsidRPr="0025095C">
        <w:rPr>
          <w:rFonts w:ascii="Times New Roman" w:eastAsia="Calibri" w:hAnsi="Times New Roman" w:cs="Times New Roman"/>
          <w:sz w:val="24"/>
          <w:szCs w:val="24"/>
        </w:rPr>
        <w:t xml:space="preserve"> сама по себе не является проблемой, скорее данное явление несет в себе определенные риски для устойчивого социально-экономического развития территорий. Диверсификация экономики малых и средних городов, основой которой являются крупные промышленные предприятия регионального и даже национального масштаба, представляется важной, но трудновыполнимой задачей. Вместе с тем, если посмотреть на ситуацию под другим углом, то сложившиеся обстоятельства можно рассматривать как возможность для открытия новых предприятий в освободившихся нишах экономики. </w:t>
      </w:r>
    </w:p>
    <w:bookmarkEnd w:id="1"/>
    <w:p w14:paraId="59791BCC" w14:textId="77777777" w:rsidR="0025095C" w:rsidRPr="00C77E36" w:rsidRDefault="0025095C" w:rsidP="00C77E36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7B30C88E" w14:textId="77777777" w:rsidR="006F7FCA" w:rsidRPr="00C77E36" w:rsidRDefault="000600C7" w:rsidP="00C77E3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77E36"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14:paraId="41D8582F" w14:textId="77777777" w:rsidR="007C0208" w:rsidRPr="007C0208" w:rsidRDefault="007C0208" w:rsidP="00C77E3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14:paraId="23BBD220" w14:textId="467E741C" w:rsidR="007C0208" w:rsidRPr="007C0208" w:rsidRDefault="007C0208" w:rsidP="007C020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7C0208">
        <w:rPr>
          <w:rFonts w:ascii="Times New Roman" w:hAnsi="Times New Roman" w:cs="Times New Roman"/>
          <w:sz w:val="24"/>
          <w:szCs w:val="24"/>
          <w:shd w:val="clear" w:color="auto" w:fill="FFFFFF"/>
        </w:rPr>
        <w:t>1.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C0208">
        <w:rPr>
          <w:rFonts w:ascii="Times New Roman" w:hAnsi="Times New Roman" w:cs="Times New Roman"/>
          <w:sz w:val="24"/>
          <w:szCs w:val="24"/>
          <w:shd w:val="clear" w:color="auto" w:fill="FFFFFF"/>
        </w:rPr>
        <w:t>Анимица</w:t>
      </w:r>
      <w:proofErr w:type="spellEnd"/>
      <w:r w:rsidRPr="007C020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Е.Г., Новикова Н.В. (2009). Проблемы и перспективы развития моногородов России // Управленец. №1-2. С. 46-53.</w:t>
      </w:r>
    </w:p>
    <w:p w14:paraId="7778E14D" w14:textId="422F404D" w:rsidR="007C0208" w:rsidRPr="007C0208" w:rsidRDefault="007C0208" w:rsidP="007C020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2. </w:t>
      </w:r>
      <w:r w:rsidRPr="007C0208">
        <w:rPr>
          <w:rFonts w:ascii="Times New Roman" w:hAnsi="Times New Roman" w:cs="Times New Roman"/>
          <w:sz w:val="24"/>
          <w:szCs w:val="24"/>
          <w:shd w:val="clear" w:color="auto" w:fill="FFFFFF"/>
        </w:rPr>
        <w:t>Котов А.В. (2017). Полярный Рур: структурная политика в моногородах Российской Арктики // ЭКО. №7. С.34-54.</w:t>
      </w:r>
    </w:p>
    <w:p w14:paraId="73683258" w14:textId="07274104" w:rsidR="007C0208" w:rsidRPr="007C0208" w:rsidRDefault="007C0208" w:rsidP="00217B4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3. </w:t>
      </w:r>
      <w:r w:rsidRPr="007C0208">
        <w:rPr>
          <w:rFonts w:ascii="Times New Roman" w:hAnsi="Times New Roman" w:cs="Times New Roman"/>
          <w:sz w:val="24"/>
          <w:szCs w:val="24"/>
          <w:shd w:val="clear" w:color="auto" w:fill="FFFFFF"/>
        </w:rPr>
        <w:t>Отчет о результатах экспертно-аналитического мероприятия «Мониторинг и оценка хода реализации приоритетной программы «Комплексное развитие моногородов», утвержденный Коллегией Счетной палаты Российской Федерации 26 марта 2019 года</w:t>
      </w:r>
    </w:p>
    <w:p w14:paraId="7F603F0B" w14:textId="0FDEC9E3" w:rsidR="007C0208" w:rsidRDefault="007C0208" w:rsidP="007C020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4. </w:t>
      </w:r>
      <w:proofErr w:type="spellStart"/>
      <w:r w:rsidRPr="007C0208">
        <w:rPr>
          <w:rFonts w:ascii="Times New Roman" w:hAnsi="Times New Roman" w:cs="Times New Roman"/>
          <w:sz w:val="24"/>
          <w:szCs w:val="24"/>
          <w:shd w:val="clear" w:color="auto" w:fill="FFFFFF"/>
        </w:rPr>
        <w:t>Пыжева</w:t>
      </w:r>
      <w:proofErr w:type="spellEnd"/>
      <w:r w:rsidRPr="007C020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Ю.И., </w:t>
      </w:r>
      <w:proofErr w:type="spellStart"/>
      <w:r w:rsidRPr="007C0208">
        <w:rPr>
          <w:rFonts w:ascii="Times New Roman" w:hAnsi="Times New Roman" w:cs="Times New Roman"/>
          <w:sz w:val="24"/>
          <w:szCs w:val="24"/>
          <w:shd w:val="clear" w:color="auto" w:fill="FFFFFF"/>
        </w:rPr>
        <w:t>Зандер</w:t>
      </w:r>
      <w:proofErr w:type="spellEnd"/>
      <w:r w:rsidRPr="007C020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Е.В. (2019). Социально-экономическое разнообразие моногородов Сибири и Дальнего Востока: статистический анализ // Проблемы развития территории. № 3 (101). С. 49–61. DOI: 10.15838/ptd.2019.3.101.3</w:t>
      </w:r>
    </w:p>
    <w:p w14:paraId="70F3CD6C" w14:textId="5FB7C4E7" w:rsidR="00801D5A" w:rsidRPr="007C0208" w:rsidRDefault="00801D5A" w:rsidP="007C020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5. Р</w:t>
      </w:r>
      <w:r w:rsidRPr="00801D5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аспоряжение Правительства Российской Федерации от 29 июля 2014 г. N 1398-р «Об утверждении перечня </w:t>
      </w:r>
      <w:proofErr w:type="spellStart"/>
      <w:r w:rsidRPr="00801D5A">
        <w:rPr>
          <w:rFonts w:ascii="Times New Roman" w:hAnsi="Times New Roman" w:cs="Times New Roman"/>
          <w:sz w:val="24"/>
          <w:szCs w:val="24"/>
          <w:shd w:val="clear" w:color="auto" w:fill="FFFFFF"/>
        </w:rPr>
        <w:t>монопрофильных</w:t>
      </w:r>
      <w:proofErr w:type="spellEnd"/>
      <w:r w:rsidRPr="00801D5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муниципальных образований Российской Федерации (моногородов)»</w:t>
      </w:r>
    </w:p>
    <w:p w14:paraId="2A5F8A8C" w14:textId="18C983BA" w:rsidR="007C0208" w:rsidRPr="007C0208" w:rsidRDefault="00801D5A" w:rsidP="007C020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6</w:t>
      </w:r>
      <w:r w:rsidR="007C020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  <w:r w:rsidR="007C0208" w:rsidRPr="007C020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Секушина И.А. (2024). </w:t>
      </w:r>
      <w:proofErr w:type="spellStart"/>
      <w:r w:rsidR="007C0208" w:rsidRPr="007C0208">
        <w:rPr>
          <w:rFonts w:ascii="Times New Roman" w:hAnsi="Times New Roman" w:cs="Times New Roman"/>
          <w:sz w:val="24"/>
          <w:szCs w:val="24"/>
          <w:shd w:val="clear" w:color="auto" w:fill="FFFFFF"/>
        </w:rPr>
        <w:t>Монопрофильные</w:t>
      </w:r>
      <w:proofErr w:type="spellEnd"/>
      <w:r w:rsidR="007C0208" w:rsidRPr="007C020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малые и средние города Европейского Севера России в условиях социально-экономических вызовов 2020–2023 гг. // Экономические и социальные перемены: факты, тенденции, прогноз. Т. 17. № 5. С. 74–94. DOI: 10.15838/esc.2024.5.95.4</w:t>
      </w:r>
    </w:p>
    <w:p w14:paraId="2E52F8F3" w14:textId="76E347A9" w:rsidR="007C0208" w:rsidRPr="007C0208" w:rsidRDefault="00801D5A" w:rsidP="007C020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7</w:t>
      </w:r>
      <w:r w:rsidR="007C020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  <w:proofErr w:type="spellStart"/>
      <w:r w:rsidR="007C0208" w:rsidRPr="007C0208">
        <w:rPr>
          <w:rFonts w:ascii="Times New Roman" w:hAnsi="Times New Roman" w:cs="Times New Roman"/>
          <w:sz w:val="24"/>
          <w:szCs w:val="24"/>
          <w:shd w:val="clear" w:color="auto" w:fill="FFFFFF"/>
        </w:rPr>
        <w:t>Тургель</w:t>
      </w:r>
      <w:proofErr w:type="spellEnd"/>
      <w:r w:rsidR="007C0208" w:rsidRPr="007C020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И.Д. (2005). </w:t>
      </w:r>
      <w:proofErr w:type="spellStart"/>
      <w:r w:rsidR="007C0208" w:rsidRPr="007C0208">
        <w:rPr>
          <w:rFonts w:ascii="Times New Roman" w:hAnsi="Times New Roman" w:cs="Times New Roman"/>
          <w:sz w:val="24"/>
          <w:szCs w:val="24"/>
          <w:shd w:val="clear" w:color="auto" w:fill="FFFFFF"/>
        </w:rPr>
        <w:t>Моноспециализированные</w:t>
      </w:r>
      <w:proofErr w:type="spellEnd"/>
      <w:r w:rsidR="007C0208" w:rsidRPr="007C020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города России: специфика генезиса и анализа социально-экономического развития // Региональная экономика: теория и практика. № 7. С. 33-40.</w:t>
      </w:r>
    </w:p>
    <w:p w14:paraId="40253ED2" w14:textId="415FF205" w:rsidR="007C0208" w:rsidRPr="007C0208" w:rsidRDefault="00801D5A" w:rsidP="007C020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8</w:t>
      </w:r>
      <w:r w:rsidR="007C020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  <w:r w:rsidR="007C0208" w:rsidRPr="007C0208">
        <w:rPr>
          <w:rFonts w:ascii="Times New Roman" w:hAnsi="Times New Roman" w:cs="Times New Roman"/>
          <w:sz w:val="24"/>
          <w:szCs w:val="24"/>
          <w:shd w:val="clear" w:color="auto" w:fill="FFFFFF"/>
        </w:rPr>
        <w:t>Ускова Т.В. и др. Моногород: управление развитием. Вологда: ИСЭРТ РАН, 2012. – 220 с.</w:t>
      </w:r>
    </w:p>
    <w:p w14:paraId="10F0DD8A" w14:textId="77777777" w:rsidR="007C0208" w:rsidRDefault="007C0208" w:rsidP="00C77E3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14:paraId="43A93DE1" w14:textId="35E7994D" w:rsidR="006F7FCA" w:rsidRPr="00C77E36" w:rsidRDefault="000600C7" w:rsidP="00C77E3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C77E36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Информация об авторе</w:t>
      </w:r>
    </w:p>
    <w:p w14:paraId="4EB7B9D4" w14:textId="480747B0" w:rsidR="006F7FCA" w:rsidRPr="00C77E36" w:rsidRDefault="00850E51" w:rsidP="00C77E3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77E36">
        <w:rPr>
          <w:rFonts w:ascii="Times New Roman" w:hAnsi="Times New Roman" w:cs="Times New Roman"/>
          <w:b/>
          <w:bCs/>
          <w:sz w:val="24"/>
          <w:szCs w:val="24"/>
        </w:rPr>
        <w:t>Секушина</w:t>
      </w:r>
      <w:r w:rsidR="000600C7" w:rsidRPr="00C77E36">
        <w:rPr>
          <w:rFonts w:ascii="Times New Roman" w:hAnsi="Times New Roman" w:cs="Times New Roman"/>
          <w:b/>
          <w:bCs/>
          <w:sz w:val="24"/>
          <w:szCs w:val="24"/>
        </w:rPr>
        <w:t xml:space="preserve"> Ирина </w:t>
      </w:r>
      <w:r w:rsidRPr="00C77E36">
        <w:rPr>
          <w:rFonts w:ascii="Times New Roman" w:hAnsi="Times New Roman" w:cs="Times New Roman"/>
          <w:b/>
          <w:bCs/>
          <w:sz w:val="24"/>
          <w:szCs w:val="24"/>
        </w:rPr>
        <w:t>Анатольевна</w:t>
      </w:r>
      <w:r w:rsidR="000600C7" w:rsidRPr="00C77E36">
        <w:rPr>
          <w:rFonts w:ascii="Times New Roman" w:hAnsi="Times New Roman" w:cs="Times New Roman"/>
          <w:b/>
          <w:bCs/>
          <w:sz w:val="24"/>
          <w:szCs w:val="24"/>
        </w:rPr>
        <w:t xml:space="preserve"> (Россия, Вологда)</w:t>
      </w:r>
      <w:r w:rsidR="000600C7" w:rsidRPr="00C77E36">
        <w:rPr>
          <w:rFonts w:ascii="Times New Roman" w:hAnsi="Times New Roman" w:cs="Times New Roman"/>
          <w:sz w:val="24"/>
          <w:szCs w:val="24"/>
        </w:rPr>
        <w:t xml:space="preserve"> – </w:t>
      </w:r>
      <w:r w:rsidRPr="00C77E36">
        <w:rPr>
          <w:rFonts w:ascii="Times New Roman" w:hAnsi="Times New Roman" w:cs="Times New Roman"/>
          <w:sz w:val="24"/>
          <w:szCs w:val="24"/>
        </w:rPr>
        <w:t xml:space="preserve">старший </w:t>
      </w:r>
      <w:r w:rsidR="000600C7" w:rsidRPr="00C77E36">
        <w:rPr>
          <w:rFonts w:ascii="Times New Roman" w:hAnsi="Times New Roman" w:cs="Times New Roman"/>
          <w:sz w:val="24"/>
          <w:szCs w:val="24"/>
        </w:rPr>
        <w:t>научный сотрудник,</w:t>
      </w:r>
      <w:r w:rsidRPr="00C77E36">
        <w:rPr>
          <w:rFonts w:ascii="Times New Roman" w:hAnsi="Times New Roman" w:cs="Times New Roman"/>
          <w:sz w:val="24"/>
          <w:szCs w:val="24"/>
        </w:rPr>
        <w:t xml:space="preserve"> кандидат экономических наук,</w:t>
      </w:r>
      <w:r w:rsidR="000600C7" w:rsidRPr="00C77E36">
        <w:rPr>
          <w:rFonts w:ascii="Times New Roman" w:hAnsi="Times New Roman" w:cs="Times New Roman"/>
          <w:sz w:val="24"/>
          <w:szCs w:val="24"/>
        </w:rPr>
        <w:t xml:space="preserve"> Вологодский научный центр Российской академии наук (160014, Россия, г. Вологда, ул. Горького, д. 56а; </w:t>
      </w:r>
      <w:r w:rsidR="000600C7" w:rsidRPr="00C77E36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0600C7" w:rsidRPr="00C77E36">
        <w:rPr>
          <w:rFonts w:ascii="Times New Roman" w:hAnsi="Times New Roman" w:cs="Times New Roman"/>
          <w:sz w:val="24"/>
          <w:szCs w:val="24"/>
        </w:rPr>
        <w:t>-</w:t>
      </w:r>
      <w:r w:rsidR="000600C7" w:rsidRPr="00C77E36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="000600C7" w:rsidRPr="00C77E36">
        <w:rPr>
          <w:rFonts w:ascii="Times New Roman" w:hAnsi="Times New Roman" w:cs="Times New Roman"/>
          <w:sz w:val="24"/>
          <w:szCs w:val="24"/>
        </w:rPr>
        <w:t xml:space="preserve">: </w:t>
      </w:r>
      <w:r w:rsidRPr="00C77E36">
        <w:rPr>
          <w:rFonts w:ascii="Times New Roman" w:hAnsi="Times New Roman" w:cs="Times New Roman"/>
          <w:sz w:val="24"/>
          <w:szCs w:val="24"/>
        </w:rPr>
        <w:t>sekushina.isekushina@yandex.ru</w:t>
      </w:r>
      <w:r w:rsidR="000600C7" w:rsidRPr="00C77E36">
        <w:rPr>
          <w:rFonts w:ascii="Times New Roman" w:hAnsi="Times New Roman" w:cs="Times New Roman"/>
          <w:sz w:val="24"/>
          <w:szCs w:val="24"/>
        </w:rPr>
        <w:t>)</w:t>
      </w:r>
    </w:p>
    <w:p w14:paraId="295B4E9A" w14:textId="2EE342BD" w:rsidR="00850E51" w:rsidRPr="00C77E36" w:rsidRDefault="00850E51" w:rsidP="00C77E36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proofErr w:type="spellStart"/>
      <w:r w:rsidRPr="00C77E36"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en-US"/>
        </w:rPr>
        <w:lastRenderedPageBreak/>
        <w:t>Sekushina</w:t>
      </w:r>
      <w:proofErr w:type="spellEnd"/>
      <w:r w:rsidRPr="00C77E36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</w:t>
      </w:r>
      <w:r w:rsidRPr="00C77E36"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en-US"/>
        </w:rPr>
        <w:t>I</w:t>
      </w:r>
      <w:r w:rsidRPr="00C77E36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.</w:t>
      </w:r>
      <w:r w:rsidRPr="00C77E36"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en-US"/>
        </w:rPr>
        <w:t>A</w:t>
      </w:r>
      <w:r w:rsidRPr="00C77E36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.</w:t>
      </w:r>
    </w:p>
    <w:p w14:paraId="3DF9D248" w14:textId="77777777" w:rsidR="00801D5A" w:rsidRDefault="00801D5A" w:rsidP="00C77E36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19E571A6" w14:textId="155A22E8" w:rsidR="00EC7A3B" w:rsidRDefault="00801D5A" w:rsidP="00C77E36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801D5A">
        <w:rPr>
          <w:rFonts w:ascii="Times New Roman" w:hAnsi="Times New Roman" w:cs="Times New Roman"/>
          <w:b/>
          <w:bCs/>
          <w:sz w:val="24"/>
          <w:szCs w:val="24"/>
          <w:lang w:val="en-US"/>
        </w:rPr>
        <w:t>PROMISING AREAS FOR THE DEVELOPMENT OF SINGLE-INDUSTRY SMALL AND MEDIUM-SIZED CITIES</w:t>
      </w:r>
    </w:p>
    <w:p w14:paraId="6B70D006" w14:textId="77777777" w:rsidR="00801D5A" w:rsidRPr="00C77E36" w:rsidRDefault="00801D5A" w:rsidP="00C77E36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332623EE" w14:textId="77777777" w:rsidR="00801D5A" w:rsidRDefault="000600C7" w:rsidP="00C77E3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77E36">
        <w:rPr>
          <w:rFonts w:ascii="Times New Roman" w:hAnsi="Times New Roman" w:cs="Times New Roman"/>
          <w:b/>
          <w:sz w:val="24"/>
          <w:szCs w:val="24"/>
          <w:lang w:val="en-US"/>
        </w:rPr>
        <w:t xml:space="preserve">Abstract. </w:t>
      </w:r>
      <w:r w:rsidR="00801D5A" w:rsidRPr="00801D5A">
        <w:rPr>
          <w:rFonts w:ascii="Times New Roman" w:hAnsi="Times New Roman" w:cs="Times New Roman"/>
          <w:sz w:val="24"/>
          <w:szCs w:val="24"/>
          <w:lang w:val="en-US"/>
        </w:rPr>
        <w:t>The study presents a typology of single-industry small and medium-sized cities in the European North of Russia. Promising directions of economic development of various types of cities are proposed.</w:t>
      </w:r>
    </w:p>
    <w:p w14:paraId="0B4B0B68" w14:textId="7949FE8B" w:rsidR="00563269" w:rsidRPr="00D22C4B" w:rsidRDefault="000600C7" w:rsidP="00C77E3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77E36">
        <w:rPr>
          <w:rFonts w:ascii="Times New Roman" w:hAnsi="Times New Roman" w:cs="Times New Roman"/>
          <w:b/>
          <w:sz w:val="24"/>
          <w:szCs w:val="24"/>
          <w:lang w:val="en-US"/>
        </w:rPr>
        <w:t>Keywords</w:t>
      </w:r>
      <w:r w:rsidRPr="00D22C4B">
        <w:rPr>
          <w:rFonts w:ascii="Times New Roman" w:hAnsi="Times New Roman" w:cs="Times New Roman"/>
          <w:b/>
          <w:sz w:val="24"/>
          <w:szCs w:val="24"/>
          <w:lang w:val="en-US"/>
        </w:rPr>
        <w:t>:</w:t>
      </w:r>
      <w:r w:rsidRPr="00D22C4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22C4B" w:rsidRPr="00D22C4B">
        <w:rPr>
          <w:rFonts w:ascii="Times New Roman" w:hAnsi="Times New Roman" w:cs="Times New Roman"/>
          <w:sz w:val="24"/>
          <w:szCs w:val="24"/>
          <w:lang w:val="en-US"/>
        </w:rPr>
        <w:t>small and medium-sized cities, single-industry towns, the European North of Russia, a city-forming enterprise.</w:t>
      </w:r>
    </w:p>
    <w:p w14:paraId="3E24F5AA" w14:textId="77777777" w:rsidR="00563269" w:rsidRPr="00D22C4B" w:rsidRDefault="00563269" w:rsidP="00C77E36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36BD5ADC" w14:textId="07114F89" w:rsidR="006F7FCA" w:rsidRPr="00C77E36" w:rsidRDefault="000600C7" w:rsidP="00C77E36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C77E36">
        <w:rPr>
          <w:rFonts w:ascii="Times New Roman" w:hAnsi="Times New Roman" w:cs="Times New Roman"/>
          <w:b/>
          <w:bCs/>
          <w:sz w:val="24"/>
          <w:szCs w:val="24"/>
          <w:lang w:val="en-US"/>
        </w:rPr>
        <w:t>About the author</w:t>
      </w:r>
    </w:p>
    <w:p w14:paraId="195379D6" w14:textId="31156537" w:rsidR="006F7FCA" w:rsidRPr="00C77E36" w:rsidRDefault="00EC7A3B" w:rsidP="00C77E3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C77E36">
        <w:rPr>
          <w:rFonts w:ascii="Times New Roman" w:hAnsi="Times New Roman" w:cs="Times New Roman"/>
          <w:b/>
          <w:bCs/>
          <w:sz w:val="24"/>
          <w:szCs w:val="24"/>
          <w:lang w:val="en-US"/>
        </w:rPr>
        <w:t>Sekushina</w:t>
      </w:r>
      <w:proofErr w:type="spellEnd"/>
      <w:r w:rsidR="000600C7" w:rsidRPr="00C77E36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Irina </w:t>
      </w:r>
      <w:proofErr w:type="spellStart"/>
      <w:r w:rsidRPr="00C77E36">
        <w:rPr>
          <w:rFonts w:ascii="Times New Roman" w:hAnsi="Times New Roman" w:cs="Times New Roman"/>
          <w:b/>
          <w:bCs/>
          <w:sz w:val="24"/>
          <w:szCs w:val="24"/>
          <w:lang w:val="en-US"/>
        </w:rPr>
        <w:t>Anatol</w:t>
      </w:r>
      <w:r w:rsidR="000600C7" w:rsidRPr="00C77E36">
        <w:rPr>
          <w:rFonts w:ascii="Times New Roman" w:hAnsi="Times New Roman" w:cs="Times New Roman"/>
          <w:b/>
          <w:bCs/>
          <w:sz w:val="24"/>
          <w:szCs w:val="24"/>
          <w:lang w:val="en-US"/>
        </w:rPr>
        <w:t>evna</w:t>
      </w:r>
      <w:proofErr w:type="spellEnd"/>
      <w:r w:rsidR="000600C7" w:rsidRPr="00C77E36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(Russia, Vologda)</w:t>
      </w:r>
      <w:r w:rsidR="000600C7" w:rsidRPr="00C77E36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r w:rsidRPr="00C77E36">
        <w:rPr>
          <w:rFonts w:ascii="Times New Roman" w:hAnsi="Times New Roman" w:cs="Times New Roman"/>
          <w:sz w:val="24"/>
          <w:szCs w:val="24"/>
          <w:lang w:val="en-US"/>
        </w:rPr>
        <w:t>Senior Researcher, Candidate of Economic Sciences</w:t>
      </w:r>
      <w:r w:rsidR="000600C7" w:rsidRPr="00C77E36">
        <w:rPr>
          <w:rFonts w:ascii="Times New Roman" w:hAnsi="Times New Roman" w:cs="Times New Roman"/>
          <w:sz w:val="24"/>
          <w:szCs w:val="24"/>
          <w:lang w:val="en-US"/>
        </w:rPr>
        <w:t>, Federal State Budgetary Institution of Science Vologda Research Center of the Russian Academy of Sciences (</w:t>
      </w:r>
      <w:proofErr w:type="spellStart"/>
      <w:r w:rsidR="000600C7" w:rsidRPr="00C77E36">
        <w:rPr>
          <w:rFonts w:ascii="Times New Roman" w:hAnsi="Times New Roman" w:cs="Times New Roman"/>
          <w:sz w:val="24"/>
          <w:szCs w:val="24"/>
          <w:lang w:val="en-US"/>
        </w:rPr>
        <w:t>VolSC</w:t>
      </w:r>
      <w:proofErr w:type="spellEnd"/>
      <w:r w:rsidR="000600C7" w:rsidRPr="00C77E36">
        <w:rPr>
          <w:rFonts w:ascii="Times New Roman" w:hAnsi="Times New Roman" w:cs="Times New Roman"/>
          <w:sz w:val="24"/>
          <w:szCs w:val="24"/>
          <w:lang w:val="en-US"/>
        </w:rPr>
        <w:t xml:space="preserve"> RAS) (Russia, 160014, Vologda, Gorky Str., 56a, e-mail: </w:t>
      </w:r>
      <w:r w:rsidRPr="00C77E36">
        <w:rPr>
          <w:rFonts w:ascii="Times New Roman" w:hAnsi="Times New Roman" w:cs="Times New Roman"/>
          <w:sz w:val="24"/>
          <w:szCs w:val="24"/>
          <w:lang w:val="en-US"/>
        </w:rPr>
        <w:t>sekushina.isekushina@yandex.ru</w:t>
      </w:r>
      <w:r w:rsidR="000600C7" w:rsidRPr="00C77E36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14:paraId="05F41285" w14:textId="77777777" w:rsidR="00563269" w:rsidRPr="00C77E36" w:rsidRDefault="00563269" w:rsidP="00C77E3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6ABA9966" w14:textId="445EF2C9" w:rsidR="006F7FCA" w:rsidRDefault="000600C7" w:rsidP="00C77E3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77E36"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14:paraId="58562B62" w14:textId="77777777" w:rsidR="00801D5A" w:rsidRPr="00801D5A" w:rsidRDefault="00801D5A" w:rsidP="00801D5A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1.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Animica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E.G.,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Novikova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N.V. (2009).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Problemy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i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perspektivy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razvitiya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monogorodov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Rossii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//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Upravlenec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. №1-2. S. 46-53.</w:t>
      </w:r>
    </w:p>
    <w:p w14:paraId="7CCB3896" w14:textId="77777777" w:rsidR="00801D5A" w:rsidRPr="00801D5A" w:rsidRDefault="00801D5A" w:rsidP="00801D5A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2.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Kotov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A.V. (2017).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Polyarnyj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Rur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: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strukturnaya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politika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v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monogorodah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Rossijskoj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Arktiki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// EKO. №7. S.34-54.</w:t>
      </w:r>
    </w:p>
    <w:p w14:paraId="1B46BCE5" w14:textId="77777777" w:rsidR="00801D5A" w:rsidRPr="00801D5A" w:rsidRDefault="00801D5A" w:rsidP="00801D5A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3.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Otchet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o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rezul'tatah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ekspertno-analiticheskogo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meropriyatiya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«Monitoring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i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ocenka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hoda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realizacii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prioritetnoj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programmy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«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Kompleksnoe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razvitie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monogorodov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»,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utverzhdennyj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Kollegiej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Schetnoj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palaty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Rossijskoj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Federacii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26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marta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2019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goda</w:t>
      </w:r>
      <w:proofErr w:type="spellEnd"/>
    </w:p>
    <w:p w14:paraId="03C94DF9" w14:textId="77777777" w:rsidR="00801D5A" w:rsidRPr="00801D5A" w:rsidRDefault="00801D5A" w:rsidP="00801D5A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4.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Pyzheva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YU.I., Zander E.V. (2019).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Social'no-ekonomicheskoe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raznoobrazie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monogorodov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Sibiri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i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Dal'nego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Vostoka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: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statisticheskij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analiz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//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Problemy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razvitiya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territorii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. № 3 (101). S. 49–61. DOI: 10.15838/ptd.2019.3.101.3</w:t>
      </w:r>
    </w:p>
    <w:p w14:paraId="5CC10672" w14:textId="77777777" w:rsidR="00801D5A" w:rsidRPr="00801D5A" w:rsidRDefault="00801D5A" w:rsidP="00801D5A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5.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Rasporyazhenie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Pravitel'stva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Rossijskoj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Federacii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ot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29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iyulya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2014 g. N 1398-r «Ob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utverzhdenii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perechnya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monoprofil'nyh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municipal'nyh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obrazovanij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Rossijskoj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Federacii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(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monogorodov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)»</w:t>
      </w:r>
    </w:p>
    <w:p w14:paraId="74213E12" w14:textId="77777777" w:rsidR="00801D5A" w:rsidRPr="00801D5A" w:rsidRDefault="00801D5A" w:rsidP="00801D5A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6.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Sekushina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I.A. (2024).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Monoprofil'nye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malye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i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srednie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goroda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Evropejskogo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Severa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Rossii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v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usloviyah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social'no-ekonomicheskih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vyzovov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2020–2023 gg. //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Ekonomicheskie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i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social'nye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peremeny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: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fakty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,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tendencii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,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prognoz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. T. 17. № 5. S. 74–94. DOI: 10.15838/esc.2024.5.95.4</w:t>
      </w:r>
    </w:p>
    <w:p w14:paraId="3A571FA4" w14:textId="77777777" w:rsidR="00801D5A" w:rsidRPr="00801D5A" w:rsidRDefault="00801D5A" w:rsidP="00801D5A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7.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Turgel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' I.D. (2005).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Monospecializirovannye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goroda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Rossii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: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specifika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genezisa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i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analiza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social'no-ekonomicheskogo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razvitiya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//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Regional'naya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ekonomika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: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teoriya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i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praktika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. № 7. S. 33-40.</w:t>
      </w:r>
    </w:p>
    <w:p w14:paraId="0994EF4D" w14:textId="3B65AE05" w:rsidR="00217B45" w:rsidRPr="00801D5A" w:rsidRDefault="00801D5A" w:rsidP="00801D5A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8.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Uskova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T.V.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i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dr.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Monogorod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: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upravlenie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razvitiem</w:t>
      </w:r>
      <w:proofErr w:type="spellEnd"/>
      <w:r w:rsidRPr="00801D5A">
        <w:rPr>
          <w:rFonts w:ascii="Times New Roman" w:hAnsi="Times New Roman" w:cs="Times New Roman"/>
          <w:bCs/>
          <w:sz w:val="24"/>
          <w:szCs w:val="24"/>
          <w:lang w:val="en-US"/>
        </w:rPr>
        <w:t>. Vologda: ISERT RAN, 2012. – 220 s.</w:t>
      </w:r>
    </w:p>
    <w:sectPr w:rsidR="00217B45" w:rsidRPr="00801D5A">
      <w:foot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7300CD" w14:textId="77777777" w:rsidR="00744526" w:rsidRDefault="00744526">
      <w:pPr>
        <w:spacing w:after="0" w:line="240" w:lineRule="auto"/>
      </w:pPr>
      <w:r>
        <w:separator/>
      </w:r>
    </w:p>
  </w:endnote>
  <w:endnote w:type="continuationSeparator" w:id="0">
    <w:p w14:paraId="1A7C88E7" w14:textId="77777777" w:rsidR="00744526" w:rsidRDefault="007445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380680874"/>
      <w:docPartObj>
        <w:docPartGallery w:val="Page Numbers (Bottom of Page)"/>
        <w:docPartUnique/>
      </w:docPartObj>
    </w:sdtPr>
    <w:sdtEndPr/>
    <w:sdtContent>
      <w:p w14:paraId="5DDAD048" w14:textId="6105330F" w:rsidR="00B91C98" w:rsidRDefault="00B91C98">
        <w:pPr>
          <w:pStyle w:val="ad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502B252" w14:textId="77777777" w:rsidR="00B91C98" w:rsidRDefault="00B91C98">
    <w:pPr>
      <w:pStyle w:val="a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A6B47E" w14:textId="77777777" w:rsidR="00744526" w:rsidRDefault="00744526">
      <w:pPr>
        <w:spacing w:after="0" w:line="240" w:lineRule="auto"/>
      </w:pPr>
      <w:r>
        <w:separator/>
      </w:r>
    </w:p>
  </w:footnote>
  <w:footnote w:type="continuationSeparator" w:id="0">
    <w:p w14:paraId="2D7FDAE0" w14:textId="77777777" w:rsidR="00744526" w:rsidRDefault="00744526">
      <w:pPr>
        <w:spacing w:after="0" w:line="240" w:lineRule="auto"/>
      </w:pPr>
      <w:r>
        <w:continuationSeparator/>
      </w:r>
    </w:p>
  </w:footnote>
  <w:footnote w:id="1">
    <w:p w14:paraId="27B0D505" w14:textId="5A4F4E4F" w:rsidR="00724549" w:rsidRPr="00217B45" w:rsidRDefault="00724549" w:rsidP="00217B45">
      <w:pPr>
        <w:pStyle w:val="afb"/>
      </w:pPr>
      <w:r w:rsidRPr="00217B45">
        <w:rPr>
          <w:rStyle w:val="afd"/>
        </w:rPr>
        <w:footnoteRef/>
      </w:r>
      <w:r w:rsidRPr="00217B45">
        <w:t xml:space="preserve"> </w:t>
      </w:r>
      <w:r w:rsidR="00C77E36" w:rsidRPr="00217B45">
        <w:t>Исследование выполнено в рамках государственного задания для Вологодского научного центра Российской академии наук по теме FMGZ-2025-0013: «Факторы и инструменты обеспечения сбалансированного пространственного развития регионов России в условиях обострения больших вызовов»</w:t>
      </w:r>
      <w:r w:rsidRPr="00217B45">
        <w:t xml:space="preserve">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8D32CF"/>
    <w:multiLevelType w:val="hybridMultilevel"/>
    <w:tmpl w:val="B5EE0766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" w15:restartNumberingAfterBreak="0">
    <w:nsid w:val="1AB24EB8"/>
    <w:multiLevelType w:val="hybridMultilevel"/>
    <w:tmpl w:val="4F249782"/>
    <w:lvl w:ilvl="0" w:tplc="E83AB3C4">
      <w:start w:val="1"/>
      <w:numFmt w:val="decimal"/>
      <w:lvlText w:val="%1."/>
      <w:lvlJc w:val="left"/>
      <w:pPr>
        <w:ind w:left="1418" w:hanging="360"/>
      </w:pPr>
    </w:lvl>
    <w:lvl w:ilvl="1" w:tplc="FBFA2828">
      <w:start w:val="1"/>
      <w:numFmt w:val="lowerLetter"/>
      <w:lvlText w:val="%2."/>
      <w:lvlJc w:val="left"/>
      <w:pPr>
        <w:ind w:left="2138" w:hanging="360"/>
      </w:pPr>
    </w:lvl>
    <w:lvl w:ilvl="2" w:tplc="D8304794">
      <w:start w:val="1"/>
      <w:numFmt w:val="lowerRoman"/>
      <w:lvlText w:val="%3."/>
      <w:lvlJc w:val="right"/>
      <w:pPr>
        <w:ind w:left="2858" w:hanging="180"/>
      </w:pPr>
    </w:lvl>
    <w:lvl w:ilvl="3" w:tplc="89EC87AA">
      <w:start w:val="1"/>
      <w:numFmt w:val="decimal"/>
      <w:lvlText w:val="%4."/>
      <w:lvlJc w:val="left"/>
      <w:pPr>
        <w:ind w:left="3578" w:hanging="360"/>
      </w:pPr>
    </w:lvl>
    <w:lvl w:ilvl="4" w:tplc="0E041F30">
      <w:start w:val="1"/>
      <w:numFmt w:val="lowerLetter"/>
      <w:lvlText w:val="%5."/>
      <w:lvlJc w:val="left"/>
      <w:pPr>
        <w:ind w:left="4298" w:hanging="360"/>
      </w:pPr>
    </w:lvl>
    <w:lvl w:ilvl="5" w:tplc="D66ED652">
      <w:start w:val="1"/>
      <w:numFmt w:val="lowerRoman"/>
      <w:lvlText w:val="%6."/>
      <w:lvlJc w:val="right"/>
      <w:pPr>
        <w:ind w:left="5018" w:hanging="180"/>
      </w:pPr>
    </w:lvl>
    <w:lvl w:ilvl="6" w:tplc="97B463E4">
      <w:start w:val="1"/>
      <w:numFmt w:val="decimal"/>
      <w:lvlText w:val="%7."/>
      <w:lvlJc w:val="left"/>
      <w:pPr>
        <w:ind w:left="5738" w:hanging="360"/>
      </w:pPr>
    </w:lvl>
    <w:lvl w:ilvl="7" w:tplc="82E27ADC">
      <w:start w:val="1"/>
      <w:numFmt w:val="lowerLetter"/>
      <w:lvlText w:val="%8."/>
      <w:lvlJc w:val="left"/>
      <w:pPr>
        <w:ind w:left="6458" w:hanging="360"/>
      </w:pPr>
    </w:lvl>
    <w:lvl w:ilvl="8" w:tplc="DCECCB4E">
      <w:start w:val="1"/>
      <w:numFmt w:val="lowerRoman"/>
      <w:lvlText w:val="%9."/>
      <w:lvlJc w:val="right"/>
      <w:pPr>
        <w:ind w:left="7178" w:hanging="180"/>
      </w:pPr>
    </w:lvl>
  </w:abstractNum>
  <w:abstractNum w:abstractNumId="2" w15:restartNumberingAfterBreak="0">
    <w:nsid w:val="29943FDC"/>
    <w:multiLevelType w:val="hybridMultilevel"/>
    <w:tmpl w:val="90F234FC"/>
    <w:lvl w:ilvl="0" w:tplc="5D2CD19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25817CE"/>
    <w:multiLevelType w:val="hybridMultilevel"/>
    <w:tmpl w:val="3498F9C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6802E7"/>
    <w:multiLevelType w:val="hybridMultilevel"/>
    <w:tmpl w:val="F71A67E6"/>
    <w:lvl w:ilvl="0" w:tplc="56E29B5E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5BD53FCD"/>
    <w:multiLevelType w:val="hybridMultilevel"/>
    <w:tmpl w:val="AEA6B71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 w15:restartNumberingAfterBreak="0">
    <w:nsid w:val="65024087"/>
    <w:multiLevelType w:val="hybridMultilevel"/>
    <w:tmpl w:val="7292DB5E"/>
    <w:lvl w:ilvl="0" w:tplc="2EF85638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136345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8A0F2E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9C88C1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5B4288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C5CC46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CA60B8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EC810FC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5643A7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D371738"/>
    <w:multiLevelType w:val="hybridMultilevel"/>
    <w:tmpl w:val="040A4154"/>
    <w:lvl w:ilvl="0" w:tplc="ACEEBA28">
      <w:start w:val="1"/>
      <w:numFmt w:val="decimal"/>
      <w:lvlText w:val="%1."/>
      <w:lvlJc w:val="left"/>
      <w:pPr>
        <w:ind w:left="1069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6FE50469"/>
    <w:multiLevelType w:val="hybridMultilevel"/>
    <w:tmpl w:val="D9FC265E"/>
    <w:lvl w:ilvl="0" w:tplc="6CF434C2">
      <w:start w:val="1"/>
      <w:numFmt w:val="decimal"/>
      <w:lvlText w:val="%1."/>
      <w:lvlJc w:val="left"/>
      <w:pPr>
        <w:ind w:left="1417" w:hanging="360"/>
      </w:pPr>
    </w:lvl>
    <w:lvl w:ilvl="1" w:tplc="5AB424DC">
      <w:start w:val="1"/>
      <w:numFmt w:val="lowerLetter"/>
      <w:lvlText w:val="%2."/>
      <w:lvlJc w:val="left"/>
      <w:pPr>
        <w:ind w:left="2137" w:hanging="360"/>
      </w:pPr>
    </w:lvl>
    <w:lvl w:ilvl="2" w:tplc="942E48D6">
      <w:start w:val="1"/>
      <w:numFmt w:val="lowerRoman"/>
      <w:lvlText w:val="%3."/>
      <w:lvlJc w:val="right"/>
      <w:pPr>
        <w:ind w:left="2857" w:hanging="180"/>
      </w:pPr>
    </w:lvl>
    <w:lvl w:ilvl="3" w:tplc="A28C86D6">
      <w:start w:val="1"/>
      <w:numFmt w:val="decimal"/>
      <w:lvlText w:val="%4."/>
      <w:lvlJc w:val="left"/>
      <w:pPr>
        <w:ind w:left="3577" w:hanging="360"/>
      </w:pPr>
    </w:lvl>
    <w:lvl w:ilvl="4" w:tplc="38522D18">
      <w:start w:val="1"/>
      <w:numFmt w:val="lowerLetter"/>
      <w:lvlText w:val="%5."/>
      <w:lvlJc w:val="left"/>
      <w:pPr>
        <w:ind w:left="4297" w:hanging="360"/>
      </w:pPr>
    </w:lvl>
    <w:lvl w:ilvl="5" w:tplc="5DAC049C">
      <w:start w:val="1"/>
      <w:numFmt w:val="lowerRoman"/>
      <w:lvlText w:val="%6."/>
      <w:lvlJc w:val="right"/>
      <w:pPr>
        <w:ind w:left="5017" w:hanging="180"/>
      </w:pPr>
    </w:lvl>
    <w:lvl w:ilvl="6" w:tplc="1700BFC8">
      <w:start w:val="1"/>
      <w:numFmt w:val="decimal"/>
      <w:lvlText w:val="%7."/>
      <w:lvlJc w:val="left"/>
      <w:pPr>
        <w:ind w:left="5737" w:hanging="360"/>
      </w:pPr>
    </w:lvl>
    <w:lvl w:ilvl="7" w:tplc="FBA0B576">
      <w:start w:val="1"/>
      <w:numFmt w:val="lowerLetter"/>
      <w:lvlText w:val="%8."/>
      <w:lvlJc w:val="left"/>
      <w:pPr>
        <w:ind w:left="6457" w:hanging="360"/>
      </w:pPr>
    </w:lvl>
    <w:lvl w:ilvl="8" w:tplc="DDA6EB58">
      <w:start w:val="1"/>
      <w:numFmt w:val="lowerRoman"/>
      <w:lvlText w:val="%9."/>
      <w:lvlJc w:val="right"/>
      <w:pPr>
        <w:ind w:left="7177" w:hanging="180"/>
      </w:pPr>
    </w:lvl>
  </w:abstractNum>
  <w:abstractNum w:abstractNumId="9" w15:restartNumberingAfterBreak="0">
    <w:nsid w:val="784C5BFF"/>
    <w:multiLevelType w:val="hybridMultilevel"/>
    <w:tmpl w:val="07D4BEA0"/>
    <w:lvl w:ilvl="0" w:tplc="9B2C5DBE">
      <w:start w:val="1"/>
      <w:numFmt w:val="decimal"/>
      <w:lvlText w:val="%1."/>
      <w:lvlJc w:val="left"/>
      <w:pPr>
        <w:ind w:left="709" w:hanging="360"/>
      </w:pPr>
    </w:lvl>
    <w:lvl w:ilvl="1" w:tplc="DD9AFBF8">
      <w:start w:val="1"/>
      <w:numFmt w:val="lowerLetter"/>
      <w:lvlText w:val="%2."/>
      <w:lvlJc w:val="left"/>
      <w:pPr>
        <w:ind w:left="1429" w:hanging="360"/>
      </w:pPr>
    </w:lvl>
    <w:lvl w:ilvl="2" w:tplc="193C707C">
      <w:start w:val="1"/>
      <w:numFmt w:val="lowerRoman"/>
      <w:lvlText w:val="%3."/>
      <w:lvlJc w:val="right"/>
      <w:pPr>
        <w:ind w:left="2149" w:hanging="180"/>
      </w:pPr>
    </w:lvl>
    <w:lvl w:ilvl="3" w:tplc="D066881E">
      <w:start w:val="1"/>
      <w:numFmt w:val="decimal"/>
      <w:lvlText w:val="%4."/>
      <w:lvlJc w:val="left"/>
      <w:pPr>
        <w:ind w:left="2869" w:hanging="360"/>
      </w:pPr>
    </w:lvl>
    <w:lvl w:ilvl="4" w:tplc="66540AC8">
      <w:start w:val="1"/>
      <w:numFmt w:val="lowerLetter"/>
      <w:lvlText w:val="%5."/>
      <w:lvlJc w:val="left"/>
      <w:pPr>
        <w:ind w:left="3589" w:hanging="360"/>
      </w:pPr>
    </w:lvl>
    <w:lvl w:ilvl="5" w:tplc="E10AE4AE">
      <w:start w:val="1"/>
      <w:numFmt w:val="lowerRoman"/>
      <w:lvlText w:val="%6."/>
      <w:lvlJc w:val="right"/>
      <w:pPr>
        <w:ind w:left="4309" w:hanging="180"/>
      </w:pPr>
    </w:lvl>
    <w:lvl w:ilvl="6" w:tplc="9FC0FB3C">
      <w:start w:val="1"/>
      <w:numFmt w:val="decimal"/>
      <w:lvlText w:val="%7."/>
      <w:lvlJc w:val="left"/>
      <w:pPr>
        <w:ind w:left="5029" w:hanging="360"/>
      </w:pPr>
    </w:lvl>
    <w:lvl w:ilvl="7" w:tplc="C5A0081E">
      <w:start w:val="1"/>
      <w:numFmt w:val="lowerLetter"/>
      <w:lvlText w:val="%8."/>
      <w:lvlJc w:val="left"/>
      <w:pPr>
        <w:ind w:left="5749" w:hanging="360"/>
      </w:pPr>
    </w:lvl>
    <w:lvl w:ilvl="8" w:tplc="E8F6DF9C">
      <w:start w:val="1"/>
      <w:numFmt w:val="lowerRoman"/>
      <w:lvlText w:val="%9."/>
      <w:lvlJc w:val="right"/>
      <w:pPr>
        <w:ind w:left="6469" w:hanging="180"/>
      </w:pPr>
    </w:lvl>
  </w:abstractNum>
  <w:num w:numId="1">
    <w:abstractNumId w:val="6"/>
  </w:num>
  <w:num w:numId="2">
    <w:abstractNumId w:val="1"/>
  </w:num>
  <w:num w:numId="3">
    <w:abstractNumId w:val="9"/>
  </w:num>
  <w:num w:numId="4">
    <w:abstractNumId w:val="8"/>
  </w:num>
  <w:num w:numId="5">
    <w:abstractNumId w:val="0"/>
  </w:num>
  <w:num w:numId="6">
    <w:abstractNumId w:val="2"/>
  </w:num>
  <w:num w:numId="7">
    <w:abstractNumId w:val="5"/>
  </w:num>
  <w:num w:numId="8">
    <w:abstractNumId w:val="4"/>
  </w:num>
  <w:num w:numId="9">
    <w:abstractNumId w:val="7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F7FCA"/>
    <w:rsid w:val="000330B8"/>
    <w:rsid w:val="000600C7"/>
    <w:rsid w:val="00095BFC"/>
    <w:rsid w:val="000F79CC"/>
    <w:rsid w:val="00217B45"/>
    <w:rsid w:val="0025095C"/>
    <w:rsid w:val="00277E72"/>
    <w:rsid w:val="005570A5"/>
    <w:rsid w:val="00563269"/>
    <w:rsid w:val="00621A07"/>
    <w:rsid w:val="006F7FCA"/>
    <w:rsid w:val="00724549"/>
    <w:rsid w:val="00744526"/>
    <w:rsid w:val="00757393"/>
    <w:rsid w:val="007C0208"/>
    <w:rsid w:val="007E3A5E"/>
    <w:rsid w:val="00801D5A"/>
    <w:rsid w:val="0083498B"/>
    <w:rsid w:val="00850E51"/>
    <w:rsid w:val="00870D03"/>
    <w:rsid w:val="00A34299"/>
    <w:rsid w:val="00A75C56"/>
    <w:rsid w:val="00B0080A"/>
    <w:rsid w:val="00B91C98"/>
    <w:rsid w:val="00BE458F"/>
    <w:rsid w:val="00C77E36"/>
    <w:rsid w:val="00D22C4B"/>
    <w:rsid w:val="00D41C1B"/>
    <w:rsid w:val="00E930E1"/>
    <w:rsid w:val="00EC7A3B"/>
    <w:rsid w:val="00F077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B02F62"/>
  <w15:docId w15:val="{80803655-6388-4F95-A901-1145F7C82B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 w:after="20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 w:after="20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 w:after="20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 w:after="20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 w:after="20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 w:after="20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 w:after="20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 w:after="20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 w:after="20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uiPriority w:val="34"/>
    <w:qFormat/>
    <w:pPr>
      <w:ind w:left="720"/>
      <w:contextualSpacing/>
    </w:pPr>
  </w:style>
  <w:style w:type="paragraph" w:styleId="a4">
    <w:name w:val="No Spacing"/>
    <w:uiPriority w:val="1"/>
    <w:qFormat/>
    <w:pPr>
      <w:spacing w:after="0" w:line="240" w:lineRule="auto"/>
    </w:pPr>
  </w:style>
  <w:style w:type="paragraph" w:styleId="a5">
    <w:name w:val="Title"/>
    <w:basedOn w:val="a"/>
    <w:next w:val="a"/>
    <w:link w:val="a6"/>
    <w:uiPriority w:val="10"/>
    <w:qFormat/>
    <w:pPr>
      <w:spacing w:before="300" w:after="200"/>
      <w:contextualSpacing/>
    </w:pPr>
    <w:rPr>
      <w:sz w:val="48"/>
      <w:szCs w:val="48"/>
    </w:rPr>
  </w:style>
  <w:style w:type="character" w:customStyle="1" w:styleId="a6">
    <w:name w:val="Заголовок Знак"/>
    <w:basedOn w:val="a0"/>
    <w:link w:val="a5"/>
    <w:uiPriority w:val="10"/>
    <w:rPr>
      <w:sz w:val="48"/>
      <w:szCs w:val="48"/>
    </w:rPr>
  </w:style>
  <w:style w:type="paragraph" w:styleId="a7">
    <w:name w:val="Subtitle"/>
    <w:basedOn w:val="a"/>
    <w:next w:val="a"/>
    <w:link w:val="a8"/>
    <w:uiPriority w:val="11"/>
    <w:qFormat/>
    <w:pPr>
      <w:spacing w:before="200" w:after="200"/>
    </w:pPr>
    <w:rPr>
      <w:sz w:val="24"/>
      <w:szCs w:val="24"/>
    </w:rPr>
  </w:style>
  <w:style w:type="character" w:customStyle="1" w:styleId="a8">
    <w:name w:val="Подзаголовок Знак"/>
    <w:basedOn w:val="a0"/>
    <w:link w:val="a7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9">
    <w:name w:val="Intense Quote"/>
    <w:basedOn w:val="a"/>
    <w:next w:val="a"/>
    <w:link w:val="aa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9"/>
    <w:uiPriority w:val="30"/>
    <w:rPr>
      <w:i/>
    </w:rPr>
  </w:style>
  <w:style w:type="paragraph" w:styleId="ab">
    <w:name w:val="head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</w:style>
  <w:style w:type="paragraph" w:styleId="ad">
    <w:name w:val="footer"/>
    <w:basedOn w:val="a"/>
    <w:link w:val="ae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basedOn w:val="a0"/>
    <w:uiPriority w:val="99"/>
  </w:style>
  <w:style w:type="paragraph" w:styleId="af">
    <w:name w:val="caption"/>
    <w:basedOn w:val="a"/>
    <w:next w:val="a"/>
    <w:uiPriority w:val="35"/>
    <w:semiHidden/>
    <w:unhideWhenUsed/>
    <w:qFormat/>
    <w:pPr>
      <w:spacing w:line="276" w:lineRule="auto"/>
    </w:pPr>
    <w:rPr>
      <w:b/>
      <w:bCs/>
      <w:color w:val="4472C4" w:themeColor="accent1"/>
      <w:sz w:val="18"/>
      <w:szCs w:val="18"/>
    </w:rPr>
  </w:style>
  <w:style w:type="character" w:customStyle="1" w:styleId="ae">
    <w:name w:val="Нижний колонтитул Знак"/>
    <w:link w:val="ad"/>
    <w:uiPriority w:val="99"/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1" w:themeTint="67"/>
        <w:left w:val="single" w:sz="4" w:space="0" w:color="B3C5E7" w:themeColor="accent1" w:themeTint="67"/>
        <w:bottom w:val="single" w:sz="4" w:space="0" w:color="B3C5E7" w:themeColor="accent1" w:themeTint="67"/>
        <w:right w:val="single" w:sz="4" w:space="0" w:color="B3C5E7" w:themeColor="accent1" w:themeTint="67"/>
        <w:insideH w:val="single" w:sz="4" w:space="0" w:color="B3C5E7" w:themeColor="accent1" w:themeTint="67"/>
        <w:insideV w:val="single" w:sz="4" w:space="0" w:color="B3C5E7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1" w:themeTint="67"/>
          <w:left w:val="single" w:sz="4" w:space="0" w:color="B3C5E7" w:themeColor="accent1" w:themeTint="67"/>
          <w:bottom w:val="single" w:sz="4" w:space="0" w:color="B3C5E7" w:themeColor="accent1" w:themeTint="67"/>
          <w:right w:val="single" w:sz="4" w:space="0" w:color="B3C5E7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5" w:themeTint="67"/>
        <w:left w:val="single" w:sz="4" w:space="0" w:color="BCD6EE" w:themeColor="accent5" w:themeTint="67"/>
        <w:bottom w:val="single" w:sz="4" w:space="0" w:color="BCD6EE" w:themeColor="accent5" w:themeTint="67"/>
        <w:right w:val="single" w:sz="4" w:space="0" w:color="BCD6EE" w:themeColor="accent5" w:themeTint="67"/>
        <w:insideH w:val="single" w:sz="4" w:space="0" w:color="BCD6EE" w:themeColor="accent5" w:themeTint="67"/>
        <w:insideV w:val="single" w:sz="4" w:space="0" w:color="BCD6EE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5" w:themeTint="67"/>
          <w:left w:val="single" w:sz="4" w:space="0" w:color="BCD6EE" w:themeColor="accent5" w:themeTint="67"/>
          <w:bottom w:val="single" w:sz="4" w:space="0" w:color="BCD6EE" w:themeColor="accent5" w:themeTint="67"/>
          <w:right w:val="single" w:sz="4" w:space="0" w:color="BCD6EE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37DC8" w:themeColor="accent1" w:themeTint="EA"/>
        <w:insideH w:val="single" w:sz="4" w:space="0" w:color="537DC8" w:themeColor="accent1" w:themeTint="EA"/>
        <w:insideV w:val="single" w:sz="4" w:space="0" w:color="537DC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37DC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37DC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1" w:themeTint="34" w:fill="D8E2F3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1" w:themeTint="34" w:fill="D8E2F3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B9BD5" w:themeColor="accent5"/>
        <w:insideH w:val="single" w:sz="4" w:space="0" w:color="5B9BD5" w:themeColor="accent5"/>
        <w:insideV w:val="single" w:sz="4" w:space="0" w:color="5B9BD5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B9BD5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37DC8" w:themeColor="accent1" w:themeTint="EA"/>
        <w:insideH w:val="single" w:sz="4" w:space="0" w:color="537DC8" w:themeColor="accent1" w:themeTint="EA"/>
        <w:insideV w:val="single" w:sz="4" w:space="0" w:color="537DC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1" w:themeTint="34" w:fill="D8E2F3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1" w:themeTint="34" w:fill="D8E2F3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B9BD5" w:themeColor="accent5"/>
        <w:insideH w:val="single" w:sz="4" w:space="0" w:color="5B9BD5" w:themeColor="accent5"/>
        <w:insideV w:val="single" w:sz="4" w:space="0" w:color="5B9BD5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1" w:themeTint="90"/>
        <w:left w:val="single" w:sz="4" w:space="0" w:color="95AFDD" w:themeColor="accent1" w:themeTint="90"/>
        <w:bottom w:val="single" w:sz="4" w:space="0" w:color="95AFDD" w:themeColor="accent1" w:themeTint="90"/>
        <w:right w:val="single" w:sz="4" w:space="0" w:color="95AFDD" w:themeColor="accent1" w:themeTint="90"/>
        <w:insideH w:val="single" w:sz="4" w:space="0" w:color="95AFDD" w:themeColor="accent1" w:themeTint="90"/>
        <w:insideV w:val="single" w:sz="4" w:space="0" w:color="95AFDD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37DC8" w:themeColor="accent1" w:themeTint="EA"/>
          <w:left w:val="single" w:sz="4" w:space="0" w:color="537DC8" w:themeColor="accent1" w:themeTint="EA"/>
          <w:bottom w:val="single" w:sz="4" w:space="0" w:color="537DC8" w:themeColor="accent1" w:themeTint="EA"/>
          <w:right w:val="single" w:sz="4" w:space="0" w:color="537DC8" w:themeColor="accent1" w:themeTint="EA"/>
        </w:tcBorders>
        <w:shd w:val="clear" w:color="537DC8" w:themeColor="accent1" w:themeTint="EA" w:fill="537DC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37DC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3F3" w:themeColor="accent1" w:themeTint="32" w:fill="DAE3F3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3F3" w:themeColor="accent1" w:themeTint="32" w:fill="DAE3F3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5" w:themeTint="90"/>
        <w:left w:val="single" w:sz="4" w:space="0" w:color="A2C6E7" w:themeColor="accent5" w:themeTint="90"/>
        <w:bottom w:val="single" w:sz="4" w:space="0" w:color="A2C6E7" w:themeColor="accent5" w:themeTint="90"/>
        <w:right w:val="single" w:sz="4" w:space="0" w:color="A2C6E7" w:themeColor="accent5" w:themeTint="90"/>
        <w:insideH w:val="single" w:sz="4" w:space="0" w:color="A2C6E7" w:themeColor="accent5" w:themeTint="90"/>
        <w:insideV w:val="single" w:sz="4" w:space="0" w:color="A2C6E7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B9BD5" w:themeColor="accent5"/>
          <w:left w:val="single" w:sz="4" w:space="0" w:color="5B9BD5" w:themeColor="accent5"/>
          <w:bottom w:val="single" w:sz="4" w:space="0" w:color="5B9BD5" w:themeColor="accent5"/>
          <w:right w:val="single" w:sz="4" w:space="0" w:color="5B9BD5" w:themeColor="accent5"/>
        </w:tcBorders>
        <w:shd w:val="clear" w:color="5B9BD5" w:themeColor="accent5" w:fill="5B9BD5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1" w:themeTint="34" w:fill="D8E2F3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1" w:fill="4472C4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1" w:fill="4472C4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1" w:fill="4472C4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1" w:fill="4472C4" w:themeFill="accent1"/>
      </w:tcPr>
    </w:tblStylePr>
    <w:tblStylePr w:type="band1Vert">
      <w:tblPr/>
      <w:tcPr>
        <w:shd w:val="clear" w:color="A9BEE4" w:themeColor="accent1" w:themeTint="75" w:fill="A9BEE4" w:themeFill="accent1" w:themeFillTint="75"/>
      </w:tcPr>
    </w:tblStylePr>
    <w:tblStylePr w:type="band1Horz">
      <w:tblPr/>
      <w:tcPr>
        <w:shd w:val="clear" w:color="A9BEE4" w:themeColor="accent1" w:themeTint="75" w:fill="A9BEE4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5" w:themeTint="34" w:fill="DDEAF6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5" w:fill="5B9BD5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5" w:fill="5B9BD5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5" w:fill="5B9BD5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5" w:fill="5B9BD5" w:themeFill="accent5"/>
      </w:tcPr>
    </w:tblStylePr>
    <w:tblStylePr w:type="band1Vert">
      <w:tblPr/>
      <w:tcPr>
        <w:shd w:val="clear" w:color="B3D0EB" w:themeColor="accent5" w:themeTint="75" w:fill="B3D0EB" w:themeFill="accent5" w:themeFillTint="75"/>
      </w:tcPr>
    </w:tblStylePr>
    <w:tblStylePr w:type="band1Horz">
      <w:tblPr/>
      <w:tcPr>
        <w:shd w:val="clear" w:color="B3D0EB" w:themeColor="accent5" w:themeTint="75" w:fill="B3D0EB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0B7E1" w:themeColor="accent1" w:themeTint="80"/>
        <w:left w:val="single" w:sz="4" w:space="0" w:color="A0B7E1" w:themeColor="accent1" w:themeTint="80"/>
        <w:bottom w:val="single" w:sz="4" w:space="0" w:color="A0B7E1" w:themeColor="accent1" w:themeTint="80"/>
        <w:right w:val="single" w:sz="4" w:space="0" w:color="A0B7E1" w:themeColor="accent1" w:themeTint="80"/>
        <w:insideH w:val="single" w:sz="4" w:space="0" w:color="A0B7E1" w:themeColor="accent1" w:themeTint="80"/>
        <w:insideV w:val="single" w:sz="4" w:space="0" w:color="A0B7E1" w:themeColor="accent1" w:themeTint="80"/>
      </w:tblBorders>
    </w:tblPr>
    <w:tblStylePr w:type="firstRow">
      <w:rPr>
        <w:b/>
        <w:color w:val="A0B7E1" w:themeColor="accent1" w:themeTint="80" w:themeShade="95"/>
      </w:rPr>
      <w:tblPr/>
      <w:tcPr>
        <w:tcBorders>
          <w:bottom w:val="single" w:sz="12" w:space="0" w:color="A0B7E1" w:themeColor="accent1" w:themeTint="80"/>
        </w:tcBorders>
      </w:tcPr>
    </w:tblStylePr>
    <w:tblStylePr w:type="lastRow">
      <w:rPr>
        <w:b/>
        <w:color w:val="A0B7E1" w:themeColor="accent1" w:themeTint="80" w:themeShade="95"/>
      </w:rPr>
    </w:tblStylePr>
    <w:tblStylePr w:type="firstCol">
      <w:rPr>
        <w:b/>
        <w:color w:val="A0B7E1" w:themeColor="accent1" w:themeTint="80" w:themeShade="95"/>
      </w:rPr>
    </w:tblStylePr>
    <w:tblStylePr w:type="lastCol">
      <w:rPr>
        <w:b/>
        <w:color w:val="A0B7E1" w:themeColor="accent1" w:themeTint="80" w:themeShade="95"/>
      </w:rPr>
    </w:tblStylePr>
    <w:tblStylePr w:type="band1Vert">
      <w:tblPr/>
      <w:tcPr>
        <w:shd w:val="clear" w:color="D8E2F3" w:themeColor="accent1" w:themeTint="34" w:fill="D8E2F3" w:themeFill="accent1" w:themeFillTint="34"/>
      </w:tcPr>
    </w:tblStylePr>
    <w:tblStylePr w:type="band1Horz">
      <w:rPr>
        <w:rFonts w:ascii="Arial" w:hAnsi="Arial"/>
        <w:color w:val="A0B7E1" w:themeColor="accent1" w:themeTint="80" w:themeShade="95"/>
        <w:sz w:val="22"/>
      </w:rPr>
      <w:tblPr/>
      <w:tcPr>
        <w:shd w:val="clear" w:color="D8E2F3" w:themeColor="accent1" w:themeTint="34" w:fill="D8E2F3" w:themeFill="accent1" w:themeFillTint="34"/>
      </w:tcPr>
    </w:tblStylePr>
    <w:tblStylePr w:type="band2Horz">
      <w:rPr>
        <w:rFonts w:ascii="Arial" w:hAnsi="Arial"/>
        <w:color w:val="A0B7E1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5"/>
        <w:left w:val="single" w:sz="4" w:space="0" w:color="5B9BD5" w:themeColor="accent5"/>
        <w:bottom w:val="single" w:sz="4" w:space="0" w:color="5B9BD5" w:themeColor="accent5"/>
        <w:right w:val="single" w:sz="4" w:space="0" w:color="5B9BD5" w:themeColor="accent5"/>
        <w:insideH w:val="single" w:sz="4" w:space="0" w:color="5B9BD5" w:themeColor="accent5"/>
        <w:insideV w:val="single" w:sz="4" w:space="0" w:color="5B9BD5" w:themeColor="accent5"/>
      </w:tblBorders>
    </w:tblPr>
    <w:tblStylePr w:type="firstRow">
      <w:rPr>
        <w:b/>
        <w:color w:val="245A8D" w:themeColor="accent5" w:themeShade="95"/>
      </w:rPr>
      <w:tblPr/>
      <w:tcPr>
        <w:tcBorders>
          <w:bottom w:val="single" w:sz="12" w:space="0" w:color="5B9BD5" w:themeColor="accent5"/>
        </w:tcBorders>
      </w:tcPr>
    </w:tblStylePr>
    <w:tblStylePr w:type="lastRow">
      <w:rPr>
        <w:b/>
        <w:color w:val="245A8D" w:themeColor="accent5" w:themeShade="95"/>
      </w:rPr>
    </w:tblStylePr>
    <w:tblStylePr w:type="firstCol">
      <w:rPr>
        <w:b/>
        <w:color w:val="245A8D" w:themeColor="accent5" w:themeShade="95"/>
      </w:rPr>
    </w:tblStylePr>
    <w:tblStylePr w:type="lastCol">
      <w:rPr>
        <w:b/>
        <w:color w:val="245A8D" w:themeColor="accent5" w:themeShade="95"/>
      </w:rPr>
    </w:tblStylePr>
    <w:tblStylePr w:type="band1Vert"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245A8D" w:themeColor="accent5" w:themeShade="95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2Horz">
      <w:rPr>
        <w:rFonts w:ascii="Arial" w:hAnsi="Arial"/>
        <w:color w:val="245A8D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45A8D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45A8D" w:themeColor="accent5" w:themeShade="95"/>
      </w:rPr>
    </w:tblStylePr>
    <w:tblStylePr w:type="firstCol">
      <w:rPr>
        <w:b/>
        <w:color w:val="245A8D" w:themeColor="accent5" w:themeShade="95"/>
      </w:rPr>
    </w:tblStylePr>
    <w:tblStylePr w:type="lastCol">
      <w:rPr>
        <w:b/>
        <w:color w:val="245A8D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45A8D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45A8D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0B7E1" w:themeColor="accent1" w:themeTint="80"/>
        <w:right w:val="single" w:sz="4" w:space="0" w:color="A0B7E1" w:themeColor="accent1" w:themeTint="80"/>
        <w:insideH w:val="single" w:sz="4" w:space="0" w:color="A0B7E1" w:themeColor="accent1" w:themeTint="80"/>
        <w:insideV w:val="single" w:sz="4" w:space="0" w:color="A0B7E1" w:themeColor="accent1" w:themeTint="80"/>
      </w:tblBorders>
    </w:tblPr>
    <w:tblStylePr w:type="firstRow">
      <w:rPr>
        <w:rFonts w:ascii="Arial" w:hAnsi="Arial"/>
        <w:b/>
        <w:color w:val="A0B7E1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0B7E1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0B7E1" w:themeColor="accent1" w:themeTint="80" w:themeShade="95"/>
        <w:sz w:val="22"/>
      </w:rPr>
      <w:tblPr/>
      <w:tcPr>
        <w:tcBorders>
          <w:top w:val="single" w:sz="4" w:space="0" w:color="A0B7E1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0B7E1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0B7E1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0B7E1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0B7E1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1" w:themeTint="34" w:fill="D8E2F3" w:themeFill="accent1" w:themeFillTint="34"/>
      </w:tcPr>
    </w:tblStylePr>
    <w:tblStylePr w:type="band1Horz">
      <w:rPr>
        <w:rFonts w:ascii="Arial" w:hAnsi="Arial"/>
        <w:color w:val="A0B7E1" w:themeColor="accent1" w:themeTint="80" w:themeShade="95"/>
        <w:sz w:val="22"/>
      </w:rPr>
      <w:tblPr/>
      <w:tcPr>
        <w:shd w:val="clear" w:color="D8E2F3" w:themeColor="accent1" w:themeTint="34" w:fill="D8E2F3" w:themeFill="accent1" w:themeFillTint="34"/>
      </w:tcPr>
    </w:tblStylePr>
    <w:tblStylePr w:type="band2Horz">
      <w:rPr>
        <w:rFonts w:ascii="Arial" w:hAnsi="Arial"/>
        <w:color w:val="A0B7E1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2C6E7" w:themeColor="accent5" w:themeTint="90"/>
        <w:right w:val="single" w:sz="4" w:space="0" w:color="A2C6E7" w:themeColor="accent5" w:themeTint="90"/>
        <w:insideH w:val="single" w:sz="4" w:space="0" w:color="A2C6E7" w:themeColor="accent5" w:themeTint="90"/>
        <w:insideV w:val="single" w:sz="4" w:space="0" w:color="A2C6E7" w:themeColor="accent5" w:themeTint="90"/>
      </w:tblBorders>
    </w:tblPr>
    <w:tblStylePr w:type="firstRow">
      <w:rPr>
        <w:rFonts w:ascii="Arial" w:hAnsi="Arial"/>
        <w:b/>
        <w:color w:val="245A8D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2C6E7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45A8D" w:themeColor="accent5" w:themeShade="95"/>
        <w:sz w:val="22"/>
      </w:rPr>
      <w:tblPr/>
      <w:tcPr>
        <w:tcBorders>
          <w:top w:val="single" w:sz="4" w:space="0" w:color="A2C6E7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2C6E7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5" w:themeShade="95"/>
        <w:sz w:val="22"/>
      </w:rPr>
      <w:tblPr/>
      <w:tcPr>
        <w:tcBorders>
          <w:top w:val="none" w:sz="4" w:space="0" w:color="000000"/>
          <w:left w:val="single" w:sz="4" w:space="0" w:color="A2C6E7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245A8D" w:themeColor="accent5" w:themeShade="95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2Horz">
      <w:rPr>
        <w:rFonts w:ascii="Arial" w:hAnsi="Arial"/>
        <w:color w:val="245A8D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1" w:themeTint="40" w:fill="CFDBF0" w:themeFill="accent1" w:themeFillTint="40"/>
      </w:tcPr>
    </w:tblStylePr>
    <w:tblStylePr w:type="band1Horz">
      <w:tblPr/>
      <w:tcPr>
        <w:shd w:val="clear" w:color="CFDBF0" w:themeColor="accent1" w:themeTint="40" w:fill="CFDBF0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5" w:themeTint="40" w:fill="D5E5F4" w:themeFill="accent5" w:themeFillTint="40"/>
      </w:tcPr>
    </w:tblStylePr>
    <w:tblStylePr w:type="band1Horz">
      <w:tblPr/>
      <w:tcPr>
        <w:shd w:val="clear" w:color="D5E5F4" w:themeColor="accent5" w:themeTint="40" w:fill="D5E5F4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1" w:themeTint="90"/>
        <w:bottom w:val="single" w:sz="4" w:space="0" w:color="95AFDD" w:themeColor="accent1" w:themeTint="90"/>
        <w:insideH w:val="single" w:sz="4" w:space="0" w:color="95AFDD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1" w:themeTint="90"/>
          <w:left w:val="none" w:sz="4" w:space="0" w:color="000000"/>
          <w:bottom w:val="single" w:sz="4" w:space="0" w:color="95AFDD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1" w:themeTint="90"/>
          <w:left w:val="none" w:sz="4" w:space="0" w:color="000000"/>
          <w:bottom w:val="single" w:sz="4" w:space="0" w:color="95AFDD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1" w:themeTint="40" w:fill="CFDBF0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1" w:themeTint="40" w:fill="CFDBF0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5" w:themeTint="90"/>
        <w:bottom w:val="single" w:sz="4" w:space="0" w:color="A2C6E7" w:themeColor="accent5" w:themeTint="90"/>
        <w:insideH w:val="single" w:sz="4" w:space="0" w:color="A2C6E7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5" w:themeTint="90"/>
          <w:left w:val="none" w:sz="4" w:space="0" w:color="000000"/>
          <w:bottom w:val="single" w:sz="4" w:space="0" w:color="A2C6E7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5" w:themeTint="90"/>
          <w:left w:val="none" w:sz="4" w:space="0" w:color="000000"/>
          <w:bottom w:val="single" w:sz="4" w:space="0" w:color="A2C6E7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5" w:themeTint="40" w:fill="D5E5F4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5" w:themeTint="40" w:fill="D5E5F4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1"/>
        <w:left w:val="single" w:sz="4" w:space="0" w:color="4472C4" w:themeColor="accent1"/>
        <w:bottom w:val="single" w:sz="4" w:space="0" w:color="4472C4" w:themeColor="accent1"/>
        <w:right w:val="single" w:sz="4" w:space="0" w:color="4472C4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1" w:fill="4472C4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472C4" w:themeColor="accent1"/>
          <w:right w:val="single" w:sz="4" w:space="0" w:color="4472C4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472C4" w:themeColor="accent1"/>
          <w:bottom w:val="single" w:sz="4" w:space="0" w:color="4472C4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BC2E5" w:themeColor="accent5" w:themeTint="9A"/>
        <w:left w:val="single" w:sz="4" w:space="0" w:color="9BC2E5" w:themeColor="accent5" w:themeTint="9A"/>
        <w:bottom w:val="single" w:sz="4" w:space="0" w:color="9BC2E5" w:themeColor="accent5" w:themeTint="9A"/>
        <w:right w:val="single" w:sz="4" w:space="0" w:color="9BC2E5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C2E5" w:themeColor="accent5" w:themeTint="9A" w:fill="9BC2E5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BC2E5" w:themeColor="accent5" w:themeTint="9A"/>
          <w:right w:val="single" w:sz="4" w:space="0" w:color="9BC2E5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BC2E5" w:themeColor="accent5" w:themeTint="9A"/>
          <w:bottom w:val="single" w:sz="4" w:space="0" w:color="9BC2E5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1" w:themeTint="90"/>
        <w:left w:val="single" w:sz="4" w:space="0" w:color="95AFDD" w:themeColor="accent1" w:themeTint="90"/>
        <w:bottom w:val="single" w:sz="4" w:space="0" w:color="95AFDD" w:themeColor="accent1" w:themeTint="90"/>
        <w:right w:val="single" w:sz="4" w:space="0" w:color="95AFDD" w:themeColor="accent1" w:themeTint="90"/>
        <w:insideH w:val="single" w:sz="4" w:space="0" w:color="95AFDD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1" w:fill="4472C4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1" w:themeTint="40" w:fill="CFDBF0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1" w:themeTint="40" w:fill="CFDBF0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5" w:themeTint="90"/>
        <w:left w:val="single" w:sz="4" w:space="0" w:color="A2C6E7" w:themeColor="accent5" w:themeTint="90"/>
        <w:bottom w:val="single" w:sz="4" w:space="0" w:color="A2C6E7" w:themeColor="accent5" w:themeTint="90"/>
        <w:right w:val="single" w:sz="4" w:space="0" w:color="A2C6E7" w:themeColor="accent5" w:themeTint="90"/>
        <w:insideH w:val="single" w:sz="4" w:space="0" w:color="A2C6E7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5" w:fill="5B9BD5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5" w:themeTint="40" w:fill="D5E5F4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5" w:themeTint="40" w:fill="D5E5F4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4472C4" w:themeColor="accent1"/>
        <w:left w:val="single" w:sz="32" w:space="0" w:color="4472C4" w:themeColor="accent1"/>
        <w:bottom w:val="single" w:sz="32" w:space="0" w:color="4472C4" w:themeColor="accent1"/>
        <w:right w:val="single" w:sz="32" w:space="0" w:color="4472C4" w:themeColor="accent1"/>
      </w:tblBorders>
      <w:shd w:val="clear" w:color="4472C4" w:themeColor="accent1" w:fill="4472C4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472C4" w:themeColor="accent1"/>
          <w:bottom w:val="single" w:sz="12" w:space="0" w:color="FFFFFF" w:themeColor="light1"/>
        </w:tcBorders>
        <w:shd w:val="clear" w:color="4472C4" w:themeColor="accent1" w:fill="4472C4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472C4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472C4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472C4" w:themeColor="accent1" w:fill="4472C4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472C4" w:themeColor="accent1" w:fill="4472C4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472C4" w:themeColor="accent1" w:fill="4472C4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9BC2E5" w:themeColor="accent5" w:themeTint="9A"/>
        <w:left w:val="single" w:sz="32" w:space="0" w:color="9BC2E5" w:themeColor="accent5" w:themeTint="9A"/>
        <w:bottom w:val="single" w:sz="32" w:space="0" w:color="9BC2E5" w:themeColor="accent5" w:themeTint="9A"/>
        <w:right w:val="single" w:sz="32" w:space="0" w:color="9BC2E5" w:themeColor="accent5" w:themeTint="9A"/>
      </w:tblBorders>
      <w:shd w:val="clear" w:color="9BC2E5" w:themeColor="accent5" w:themeTint="9A" w:fill="9BC2E5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BC2E5" w:themeColor="accent5" w:themeTint="9A"/>
          <w:bottom w:val="single" w:sz="12" w:space="0" w:color="FFFFFF" w:themeColor="light1"/>
        </w:tcBorders>
        <w:shd w:val="clear" w:color="9BC2E5" w:themeColor="accent5" w:themeTint="9A" w:fill="9BC2E5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BC2E5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BC2E5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BC2E5" w:themeColor="accent5" w:themeTint="9A" w:fill="9BC2E5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BC2E5" w:themeColor="accent5" w:themeTint="9A" w:fill="9BC2E5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BC2E5" w:themeColor="accent5" w:themeTint="9A" w:fill="9BC2E5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1"/>
        <w:bottom w:val="single" w:sz="4" w:space="0" w:color="4472C4" w:themeColor="accent1"/>
      </w:tblBorders>
    </w:tblPr>
    <w:tblStylePr w:type="firstRow">
      <w:rPr>
        <w:b/>
        <w:color w:val="254175" w:themeColor="accent1" w:themeShade="95"/>
      </w:rPr>
      <w:tblPr/>
      <w:tcPr>
        <w:tcBorders>
          <w:bottom w:val="single" w:sz="4" w:space="0" w:color="4472C4" w:themeColor="accent1"/>
        </w:tcBorders>
      </w:tcPr>
    </w:tblStylePr>
    <w:tblStylePr w:type="lastRow">
      <w:rPr>
        <w:b/>
        <w:color w:val="254175" w:themeColor="accent1" w:themeShade="95"/>
      </w:rPr>
      <w:tblPr/>
      <w:tcPr>
        <w:tcBorders>
          <w:top w:val="single" w:sz="4" w:space="0" w:color="4472C4" w:themeColor="accent1"/>
        </w:tcBorders>
      </w:tcPr>
    </w:tblStylePr>
    <w:tblStylePr w:type="firstCol">
      <w:rPr>
        <w:b/>
        <w:color w:val="254175" w:themeColor="accent1" w:themeShade="95"/>
      </w:rPr>
    </w:tblStylePr>
    <w:tblStylePr w:type="lastCol">
      <w:rPr>
        <w:b/>
        <w:color w:val="254175" w:themeColor="accent1" w:themeShade="95"/>
      </w:rPr>
    </w:tblStylePr>
    <w:tblStylePr w:type="band1Vert">
      <w:tblPr/>
      <w:tcPr>
        <w:shd w:val="clear" w:color="CFDBF0" w:themeColor="accent1" w:themeTint="40" w:fill="CFDBF0" w:themeFill="accent1" w:themeFillTint="40"/>
      </w:tcPr>
    </w:tblStylePr>
    <w:tblStylePr w:type="band1Horz">
      <w:rPr>
        <w:rFonts w:ascii="Arial" w:hAnsi="Arial"/>
        <w:color w:val="254175" w:themeColor="accent1" w:themeShade="95"/>
        <w:sz w:val="22"/>
      </w:rPr>
      <w:tblPr/>
      <w:tcPr>
        <w:shd w:val="clear" w:color="CFDBF0" w:themeColor="accent1" w:themeTint="40" w:fill="CFDBF0" w:themeFill="accent1" w:themeFillTint="40"/>
      </w:tcPr>
    </w:tblStylePr>
    <w:tblStylePr w:type="band2Horz">
      <w:rPr>
        <w:rFonts w:ascii="Arial" w:hAnsi="Arial"/>
        <w:color w:val="254175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BC2E5" w:themeColor="accent5" w:themeTint="9A"/>
        <w:bottom w:val="single" w:sz="4" w:space="0" w:color="9BC2E5" w:themeColor="accent5" w:themeTint="9A"/>
      </w:tblBorders>
    </w:tblPr>
    <w:tblStylePr w:type="firstRow">
      <w:rPr>
        <w:b/>
        <w:color w:val="9BC2E5" w:themeColor="accent5" w:themeTint="9A" w:themeShade="95"/>
      </w:rPr>
      <w:tblPr/>
      <w:tcPr>
        <w:tcBorders>
          <w:bottom w:val="single" w:sz="4" w:space="0" w:color="9BC2E5" w:themeColor="accent5" w:themeTint="9A"/>
        </w:tcBorders>
      </w:tcPr>
    </w:tblStylePr>
    <w:tblStylePr w:type="lastRow">
      <w:rPr>
        <w:b/>
        <w:color w:val="9BC2E5" w:themeColor="accent5" w:themeTint="9A" w:themeShade="95"/>
      </w:rPr>
      <w:tblPr/>
      <w:tcPr>
        <w:tcBorders>
          <w:top w:val="single" w:sz="4" w:space="0" w:color="9BC2E5" w:themeColor="accent5" w:themeTint="9A"/>
        </w:tcBorders>
      </w:tcPr>
    </w:tblStylePr>
    <w:tblStylePr w:type="firstCol">
      <w:rPr>
        <w:b/>
        <w:color w:val="9BC2E5" w:themeColor="accent5" w:themeTint="9A" w:themeShade="95"/>
      </w:rPr>
    </w:tblStylePr>
    <w:tblStylePr w:type="lastCol">
      <w:rPr>
        <w:b/>
        <w:color w:val="9BC2E5" w:themeColor="accent5" w:themeTint="9A" w:themeShade="95"/>
      </w:rPr>
    </w:tblStylePr>
    <w:tblStylePr w:type="band1Vert">
      <w:tblPr/>
      <w:tcPr>
        <w:shd w:val="clear" w:color="D5E5F4" w:themeColor="accent5" w:themeTint="40" w:fill="D5E5F4" w:themeFill="accent5" w:themeFillTint="40"/>
      </w:tcPr>
    </w:tblStylePr>
    <w:tblStylePr w:type="band1Horz">
      <w:rPr>
        <w:rFonts w:ascii="Arial" w:hAnsi="Arial"/>
        <w:color w:val="9BC2E5" w:themeColor="accent5" w:themeTint="9A" w:themeShade="95"/>
        <w:sz w:val="22"/>
      </w:rPr>
      <w:tblPr/>
      <w:tcPr>
        <w:shd w:val="clear" w:color="D5E5F4" w:themeColor="accent5" w:themeTint="40" w:fill="D5E5F4" w:themeFill="accent5" w:themeFillTint="40"/>
      </w:tcPr>
    </w:tblStylePr>
    <w:tblStylePr w:type="band2Horz">
      <w:rPr>
        <w:rFonts w:ascii="Arial" w:hAnsi="Arial"/>
        <w:color w:val="9BC2E5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4472C4" w:themeColor="accent1"/>
      </w:tblBorders>
    </w:tblPr>
    <w:tblStylePr w:type="firstRow">
      <w:rPr>
        <w:rFonts w:ascii="Arial" w:hAnsi="Arial"/>
        <w:i/>
        <w:color w:val="254175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54175" w:themeColor="accent1" w:themeShade="95"/>
        <w:sz w:val="22"/>
      </w:rPr>
      <w:tblPr/>
      <w:tcPr>
        <w:tcBorders>
          <w:top w:val="single" w:sz="4" w:space="0" w:color="4472C4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472C4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1" w:themeShade="95"/>
        <w:sz w:val="22"/>
      </w:rPr>
      <w:tblPr/>
      <w:tcPr>
        <w:tcBorders>
          <w:top w:val="none" w:sz="4" w:space="0" w:color="000000"/>
          <w:left w:val="single" w:sz="4" w:space="0" w:color="4472C4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1" w:themeTint="40" w:fill="CFDBF0" w:themeFill="accent1" w:themeFillTint="40"/>
      </w:tcPr>
    </w:tblStylePr>
    <w:tblStylePr w:type="band1Horz">
      <w:rPr>
        <w:rFonts w:ascii="Arial" w:hAnsi="Arial"/>
        <w:color w:val="254175" w:themeColor="accent1" w:themeShade="95"/>
        <w:sz w:val="22"/>
      </w:rPr>
      <w:tblPr/>
      <w:tcPr>
        <w:shd w:val="clear" w:color="CFDBF0" w:themeColor="accent1" w:themeTint="40" w:fill="CFDBF0" w:themeFill="accent1" w:themeFillTint="40"/>
      </w:tcPr>
    </w:tblStylePr>
    <w:tblStylePr w:type="band2Horz">
      <w:rPr>
        <w:rFonts w:ascii="Arial" w:hAnsi="Arial"/>
        <w:color w:val="254175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9BC2E5" w:themeColor="accent5" w:themeTint="9A"/>
      </w:tblBorders>
    </w:tblPr>
    <w:tblStylePr w:type="firstRow">
      <w:rPr>
        <w:rFonts w:ascii="Arial" w:hAnsi="Arial"/>
        <w:i/>
        <w:color w:val="9BC2E5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C2E5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BC2E5" w:themeColor="accent5" w:themeTint="9A" w:themeShade="95"/>
        <w:sz w:val="22"/>
      </w:rPr>
      <w:tblPr/>
      <w:tcPr>
        <w:tcBorders>
          <w:top w:val="single" w:sz="4" w:space="0" w:color="9BC2E5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BC2E5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BC2E5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BC2E5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9BC2E5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5" w:themeTint="40" w:fill="D5E5F4" w:themeFill="accent5" w:themeFillTint="40"/>
      </w:tcPr>
    </w:tblStylePr>
    <w:tblStylePr w:type="band1Horz">
      <w:rPr>
        <w:rFonts w:ascii="Arial" w:hAnsi="Arial"/>
        <w:color w:val="9BC2E5" w:themeColor="accent5" w:themeTint="9A" w:themeShade="95"/>
        <w:sz w:val="22"/>
      </w:rPr>
      <w:tblPr/>
      <w:tcPr>
        <w:shd w:val="clear" w:color="D5E5F4" w:themeColor="accent5" w:themeTint="40" w:fill="D5E5F4" w:themeFill="accent5" w:themeFillTint="40"/>
      </w:tcPr>
    </w:tblStylePr>
    <w:tblStylePr w:type="band2Horz">
      <w:rPr>
        <w:rFonts w:ascii="Arial" w:hAnsi="Arial"/>
        <w:color w:val="9BC2E5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4D2EC" w:themeColor="accent1" w:themeTint="50" w:fill="C4D2EC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4D2EC" w:themeColor="accent1" w:themeTint="50" w:fill="C4D2EC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1" w:themeShade="95"/>
        <w:left w:val="single" w:sz="4" w:space="0" w:color="254175" w:themeColor="accent1" w:themeShade="95"/>
        <w:bottom w:val="single" w:sz="4" w:space="0" w:color="254175" w:themeColor="accent1" w:themeShade="95"/>
        <w:right w:val="single" w:sz="4" w:space="0" w:color="254175" w:themeColor="accent1" w:themeShade="95"/>
        <w:insideH w:val="single" w:sz="4" w:space="0" w:color="254175" w:themeColor="accent1" w:themeShade="95"/>
        <w:insideV w:val="single" w:sz="4" w:space="0" w:color="254175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4D2EC" w:themeColor="accent1" w:themeTint="50" w:fill="C4D2EC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4D2EC" w:themeColor="accent1" w:themeTint="50" w:fill="C4D2EC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5" w:themeShade="95"/>
        <w:left w:val="single" w:sz="4" w:space="0" w:color="245A8D" w:themeColor="accent5" w:themeShade="95"/>
        <w:bottom w:val="single" w:sz="4" w:space="0" w:color="245A8D" w:themeColor="accent5" w:themeShade="95"/>
        <w:right w:val="single" w:sz="4" w:space="0" w:color="245A8D" w:themeColor="accent5" w:themeShade="95"/>
        <w:insideH w:val="single" w:sz="4" w:space="0" w:color="245A8D" w:themeColor="accent5" w:themeShade="95"/>
        <w:insideV w:val="single" w:sz="4" w:space="0" w:color="245A8D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1" w:themeTint="67"/>
        <w:left w:val="single" w:sz="4" w:space="0" w:color="B3C5E7" w:themeColor="accent1" w:themeTint="67"/>
        <w:bottom w:val="single" w:sz="4" w:space="0" w:color="B3C5E7" w:themeColor="accent1" w:themeTint="67"/>
        <w:right w:val="single" w:sz="4" w:space="0" w:color="B3C5E7" w:themeColor="accent1" w:themeTint="67"/>
        <w:insideH w:val="single" w:sz="4" w:space="0" w:color="B3C5E7" w:themeColor="accent1" w:themeTint="67"/>
        <w:insideV w:val="single" w:sz="4" w:space="0" w:color="B3C5E7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472C4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472C4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472C4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1" w:themeTint="67"/>
          <w:left w:val="single" w:sz="4" w:space="0" w:color="B3C5E7" w:themeColor="accent1" w:themeTint="67"/>
          <w:bottom w:val="single" w:sz="4" w:space="0" w:color="B3C5E7" w:themeColor="accent1" w:themeTint="67"/>
          <w:right w:val="single" w:sz="4" w:space="0" w:color="B3C5E7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5" w:themeTint="67"/>
        <w:left w:val="single" w:sz="4" w:space="0" w:color="BCD6EE" w:themeColor="accent5" w:themeTint="67"/>
        <w:bottom w:val="single" w:sz="4" w:space="0" w:color="BCD6EE" w:themeColor="accent5" w:themeTint="67"/>
        <w:right w:val="single" w:sz="4" w:space="0" w:color="BCD6EE" w:themeColor="accent5" w:themeTint="67"/>
        <w:insideH w:val="single" w:sz="4" w:space="0" w:color="BCD6EE" w:themeColor="accent5" w:themeTint="67"/>
        <w:insideV w:val="single" w:sz="4" w:space="0" w:color="BCD6EE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BC2E5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BC2E5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BC2E5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5" w:themeTint="67"/>
          <w:left w:val="single" w:sz="4" w:space="0" w:color="BCD6EE" w:themeColor="accent5" w:themeTint="67"/>
          <w:bottom w:val="single" w:sz="4" w:space="0" w:color="BCD6EE" w:themeColor="accent5" w:themeTint="67"/>
          <w:right w:val="single" w:sz="4" w:space="0" w:color="BCD6EE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0">
    <w:name w:val="Hyperlink"/>
    <w:uiPriority w:val="99"/>
    <w:unhideWhenUsed/>
    <w:rPr>
      <w:color w:val="0563C1" w:themeColor="hyperlink"/>
      <w:u w:val="single"/>
    </w:rPr>
  </w:style>
  <w:style w:type="character" w:customStyle="1" w:styleId="FootnoteTextChar">
    <w:name w:val="Footnote Text Char"/>
    <w:uiPriority w:val="99"/>
    <w:rPr>
      <w:sz w:val="18"/>
    </w:rPr>
  </w:style>
  <w:style w:type="paragraph" w:styleId="af1">
    <w:name w:val="endnote text"/>
    <w:basedOn w:val="a"/>
    <w:link w:val="af2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2">
    <w:name w:val="Текст концевой сноски Знак"/>
    <w:link w:val="af1"/>
    <w:uiPriority w:val="99"/>
    <w:rPr>
      <w:sz w:val="20"/>
    </w:rPr>
  </w:style>
  <w:style w:type="character" w:styleId="af3">
    <w:name w:val="endnote reference"/>
    <w:basedOn w:val="a0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4">
    <w:name w:val="TOC Heading"/>
    <w:uiPriority w:val="39"/>
    <w:unhideWhenUsed/>
  </w:style>
  <w:style w:type="paragraph" w:styleId="af5">
    <w:name w:val="table of figures"/>
    <w:basedOn w:val="a"/>
    <w:next w:val="a"/>
    <w:uiPriority w:val="99"/>
    <w:unhideWhenUsed/>
    <w:pPr>
      <w:spacing w:after="0"/>
    </w:pPr>
  </w:style>
  <w:style w:type="paragraph" w:customStyle="1" w:styleId="af6">
    <w:name w:val="Таблица ГОСТ"/>
    <w:basedOn w:val="a"/>
    <w:link w:val="af7"/>
    <w:qFormat/>
    <w:pPr>
      <w:keepNext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7">
    <w:name w:val="Таблица ГОСТ Знак"/>
    <w:basedOn w:val="a0"/>
    <w:link w:val="af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f8">
    <w:name w:val="Рисунки в статье"/>
    <w:basedOn w:val="a"/>
    <w:link w:val="af9"/>
    <w:qFormat/>
    <w:pPr>
      <w:spacing w:after="0" w:line="240" w:lineRule="auto"/>
      <w:jc w:val="center"/>
    </w:pPr>
    <w:rPr>
      <w:rFonts w:ascii="Times New Roman" w:hAnsi="Times New Roman" w:cs="Times New Roman"/>
      <w:sz w:val="28"/>
      <w:szCs w:val="28"/>
    </w:rPr>
  </w:style>
  <w:style w:type="character" w:customStyle="1" w:styleId="af9">
    <w:name w:val="Рисунки в статье Знак"/>
    <w:basedOn w:val="a0"/>
    <w:link w:val="af8"/>
    <w:rPr>
      <w:rFonts w:ascii="Times New Roman" w:hAnsi="Times New Roman" w:cs="Times New Roman"/>
      <w:sz w:val="28"/>
      <w:szCs w:val="28"/>
    </w:rPr>
  </w:style>
  <w:style w:type="table" w:styleId="afa">
    <w:name w:val="Table Grid"/>
    <w:basedOn w:val="a1"/>
    <w:uiPriority w:val="39"/>
    <w:qFormat/>
    <w:pPr>
      <w:spacing w:after="0" w:line="240" w:lineRule="auto"/>
      <w:jc w:val="both"/>
    </w:pPr>
    <w:rPr>
      <w:rFonts w:ascii="Times New Roman" w:hAnsi="Times New Roman" w:cs="Times New Roman"/>
      <w:sz w:val="24"/>
      <w:szCs w:val="24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fb">
    <w:name w:val="footnote text"/>
    <w:aliases w:val="single space Знак,footnote text Знак,Текст сноски Знак1 Знак,Текст сноски Знак Знак Знак,Текст сноски Знак1 Знак Знак Знак,Текст сноски Знак Знак Знак Знак Знак,Текст сноски Знак1 Знак Знак Знак Знак Знак,-++ Знак,Зн,Текст сноски-FN,Знак25"/>
    <w:basedOn w:val="a"/>
    <w:link w:val="afc"/>
    <w:uiPriority w:val="99"/>
    <w:unhideWhenUsed/>
    <w:qFormat/>
    <w:pPr>
      <w:spacing w:after="0" w:line="240" w:lineRule="auto"/>
      <w:jc w:val="both"/>
    </w:pPr>
    <w:rPr>
      <w:rFonts w:ascii="Times New Roman" w:hAnsi="Times New Roman" w:cs="Times New Roman"/>
      <w:sz w:val="20"/>
      <w:szCs w:val="20"/>
    </w:rPr>
  </w:style>
  <w:style w:type="character" w:customStyle="1" w:styleId="afc">
    <w:name w:val="Текст сноски Знак"/>
    <w:aliases w:val="single space Знак Знак,footnote text Знак Знак,Текст сноски Знак1 Знак Знак,Текст сноски Знак Знак Знак Знак,Текст сноски Знак1 Знак Знак Знак Знак,Текст сноски Знак Знак Знак Знак Знак Знак,-++ Знак Знак,Зн Знак,Текст сноски-FN Знак"/>
    <w:basedOn w:val="a0"/>
    <w:link w:val="afb"/>
    <w:uiPriority w:val="99"/>
    <w:rPr>
      <w:rFonts w:ascii="Times New Roman" w:hAnsi="Times New Roman" w:cs="Times New Roman"/>
      <w:sz w:val="20"/>
      <w:szCs w:val="20"/>
    </w:rPr>
  </w:style>
  <w:style w:type="character" w:styleId="afd">
    <w:name w:val="footnote reference"/>
    <w:aliases w:val="Знак сноски-FN,Ciae niinee-FN,Знак сноски 1,Referencia nota al pie,анкета сноска,Ciae niinee 1,SUPERS,fr,Ссылка на сноску 45,Appel note de bas de page,Стиль Знак сноски,Appel note de bas de page + 1...,Used by Word for Help footnote symbols"/>
    <w:basedOn w:val="a0"/>
    <w:uiPriority w:val="99"/>
    <w:unhideWhenUsed/>
    <w:qFormat/>
    <w:rPr>
      <w:vertAlign w:val="superscript"/>
    </w:rPr>
  </w:style>
  <w:style w:type="character" w:styleId="afe">
    <w:name w:val="Unresolved Mention"/>
    <w:basedOn w:val="a0"/>
    <w:uiPriority w:val="99"/>
    <w:semiHidden/>
    <w:unhideWhenUsed/>
    <w:rsid w:val="00724549"/>
    <w:rPr>
      <w:color w:val="605E5C"/>
      <w:shd w:val="clear" w:color="auto" w:fill="E1DFDD"/>
    </w:rPr>
  </w:style>
  <w:style w:type="character" w:styleId="aff">
    <w:name w:val="FollowedHyperlink"/>
    <w:basedOn w:val="a0"/>
    <w:uiPriority w:val="99"/>
    <w:semiHidden/>
    <w:unhideWhenUsed/>
    <w:rsid w:val="0072454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Arial"/>
        <a:cs typeface="Arial"/>
      </a:majorFont>
      <a:minorFont>
        <a:latin typeface="Calibri"/>
        <a:ea typeface="Arial"/>
        <a:cs typeface="Arial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2D9232-19B3-4B58-9F3E-9BED641E93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</Pages>
  <Words>1887</Words>
  <Characters>10760</Characters>
  <Application>Microsoft Office Word</Application>
  <DocSecurity>0</DocSecurity>
  <Lines>89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Лейла Натиговна Нацун</dc:creator>
  <cp:keywords/>
  <dc:description/>
  <cp:lastModifiedBy>Ирина А. Секушина</cp:lastModifiedBy>
  <cp:revision>9</cp:revision>
  <dcterms:created xsi:type="dcterms:W3CDTF">2025-05-15T08:43:00Z</dcterms:created>
  <dcterms:modified xsi:type="dcterms:W3CDTF">2025-05-15T13:20:00Z</dcterms:modified>
</cp:coreProperties>
</file>