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FF4" w:rsidRDefault="00F40FF4" w:rsidP="00F40F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УДК/ББК 338.2</w:t>
      </w:r>
    </w:p>
    <w:p w:rsidR="002D710F" w:rsidRPr="00F40FF4" w:rsidRDefault="005E2662" w:rsidP="00F40FF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40FF4">
        <w:rPr>
          <w:rFonts w:ascii="Times New Roman" w:hAnsi="Times New Roman" w:cs="Times New Roman"/>
          <w:b/>
          <w:sz w:val="24"/>
          <w:szCs w:val="24"/>
        </w:rPr>
        <w:t>Беляк</w:t>
      </w:r>
      <w:r w:rsidR="00F40FF4" w:rsidRPr="00F40FF4">
        <w:rPr>
          <w:rFonts w:ascii="Times New Roman" w:hAnsi="Times New Roman" w:cs="Times New Roman"/>
          <w:b/>
          <w:sz w:val="24"/>
          <w:szCs w:val="24"/>
        </w:rPr>
        <w:t xml:space="preserve"> О. Ю.</w:t>
      </w:r>
    </w:p>
    <w:p w:rsidR="005E2662" w:rsidRPr="00F40FF4" w:rsidRDefault="00F40FF4" w:rsidP="00F40F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F40FF4">
        <w:rPr>
          <w:rFonts w:ascii="Times New Roman" w:hAnsi="Times New Roman" w:cs="Times New Roman"/>
          <w:b/>
          <w:sz w:val="24"/>
          <w:szCs w:val="24"/>
        </w:rPr>
        <w:t xml:space="preserve">ЕДИНЫЙ ЦИФРОВОЙ КОНТУР </w:t>
      </w:r>
      <w:r>
        <w:rPr>
          <w:rFonts w:ascii="Times New Roman" w:hAnsi="Times New Roman" w:cs="Times New Roman"/>
          <w:b/>
          <w:sz w:val="24"/>
          <w:szCs w:val="24"/>
        </w:rPr>
        <w:t>ПРОМЫШЛЕННОГО ПРЕДПРИЯТИЯ</w:t>
      </w:r>
    </w:p>
    <w:bookmarkEnd w:id="0"/>
    <w:p w:rsidR="005E2662" w:rsidRPr="00F40FF4" w:rsidRDefault="005E2662" w:rsidP="00F40F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2662" w:rsidRPr="00F40FF4" w:rsidRDefault="005E2662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F40FF4">
        <w:rPr>
          <w:rFonts w:ascii="Times New Roman" w:hAnsi="Times New Roman" w:cs="Times New Roman"/>
          <w:sz w:val="24"/>
          <w:szCs w:val="24"/>
        </w:rPr>
        <w:t xml:space="preserve"> Статья посвящена </w:t>
      </w:r>
      <w:r w:rsidR="00971032" w:rsidRPr="00F40FF4">
        <w:rPr>
          <w:rFonts w:ascii="Times New Roman" w:hAnsi="Times New Roman" w:cs="Times New Roman"/>
          <w:sz w:val="24"/>
          <w:szCs w:val="24"/>
        </w:rPr>
        <w:t xml:space="preserve">вопросу </w:t>
      </w:r>
      <w:r w:rsidRPr="00F40FF4">
        <w:rPr>
          <w:rFonts w:ascii="Times New Roman" w:hAnsi="Times New Roman" w:cs="Times New Roman"/>
          <w:sz w:val="24"/>
          <w:szCs w:val="24"/>
        </w:rPr>
        <w:t>реализации концепции единого цифрового контура предприятия, вставш</w:t>
      </w:r>
      <w:r w:rsidR="00971032" w:rsidRPr="00F40FF4">
        <w:rPr>
          <w:rFonts w:ascii="Times New Roman" w:hAnsi="Times New Roman" w:cs="Times New Roman"/>
          <w:sz w:val="24"/>
          <w:szCs w:val="24"/>
        </w:rPr>
        <w:t>ему</w:t>
      </w:r>
      <w:r w:rsidRPr="00F40FF4">
        <w:rPr>
          <w:rFonts w:ascii="Times New Roman" w:hAnsi="Times New Roman" w:cs="Times New Roman"/>
          <w:sz w:val="24"/>
          <w:szCs w:val="24"/>
        </w:rPr>
        <w:t xml:space="preserve"> на повестке дня в </w:t>
      </w:r>
      <w:r w:rsidR="00582294" w:rsidRPr="00F40FF4">
        <w:rPr>
          <w:rFonts w:ascii="Times New Roman" w:hAnsi="Times New Roman" w:cs="Times New Roman"/>
          <w:sz w:val="24"/>
          <w:szCs w:val="24"/>
        </w:rPr>
        <w:t>рамках глобальной</w:t>
      </w:r>
      <w:r w:rsidR="00410B0C" w:rsidRPr="00F40FF4">
        <w:rPr>
          <w:rFonts w:ascii="Times New Roman" w:hAnsi="Times New Roman" w:cs="Times New Roman"/>
          <w:sz w:val="24"/>
          <w:szCs w:val="24"/>
        </w:rPr>
        <w:t xml:space="preserve"> цифровой трансформации промышленности. Рассмотрены цели и задачи формирования единого цифрового контура предприятия. Отдельное внимание обращено на </w:t>
      </w:r>
      <w:r w:rsidR="00A450A1" w:rsidRPr="00F40FF4">
        <w:rPr>
          <w:rFonts w:ascii="Times New Roman" w:hAnsi="Times New Roman" w:cs="Times New Roman"/>
          <w:sz w:val="24"/>
          <w:szCs w:val="24"/>
        </w:rPr>
        <w:t xml:space="preserve">вопросы его реализации </w:t>
      </w:r>
      <w:r w:rsidR="00F40FF4">
        <w:rPr>
          <w:rFonts w:ascii="Times New Roman" w:hAnsi="Times New Roman" w:cs="Times New Roman"/>
          <w:sz w:val="24"/>
          <w:szCs w:val="24"/>
        </w:rPr>
        <w:t>в реальном секторе экономики.</w:t>
      </w:r>
    </w:p>
    <w:p w:rsidR="00410B0C" w:rsidRPr="00F40FF4" w:rsidRDefault="00410B0C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F40FF4">
        <w:rPr>
          <w:rFonts w:ascii="Times New Roman" w:hAnsi="Times New Roman" w:cs="Times New Roman"/>
          <w:sz w:val="24"/>
          <w:szCs w:val="24"/>
        </w:rPr>
        <w:t xml:space="preserve"> единый цифровой контур, промышленные предприятия, цифровая трансформация</w:t>
      </w:r>
    </w:p>
    <w:p w:rsidR="00F40FF4" w:rsidRDefault="00F40FF4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0B0C" w:rsidRPr="00F40FF4" w:rsidRDefault="00410B0C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Цифровая трансформация промышленных предприятий стоит авангарде перехода к цифровой экономике – внедрение и интеграция цифровых решений на российские промышленные предприятия рассматривается как источник технологического суверенитета и конкурентного преимущества</w:t>
      </w:r>
      <w:r w:rsidR="008D6505" w:rsidRPr="00F40FF4">
        <w:rPr>
          <w:rFonts w:ascii="Times New Roman" w:hAnsi="Times New Roman" w:cs="Times New Roman"/>
          <w:sz w:val="24"/>
          <w:szCs w:val="24"/>
        </w:rPr>
        <w:t>, особенно актуальных в современных геополитических и экономических условиях</w:t>
      </w:r>
      <w:r w:rsidRPr="00F40FF4">
        <w:rPr>
          <w:rFonts w:ascii="Times New Roman" w:hAnsi="Times New Roman" w:cs="Times New Roman"/>
          <w:sz w:val="24"/>
          <w:szCs w:val="24"/>
        </w:rPr>
        <w:t xml:space="preserve"> [1]. </w:t>
      </w:r>
    </w:p>
    <w:p w:rsidR="00E910FC" w:rsidRPr="00F40FF4" w:rsidRDefault="008D6505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 xml:space="preserve">Концепция единого цифрового контура (далее также, ЕЦК) впервые обозначена в проекте цифровизации здравоохранения. Под созданием и формированием ЕЦК </w:t>
      </w:r>
      <w:r w:rsidR="00971032" w:rsidRPr="00F40FF4">
        <w:rPr>
          <w:rFonts w:ascii="Times New Roman" w:hAnsi="Times New Roman" w:cs="Times New Roman"/>
          <w:sz w:val="24"/>
          <w:szCs w:val="24"/>
        </w:rPr>
        <w:t xml:space="preserve">в данном проекте </w:t>
      </w:r>
      <w:r w:rsidRPr="00F40FF4">
        <w:rPr>
          <w:rFonts w:ascii="Times New Roman" w:hAnsi="Times New Roman" w:cs="Times New Roman"/>
          <w:sz w:val="24"/>
          <w:szCs w:val="24"/>
        </w:rPr>
        <w:t>понимал</w:t>
      </w:r>
      <w:r w:rsidR="00971032" w:rsidRPr="00F40FF4">
        <w:rPr>
          <w:rFonts w:ascii="Times New Roman" w:hAnsi="Times New Roman" w:cs="Times New Roman"/>
          <w:sz w:val="24"/>
          <w:szCs w:val="24"/>
        </w:rPr>
        <w:t>а</w:t>
      </w:r>
      <w:r w:rsidRPr="00F40FF4">
        <w:rPr>
          <w:rFonts w:ascii="Times New Roman" w:hAnsi="Times New Roman" w:cs="Times New Roman"/>
          <w:sz w:val="24"/>
          <w:szCs w:val="24"/>
        </w:rPr>
        <w:t>сь</w:t>
      </w:r>
      <w:r w:rsidR="00971032" w:rsidRPr="00F40FF4">
        <w:rPr>
          <w:rFonts w:ascii="Times New Roman" w:hAnsi="Times New Roman" w:cs="Times New Roman"/>
          <w:sz w:val="24"/>
          <w:szCs w:val="24"/>
        </w:rPr>
        <w:t xml:space="preserve">, направленная на повышения уровня доступности гражданам цифровых сервисов здравоохранения, совокупность информационных технологии и программного обеспечения, которые используются в медицинских учреждениях, а также регламенты их бизнес-процессов </w:t>
      </w:r>
      <w:r w:rsidRPr="00F40FF4">
        <w:rPr>
          <w:rFonts w:ascii="Times New Roman" w:hAnsi="Times New Roman" w:cs="Times New Roman"/>
          <w:sz w:val="24"/>
          <w:szCs w:val="24"/>
        </w:rPr>
        <w:t>[2].</w:t>
      </w:r>
      <w:r w:rsidR="00971032" w:rsidRPr="00F40F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B0C" w:rsidRPr="00F40FF4" w:rsidRDefault="007C6721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Для промышленных предприятий понятие ЕЦК также будет включать те информационные те</w:t>
      </w:r>
      <w:r w:rsidR="00B2531F" w:rsidRPr="00F40FF4">
        <w:rPr>
          <w:rFonts w:ascii="Times New Roman" w:hAnsi="Times New Roman" w:cs="Times New Roman"/>
          <w:sz w:val="24"/>
          <w:szCs w:val="24"/>
        </w:rPr>
        <w:t>хнологии, приложения и сервисы, которые используют сотрудники для реализации своей рабочей задачи. Специфичностью ЕЦК промышленных предприятий можно назвать их ориентацию на «внутренних» пользователей (т.е. сотрудников предприятия</w:t>
      </w:r>
      <w:r w:rsidR="00E910FC" w:rsidRPr="00F40FF4">
        <w:rPr>
          <w:rFonts w:ascii="Times New Roman" w:hAnsi="Times New Roman" w:cs="Times New Roman"/>
          <w:sz w:val="24"/>
          <w:szCs w:val="24"/>
        </w:rPr>
        <w:t xml:space="preserve"> в отличие от ЕЦК здравоохранения</w:t>
      </w:r>
      <w:r w:rsidR="00B2531F" w:rsidRPr="00F40FF4">
        <w:rPr>
          <w:rFonts w:ascii="Times New Roman" w:hAnsi="Times New Roman" w:cs="Times New Roman"/>
          <w:sz w:val="24"/>
          <w:szCs w:val="24"/>
        </w:rPr>
        <w:t xml:space="preserve">), доступность в реальном масштабе времени, корректность предоставления доступа и запрашиваемых данных, в том числе, сопоставление и синхронизацию справочников в различных </w:t>
      </w:r>
      <w:r w:rsidR="00B2531F" w:rsidRPr="006D27D2">
        <w:rPr>
          <w:rFonts w:ascii="Times New Roman" w:hAnsi="Times New Roman" w:cs="Times New Roman"/>
          <w:sz w:val="24"/>
          <w:szCs w:val="24"/>
        </w:rPr>
        <w:t>корпоративных информационных системах [3].</w:t>
      </w:r>
      <w:r w:rsidR="0060778D" w:rsidRPr="006D27D2">
        <w:rPr>
          <w:rFonts w:ascii="Times New Roman" w:hAnsi="Times New Roman" w:cs="Times New Roman"/>
          <w:sz w:val="24"/>
          <w:szCs w:val="24"/>
        </w:rPr>
        <w:t xml:space="preserve"> Стоит отметить, что автоматизация технологических линий</w:t>
      </w:r>
      <w:r w:rsidR="006D27D2" w:rsidRPr="006D27D2">
        <w:rPr>
          <w:rFonts w:ascii="Times New Roman" w:hAnsi="Times New Roman" w:cs="Times New Roman"/>
          <w:sz w:val="24"/>
          <w:szCs w:val="24"/>
        </w:rPr>
        <w:t>.</w:t>
      </w:r>
      <w:r w:rsidR="006D27D2">
        <w:rPr>
          <w:rFonts w:ascii="Times New Roman" w:hAnsi="Times New Roman" w:cs="Times New Roman"/>
          <w:sz w:val="24"/>
          <w:szCs w:val="24"/>
        </w:rPr>
        <w:t xml:space="preserve"> </w:t>
      </w:r>
      <w:r w:rsidR="00B2531F" w:rsidRPr="00F40FF4">
        <w:rPr>
          <w:rFonts w:ascii="Times New Roman" w:hAnsi="Times New Roman" w:cs="Times New Roman"/>
          <w:sz w:val="24"/>
          <w:szCs w:val="24"/>
        </w:rPr>
        <w:t>Таким образом, глобальная задача реализации ЕЦК промышленного предприятия заключается в снижени</w:t>
      </w:r>
      <w:r w:rsidR="006958BA" w:rsidRPr="00F40FF4">
        <w:rPr>
          <w:rFonts w:ascii="Times New Roman" w:hAnsi="Times New Roman" w:cs="Times New Roman"/>
          <w:sz w:val="24"/>
          <w:szCs w:val="24"/>
        </w:rPr>
        <w:t>и</w:t>
      </w:r>
      <w:r w:rsidR="00B2531F" w:rsidRPr="00F40FF4">
        <w:rPr>
          <w:rFonts w:ascii="Times New Roman" w:hAnsi="Times New Roman" w:cs="Times New Roman"/>
          <w:sz w:val="24"/>
          <w:szCs w:val="24"/>
        </w:rPr>
        <w:t xml:space="preserve"> уровня разрозненности различных сервисов и баз данных, используемых в операционной деятельности предприятия</w:t>
      </w:r>
      <w:r w:rsidR="00D61E11" w:rsidRPr="00F40FF4">
        <w:rPr>
          <w:rFonts w:ascii="Times New Roman" w:hAnsi="Times New Roman" w:cs="Times New Roman"/>
          <w:sz w:val="24"/>
          <w:szCs w:val="24"/>
        </w:rPr>
        <w:t>, а также использование таких инструментов управления, которые способствуют этим изменениям, с целью оптимизации рабочих процессов</w:t>
      </w:r>
      <w:r w:rsidR="00E910FC" w:rsidRPr="00F40FF4">
        <w:rPr>
          <w:rFonts w:ascii="Times New Roman" w:hAnsi="Times New Roman" w:cs="Times New Roman"/>
          <w:sz w:val="24"/>
          <w:szCs w:val="24"/>
        </w:rPr>
        <w:t xml:space="preserve"> и снижения затрачиваемых ресурсов (временных, финансовых, трудовых)</w:t>
      </w:r>
      <w:r w:rsidR="00B2531F" w:rsidRPr="00F40FF4">
        <w:rPr>
          <w:rFonts w:ascii="Times New Roman" w:hAnsi="Times New Roman" w:cs="Times New Roman"/>
          <w:sz w:val="24"/>
          <w:szCs w:val="24"/>
        </w:rPr>
        <w:t>.</w:t>
      </w:r>
    </w:p>
    <w:p w:rsidR="00E910FC" w:rsidRPr="00F40FF4" w:rsidRDefault="006958BA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 xml:space="preserve">Первым этапом реализации концепции ЕЦК промышленного предприятия является разработка проекта, включающего такие стандартные задачи как аудит существующих ИТ-решений, корпоративных информационных систем и т.д. Выбирается руководитель и участники команды, которая будет «выстраивать» ЕЦК. Также на этом этапе оформляется общее представление и план будущей оцифровки сервисов, определяются инструменты управления. </w:t>
      </w:r>
    </w:p>
    <w:p w:rsidR="006958BA" w:rsidRPr="00F40FF4" w:rsidRDefault="006958BA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Далее на основании проводимого ранжирования бизнес-процессов и применяемых для реализации рабочей задачи сервисов проводится оцифровка, то есть внедрение цифровых решений взамен «аналоговых» (рутинных, ручных или бумажных). Для каждого предприятия ранжирование по важности будет своим, в</w:t>
      </w:r>
      <w:r w:rsidR="000B316C" w:rsidRPr="00F40FF4">
        <w:rPr>
          <w:rFonts w:ascii="Times New Roman" w:hAnsi="Times New Roman" w:cs="Times New Roman"/>
          <w:sz w:val="24"/>
          <w:szCs w:val="24"/>
        </w:rPr>
        <w:t xml:space="preserve"> зависимости от ее операционной деятельности и сложившейся практики. Бизнес-процессы ранжируются от «наиважнейших» до «второстепенных» и, в зависимости от своего ранга, проходят оцифровку.</w:t>
      </w:r>
    </w:p>
    <w:p w:rsidR="000B316C" w:rsidRPr="00F40FF4" w:rsidRDefault="000B316C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 xml:space="preserve">И, наконец, этап интеграции разрозненных оцифрованных сервисов и бизнес-процессов и единый цифровой контур предприятия. Сложностями этого этапа можно назвать возможные несовместимости между программными продуктами, которые необходимо будет устранять </w:t>
      </w:r>
      <w:r w:rsidRPr="00F40FF4">
        <w:rPr>
          <w:rFonts w:ascii="Times New Roman" w:hAnsi="Times New Roman" w:cs="Times New Roman"/>
          <w:sz w:val="24"/>
          <w:szCs w:val="24"/>
        </w:rPr>
        <w:lastRenderedPageBreak/>
        <w:t xml:space="preserve">дополнительной доработкой «собираемых» модулей для полноценной интеграции и реализации единого цифрового контура. </w:t>
      </w:r>
    </w:p>
    <w:p w:rsidR="005E2662" w:rsidRPr="00F40FF4" w:rsidRDefault="005E2662" w:rsidP="00F4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B4DFD" w:rsidRPr="00F40FF4" w:rsidRDefault="005B4DFD" w:rsidP="00F40F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48400" cy="1609725"/>
            <wp:effectExtent l="38100" t="0" r="38100" b="9525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F40FF4" w:rsidRDefault="00F40FF4" w:rsidP="00F40FF4">
      <w:pPr>
        <w:tabs>
          <w:tab w:val="left" w:pos="709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4057A" w:rsidRPr="00F40FF4" w:rsidRDefault="0034057A" w:rsidP="00F40FF4">
      <w:pPr>
        <w:tabs>
          <w:tab w:val="left" w:pos="709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 xml:space="preserve">Рисунок 1 – </w:t>
      </w:r>
      <w:r w:rsidR="007C6721" w:rsidRPr="00F40FF4">
        <w:rPr>
          <w:rFonts w:ascii="Times New Roman" w:hAnsi="Times New Roman" w:cs="Times New Roman"/>
          <w:sz w:val="24"/>
          <w:szCs w:val="24"/>
        </w:rPr>
        <w:t xml:space="preserve">Последовательность этапов реализации концепции единого цифрового контура на </w:t>
      </w:r>
      <w:r w:rsidR="00700424" w:rsidRPr="00F40FF4">
        <w:rPr>
          <w:rFonts w:ascii="Times New Roman" w:hAnsi="Times New Roman" w:cs="Times New Roman"/>
          <w:sz w:val="24"/>
          <w:szCs w:val="24"/>
        </w:rPr>
        <w:t xml:space="preserve">промышленном </w:t>
      </w:r>
      <w:r w:rsidR="007C6721" w:rsidRPr="00F40FF4">
        <w:rPr>
          <w:rFonts w:ascii="Times New Roman" w:hAnsi="Times New Roman" w:cs="Times New Roman"/>
          <w:sz w:val="24"/>
          <w:szCs w:val="24"/>
        </w:rPr>
        <w:t>предприятии</w:t>
      </w:r>
    </w:p>
    <w:p w:rsidR="0034057A" w:rsidRPr="00F40FF4" w:rsidRDefault="0034057A" w:rsidP="00F40FF4">
      <w:pPr>
        <w:tabs>
          <w:tab w:val="left" w:pos="709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910FC" w:rsidRPr="00F40FF4" w:rsidRDefault="00E910FC" w:rsidP="00F40FF4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 xml:space="preserve">Концепция единого цифрового контура промышленного предприятия в данных момент лишь формирующаяся область знания, содержащая фрагментарные знания и представления. Тем не менее, цифровизация промышленных организаций является неотъемлемой частью становления цифровой экономики, а значит, академическое обоснование концепции единого цифрового контура может быть рассмотрено в качестве первостепенной задачи для исследования. </w:t>
      </w:r>
    </w:p>
    <w:p w:rsidR="00E910FC" w:rsidRPr="00F40FF4" w:rsidRDefault="00E910FC" w:rsidP="00F40FF4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E2662" w:rsidRPr="00F40FF4" w:rsidRDefault="005E2662" w:rsidP="00F40FF4">
      <w:pPr>
        <w:tabs>
          <w:tab w:val="left" w:pos="709"/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Библиографический список</w:t>
      </w:r>
    </w:p>
    <w:p w:rsidR="008D6505" w:rsidRPr="00F40FF4" w:rsidRDefault="008D6505" w:rsidP="00F40FF4">
      <w:pPr>
        <w:pStyle w:val="a3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40FF4">
        <w:rPr>
          <w:rFonts w:ascii="Times New Roman" w:hAnsi="Times New Roman" w:cs="Times New Roman"/>
          <w:sz w:val="24"/>
          <w:szCs w:val="24"/>
        </w:rPr>
        <w:t>Гавриенко</w:t>
      </w:r>
      <w:proofErr w:type="spellEnd"/>
      <w:r w:rsidRPr="00F40FF4">
        <w:rPr>
          <w:rFonts w:ascii="Times New Roman" w:hAnsi="Times New Roman" w:cs="Times New Roman"/>
          <w:sz w:val="24"/>
          <w:szCs w:val="24"/>
        </w:rPr>
        <w:t>, А. Н. Новые технологии пришли в цеха российских заводов</w:t>
      </w:r>
      <w:r w:rsidR="00582294" w:rsidRPr="00F40FF4">
        <w:rPr>
          <w:rFonts w:ascii="Times New Roman" w:hAnsi="Times New Roman" w:cs="Times New Roman"/>
          <w:sz w:val="24"/>
          <w:szCs w:val="24"/>
        </w:rPr>
        <w:t xml:space="preserve"> / А. Н. </w:t>
      </w:r>
      <w:proofErr w:type="spellStart"/>
      <w:r w:rsidR="00582294" w:rsidRPr="00F40FF4">
        <w:rPr>
          <w:rFonts w:ascii="Times New Roman" w:hAnsi="Times New Roman" w:cs="Times New Roman"/>
          <w:sz w:val="24"/>
          <w:szCs w:val="24"/>
        </w:rPr>
        <w:t>Гавриенко</w:t>
      </w:r>
      <w:proofErr w:type="spellEnd"/>
      <w:r w:rsidRPr="00F40FF4">
        <w:rPr>
          <w:rFonts w:ascii="Times New Roman" w:hAnsi="Times New Roman" w:cs="Times New Roman"/>
          <w:sz w:val="24"/>
          <w:szCs w:val="24"/>
        </w:rPr>
        <w:t xml:space="preserve"> // Российская газета - </w:t>
      </w:r>
      <w:proofErr w:type="spellStart"/>
      <w:r w:rsidRPr="00F40FF4">
        <w:rPr>
          <w:rFonts w:ascii="Times New Roman" w:hAnsi="Times New Roman" w:cs="Times New Roman"/>
          <w:sz w:val="24"/>
          <w:szCs w:val="24"/>
        </w:rPr>
        <w:t>Спецвыпуск</w:t>
      </w:r>
      <w:proofErr w:type="spellEnd"/>
      <w:r w:rsidRPr="00F40FF4">
        <w:rPr>
          <w:rFonts w:ascii="Times New Roman" w:hAnsi="Times New Roman" w:cs="Times New Roman"/>
          <w:sz w:val="24"/>
          <w:szCs w:val="24"/>
        </w:rPr>
        <w:t>: Устойчивое развитие. – 2024. – №238</w:t>
      </w:r>
      <w:r w:rsidR="00582294" w:rsidRPr="00F40FF4">
        <w:rPr>
          <w:rFonts w:ascii="Times New Roman" w:hAnsi="Times New Roman" w:cs="Times New Roman"/>
          <w:sz w:val="24"/>
          <w:szCs w:val="24"/>
        </w:rPr>
        <w:t xml:space="preserve"> </w:t>
      </w:r>
      <w:r w:rsidRPr="00F40FF4">
        <w:rPr>
          <w:rFonts w:ascii="Times New Roman" w:hAnsi="Times New Roman" w:cs="Times New Roman"/>
          <w:sz w:val="24"/>
          <w:szCs w:val="24"/>
        </w:rPr>
        <w:t>(9480). – 22 октября</w:t>
      </w:r>
      <w:r w:rsidR="00582294" w:rsidRPr="00F40FF4">
        <w:rPr>
          <w:rFonts w:ascii="Times New Roman" w:hAnsi="Times New Roman" w:cs="Times New Roman"/>
          <w:sz w:val="24"/>
          <w:szCs w:val="24"/>
        </w:rPr>
        <w:t>.</w:t>
      </w:r>
    </w:p>
    <w:p w:rsidR="00B2531F" w:rsidRPr="00F40FF4" w:rsidRDefault="008D6505" w:rsidP="00F40FF4">
      <w:pPr>
        <w:pStyle w:val="a3"/>
        <w:numPr>
          <w:ilvl w:val="0"/>
          <w:numId w:val="1"/>
        </w:numPr>
        <w:tabs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Федеральный проект «Создание единого цифрового контура в здравоохранении на основе единой государственной информационной системы в сфере здравоохранения (ЕГИСЗ)». – 2019. – (</w:t>
      </w:r>
      <w:proofErr w:type="spellStart"/>
      <w:r w:rsidRPr="00F40FF4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Pr="00F40FF4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Pr="00F40FF4">
        <w:rPr>
          <w:rFonts w:ascii="Times New Roman" w:hAnsi="Times New Roman" w:cs="Times New Roman"/>
          <w:sz w:val="24"/>
          <w:szCs w:val="24"/>
        </w:rPr>
        <w:t>www</w:t>
      </w:r>
      <w:proofErr w:type="spellEnd"/>
      <w:r w:rsidRPr="00F40FF4">
        <w:rPr>
          <w:rFonts w:ascii="Times New Roman" w:hAnsi="Times New Roman" w:cs="Times New Roman"/>
          <w:sz w:val="24"/>
          <w:szCs w:val="24"/>
        </w:rPr>
        <w:t xml:space="preserve">. </w:t>
      </w:r>
      <w:hyperlink r:id="rId10" w:history="1">
        <w:r w:rsidR="00B2531F" w:rsidRPr="00F40FF4">
          <w:rPr>
            <w:rStyle w:val="a4"/>
            <w:rFonts w:ascii="Times New Roman" w:hAnsi="Times New Roman" w:cs="Times New Roman"/>
            <w:sz w:val="24"/>
            <w:szCs w:val="24"/>
          </w:rPr>
          <w:t>https://minzdrav.gov.ru/poleznye-resursy/natsproektzdravoohranenie/tsifra</w:t>
        </w:r>
      </w:hyperlink>
      <w:r w:rsidRPr="00F40FF4">
        <w:rPr>
          <w:rFonts w:ascii="Times New Roman" w:hAnsi="Times New Roman" w:cs="Times New Roman"/>
          <w:sz w:val="24"/>
          <w:szCs w:val="24"/>
        </w:rPr>
        <w:t>).</w:t>
      </w:r>
    </w:p>
    <w:p w:rsidR="005E2662" w:rsidRPr="00F40FF4" w:rsidRDefault="005E2662" w:rsidP="00F40FF4">
      <w:pPr>
        <w:pStyle w:val="a3"/>
        <w:numPr>
          <w:ilvl w:val="0"/>
          <w:numId w:val="1"/>
        </w:numPr>
        <w:tabs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FF4">
        <w:rPr>
          <w:rFonts w:ascii="Times New Roman" w:hAnsi="Times New Roman" w:cs="Times New Roman"/>
          <w:sz w:val="24"/>
          <w:szCs w:val="24"/>
        </w:rPr>
        <w:t>Головкова, А. С. Архитектура хранения и нормализация нормативно-справочных данных на этапе создания единого цифрового контура на предприятии / А. С. Головкова, Н. В. Колос // Экономика. Информатика. – 2023. – Т. 50, № 1. – С. 173-182. – DOI 10.52575/2687-0932-2023-50-1-173-182.</w:t>
      </w:r>
    </w:p>
    <w:sectPr w:rsidR="005E2662" w:rsidRPr="00F40FF4" w:rsidSect="005E26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B555CB"/>
    <w:multiLevelType w:val="hybridMultilevel"/>
    <w:tmpl w:val="0AEC57C8"/>
    <w:lvl w:ilvl="0" w:tplc="557AAB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662"/>
    <w:rsid w:val="00004280"/>
    <w:rsid w:val="000B316C"/>
    <w:rsid w:val="002D710F"/>
    <w:rsid w:val="0034057A"/>
    <w:rsid w:val="00410B0C"/>
    <w:rsid w:val="00582294"/>
    <w:rsid w:val="005B4DFD"/>
    <w:rsid w:val="005E2662"/>
    <w:rsid w:val="0060778D"/>
    <w:rsid w:val="006958BA"/>
    <w:rsid w:val="006D27D2"/>
    <w:rsid w:val="00700424"/>
    <w:rsid w:val="007C6721"/>
    <w:rsid w:val="008427D1"/>
    <w:rsid w:val="008D6505"/>
    <w:rsid w:val="00971032"/>
    <w:rsid w:val="00A27659"/>
    <w:rsid w:val="00A450A1"/>
    <w:rsid w:val="00B2531F"/>
    <w:rsid w:val="00D61E11"/>
    <w:rsid w:val="00E910FC"/>
    <w:rsid w:val="00F40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A46BC"/>
  <w15:chartTrackingRefBased/>
  <w15:docId w15:val="{68594D87-C742-44E1-B66E-9C81992E6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50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253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fontTable" Target="fontTable.xml"/><Relationship Id="rId5" Type="http://schemas.openxmlformats.org/officeDocument/2006/relationships/diagramData" Target="diagrams/data1.xml"/><Relationship Id="rId10" Type="http://schemas.openxmlformats.org/officeDocument/2006/relationships/hyperlink" Target="https://minzdrav.gov.ru/poleznye-resursy/natsproektzdravoohranenie/tsifra" TargetMode="Externa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2214653-3F99-4ED6-967B-FF91771895EE}" type="doc">
      <dgm:prSet loTypeId="urn:microsoft.com/office/officeart/2005/8/layout/chevron1" loCatId="process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2752893F-5A11-41F3-A9A8-160518A809B2}">
      <dgm:prSet phldrT="[Текст]" custT="1"/>
      <dgm:spPr>
        <a:solidFill>
          <a:schemeClr val="bg2">
            <a:lumMod val="90000"/>
          </a:schemeClr>
        </a:solidFill>
      </dgm:spPr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Проект ЕЦК</a:t>
          </a:r>
        </a:p>
      </dgm:t>
    </dgm:pt>
    <dgm:pt modelId="{BAE24609-C0DB-4032-B9CB-4EC3CF31E1EF}" type="parTrans" cxnId="{516E59EB-0C86-4F3C-8786-AC10FB52BE57}">
      <dgm:prSet/>
      <dgm:spPr/>
      <dgm:t>
        <a:bodyPr/>
        <a:lstStyle/>
        <a:p>
          <a:endParaRPr lang="ru-RU"/>
        </a:p>
      </dgm:t>
    </dgm:pt>
    <dgm:pt modelId="{F7F4F155-F193-4F05-97C1-1570EA9E6879}" type="sibTrans" cxnId="{516E59EB-0C86-4F3C-8786-AC10FB52BE57}">
      <dgm:prSet/>
      <dgm:spPr/>
      <dgm:t>
        <a:bodyPr/>
        <a:lstStyle/>
        <a:p>
          <a:endParaRPr lang="ru-RU"/>
        </a:p>
      </dgm:t>
    </dgm:pt>
    <dgm:pt modelId="{F2D21281-EAEB-4E62-A8B6-42E69D3375D2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Разработка проекта ЕЦК предприятия и пакета управленческих решений, способствующих реализации концепта</a:t>
          </a:r>
        </a:p>
      </dgm:t>
    </dgm:pt>
    <dgm:pt modelId="{F6F3505B-B6A0-45B6-89B1-F40C901C42D7}" type="parTrans" cxnId="{4E0ACA06-5071-4838-B89F-F35C45CE85D4}">
      <dgm:prSet/>
      <dgm:spPr/>
      <dgm:t>
        <a:bodyPr/>
        <a:lstStyle/>
        <a:p>
          <a:endParaRPr lang="ru-RU"/>
        </a:p>
      </dgm:t>
    </dgm:pt>
    <dgm:pt modelId="{D749A188-D9F3-48EC-9FBB-BC3928792421}" type="sibTrans" cxnId="{4E0ACA06-5071-4838-B89F-F35C45CE85D4}">
      <dgm:prSet/>
      <dgm:spPr/>
      <dgm:t>
        <a:bodyPr/>
        <a:lstStyle/>
        <a:p>
          <a:endParaRPr lang="ru-RU"/>
        </a:p>
      </dgm:t>
    </dgm:pt>
    <dgm:pt modelId="{B42FAE5A-E084-4495-9B47-F8C202A01073}">
      <dgm:prSet phldrT="[Текст]" custT="1"/>
      <dgm:spPr>
        <a:solidFill>
          <a:schemeClr val="bg1">
            <a:lumMod val="75000"/>
          </a:schemeClr>
        </a:solidFill>
      </dgm:spPr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Оцифровка бизнес-проессов</a:t>
          </a:r>
        </a:p>
      </dgm:t>
    </dgm:pt>
    <dgm:pt modelId="{26C828B2-5F71-47A7-8136-080E01FE401B}" type="parTrans" cxnId="{E1CDB7AA-7CB3-4BF7-A7C4-97C86BACED1A}">
      <dgm:prSet/>
      <dgm:spPr/>
      <dgm:t>
        <a:bodyPr/>
        <a:lstStyle/>
        <a:p>
          <a:endParaRPr lang="ru-RU"/>
        </a:p>
      </dgm:t>
    </dgm:pt>
    <dgm:pt modelId="{128A6D7F-284B-420F-96C6-67D5E72F30B5}" type="sibTrans" cxnId="{E1CDB7AA-7CB3-4BF7-A7C4-97C86BACED1A}">
      <dgm:prSet/>
      <dgm:spPr/>
      <dgm:t>
        <a:bodyPr/>
        <a:lstStyle/>
        <a:p>
          <a:endParaRPr lang="ru-RU"/>
        </a:p>
      </dgm:t>
    </dgm:pt>
    <dgm:pt modelId="{D97DCF47-01B9-4FC8-B20A-5B2B1865A56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Ранжирование по степени важности бизнес-процессов и их поочередная оцифровка от наиважнейших к второстепенным </a:t>
          </a:r>
        </a:p>
      </dgm:t>
    </dgm:pt>
    <dgm:pt modelId="{E5F66F53-FD08-49F6-848A-C59F2D361E5D}" type="parTrans" cxnId="{2ECC2B8D-44C3-4D01-87BF-7BE5371051A4}">
      <dgm:prSet/>
      <dgm:spPr/>
      <dgm:t>
        <a:bodyPr/>
        <a:lstStyle/>
        <a:p>
          <a:endParaRPr lang="ru-RU"/>
        </a:p>
      </dgm:t>
    </dgm:pt>
    <dgm:pt modelId="{0AC1115B-9F35-4674-88F8-A22717154F3C}" type="sibTrans" cxnId="{2ECC2B8D-44C3-4D01-87BF-7BE5371051A4}">
      <dgm:prSet/>
      <dgm:spPr/>
      <dgm:t>
        <a:bodyPr/>
        <a:lstStyle/>
        <a:p>
          <a:endParaRPr lang="ru-RU"/>
        </a:p>
      </dgm:t>
    </dgm:pt>
    <dgm:pt modelId="{3C0839C3-DE0B-4749-8508-3B44FA7B6924}">
      <dgm:prSet phldrT="[Текст]" custT="1"/>
      <dgm:spPr>
        <a:solidFill>
          <a:schemeClr val="bg2">
            <a:lumMod val="90000"/>
          </a:schemeClr>
        </a:solidFill>
      </dgm:spPr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Интеграция </a:t>
          </a:r>
        </a:p>
      </dgm:t>
    </dgm:pt>
    <dgm:pt modelId="{5D901D1C-3540-41C7-BD3E-37527303AFF8}" type="parTrans" cxnId="{A997DE0E-4570-4328-8CC7-D7E16D1D5CEF}">
      <dgm:prSet/>
      <dgm:spPr/>
      <dgm:t>
        <a:bodyPr/>
        <a:lstStyle/>
        <a:p>
          <a:endParaRPr lang="ru-RU"/>
        </a:p>
      </dgm:t>
    </dgm:pt>
    <dgm:pt modelId="{4F880444-B5B3-493D-8075-8E91950C1587}" type="sibTrans" cxnId="{A997DE0E-4570-4328-8CC7-D7E16D1D5CEF}">
      <dgm:prSet/>
      <dgm:spPr/>
      <dgm:t>
        <a:bodyPr/>
        <a:lstStyle/>
        <a:p>
          <a:endParaRPr lang="ru-RU"/>
        </a:p>
      </dgm:t>
    </dgm:pt>
    <dgm:pt modelId="{5E6D57AB-73EA-4A80-9122-75ED974AAA6C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Интеграция разрозненных сервисов в единый цифровой контур, в т.ч. техническая доработка модулей </a:t>
          </a:r>
        </a:p>
      </dgm:t>
    </dgm:pt>
    <dgm:pt modelId="{16521752-B265-4C3D-B6C9-957383FDD0F7}" type="parTrans" cxnId="{320FE965-D33F-4747-9A14-7EF72572BE84}">
      <dgm:prSet/>
      <dgm:spPr/>
      <dgm:t>
        <a:bodyPr/>
        <a:lstStyle/>
        <a:p>
          <a:endParaRPr lang="ru-RU"/>
        </a:p>
      </dgm:t>
    </dgm:pt>
    <dgm:pt modelId="{2ECF3662-5F2B-4F3A-94D0-C0959EC2E643}" type="sibTrans" cxnId="{320FE965-D33F-4747-9A14-7EF72572BE84}">
      <dgm:prSet/>
      <dgm:spPr/>
      <dgm:t>
        <a:bodyPr/>
        <a:lstStyle/>
        <a:p>
          <a:endParaRPr lang="ru-RU"/>
        </a:p>
      </dgm:t>
    </dgm:pt>
    <dgm:pt modelId="{AD8D0C05-5347-4F79-B5D3-5EE1B0084570}" type="pres">
      <dgm:prSet presAssocID="{12214653-3F99-4ED6-967B-FF91771895EE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AEA3EC14-711C-47DD-B570-7C3F3A13C52D}" type="pres">
      <dgm:prSet presAssocID="{2752893F-5A11-41F3-A9A8-160518A809B2}" presName="composite" presStyleCnt="0"/>
      <dgm:spPr/>
      <dgm:t>
        <a:bodyPr/>
        <a:lstStyle/>
        <a:p>
          <a:endParaRPr lang="ru-RU"/>
        </a:p>
      </dgm:t>
    </dgm:pt>
    <dgm:pt modelId="{6CD5E1B5-4E92-48BD-9306-DB232970718B}" type="pres">
      <dgm:prSet presAssocID="{2752893F-5A11-41F3-A9A8-160518A809B2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F75B0A4-24A9-4ADF-85AF-69205261A014}" type="pres">
      <dgm:prSet presAssocID="{2752893F-5A11-41F3-A9A8-160518A809B2}" presName="desTx" presStyleLbl="revTx" presStyleIdx="0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4D5E8CD-D3E6-4FDE-8D66-76C65C3498DD}" type="pres">
      <dgm:prSet presAssocID="{F7F4F155-F193-4F05-97C1-1570EA9E6879}" presName="space" presStyleCnt="0"/>
      <dgm:spPr/>
      <dgm:t>
        <a:bodyPr/>
        <a:lstStyle/>
        <a:p>
          <a:endParaRPr lang="ru-RU"/>
        </a:p>
      </dgm:t>
    </dgm:pt>
    <dgm:pt modelId="{8C3B44C9-F691-4AE9-9F16-83DBC4ED9C45}" type="pres">
      <dgm:prSet presAssocID="{B42FAE5A-E084-4495-9B47-F8C202A01073}" presName="composite" presStyleCnt="0"/>
      <dgm:spPr/>
      <dgm:t>
        <a:bodyPr/>
        <a:lstStyle/>
        <a:p>
          <a:endParaRPr lang="ru-RU"/>
        </a:p>
      </dgm:t>
    </dgm:pt>
    <dgm:pt modelId="{38716A79-821F-47C8-9A06-45568ED1C64A}" type="pres">
      <dgm:prSet presAssocID="{B42FAE5A-E084-4495-9B47-F8C202A01073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61E6CFB-E9A3-4D9B-A119-89B1E67E0BEE}" type="pres">
      <dgm:prSet presAssocID="{B42FAE5A-E084-4495-9B47-F8C202A01073}" presName="desTx" presStyleLbl="revTx" presStyleIdx="1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A5008FA-E4A6-4D1A-9829-079FEB4152AB}" type="pres">
      <dgm:prSet presAssocID="{128A6D7F-284B-420F-96C6-67D5E72F30B5}" presName="space" presStyleCnt="0"/>
      <dgm:spPr/>
      <dgm:t>
        <a:bodyPr/>
        <a:lstStyle/>
        <a:p>
          <a:endParaRPr lang="ru-RU"/>
        </a:p>
      </dgm:t>
    </dgm:pt>
    <dgm:pt modelId="{0FCDA8E6-6DB9-4E4C-81AE-09B10ECEB393}" type="pres">
      <dgm:prSet presAssocID="{3C0839C3-DE0B-4749-8508-3B44FA7B6924}" presName="composite" presStyleCnt="0"/>
      <dgm:spPr/>
      <dgm:t>
        <a:bodyPr/>
        <a:lstStyle/>
        <a:p>
          <a:endParaRPr lang="ru-RU"/>
        </a:p>
      </dgm:t>
    </dgm:pt>
    <dgm:pt modelId="{24364241-BDCC-481A-B452-FD2FD3E34C5D}" type="pres">
      <dgm:prSet presAssocID="{3C0839C3-DE0B-4749-8508-3B44FA7B6924}" presName="parTx" presStyleLbl="node1" presStyleIdx="2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142497E-5B66-420B-8A93-24993CE14A4C}" type="pres">
      <dgm:prSet presAssocID="{3C0839C3-DE0B-4749-8508-3B44FA7B6924}" presName="desTx" presStyleLbl="revTx" presStyleIdx="2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95E1A10C-F817-4161-9467-666EEC4D63FB}" type="presOf" srcId="{D97DCF47-01B9-4FC8-B20A-5B2B1865A569}" destId="{A61E6CFB-E9A3-4D9B-A119-89B1E67E0BEE}" srcOrd="0" destOrd="0" presId="urn:microsoft.com/office/officeart/2005/8/layout/chevron1"/>
    <dgm:cxn modelId="{35507074-351C-4342-B635-BFE1C63DF416}" type="presOf" srcId="{3C0839C3-DE0B-4749-8508-3B44FA7B6924}" destId="{24364241-BDCC-481A-B452-FD2FD3E34C5D}" srcOrd="0" destOrd="0" presId="urn:microsoft.com/office/officeart/2005/8/layout/chevron1"/>
    <dgm:cxn modelId="{FEBDC2F8-1466-426F-8A6F-5514F41C9FD1}" type="presOf" srcId="{12214653-3F99-4ED6-967B-FF91771895EE}" destId="{AD8D0C05-5347-4F79-B5D3-5EE1B0084570}" srcOrd="0" destOrd="0" presId="urn:microsoft.com/office/officeart/2005/8/layout/chevron1"/>
    <dgm:cxn modelId="{4E0ACA06-5071-4838-B89F-F35C45CE85D4}" srcId="{2752893F-5A11-41F3-A9A8-160518A809B2}" destId="{F2D21281-EAEB-4E62-A8B6-42E69D3375D2}" srcOrd="0" destOrd="0" parTransId="{F6F3505B-B6A0-45B6-89B1-F40C901C42D7}" sibTransId="{D749A188-D9F3-48EC-9FBB-BC3928792421}"/>
    <dgm:cxn modelId="{516E59EB-0C86-4F3C-8786-AC10FB52BE57}" srcId="{12214653-3F99-4ED6-967B-FF91771895EE}" destId="{2752893F-5A11-41F3-A9A8-160518A809B2}" srcOrd="0" destOrd="0" parTransId="{BAE24609-C0DB-4032-B9CB-4EC3CF31E1EF}" sibTransId="{F7F4F155-F193-4F05-97C1-1570EA9E6879}"/>
    <dgm:cxn modelId="{320FE965-D33F-4747-9A14-7EF72572BE84}" srcId="{3C0839C3-DE0B-4749-8508-3B44FA7B6924}" destId="{5E6D57AB-73EA-4A80-9122-75ED974AAA6C}" srcOrd="0" destOrd="0" parTransId="{16521752-B265-4C3D-B6C9-957383FDD0F7}" sibTransId="{2ECF3662-5F2B-4F3A-94D0-C0959EC2E643}"/>
    <dgm:cxn modelId="{A997DE0E-4570-4328-8CC7-D7E16D1D5CEF}" srcId="{12214653-3F99-4ED6-967B-FF91771895EE}" destId="{3C0839C3-DE0B-4749-8508-3B44FA7B6924}" srcOrd="2" destOrd="0" parTransId="{5D901D1C-3540-41C7-BD3E-37527303AFF8}" sibTransId="{4F880444-B5B3-493D-8075-8E91950C1587}"/>
    <dgm:cxn modelId="{FC73BAC0-C85E-4566-B6F3-75B826041CD5}" type="presOf" srcId="{5E6D57AB-73EA-4A80-9122-75ED974AAA6C}" destId="{0142497E-5B66-420B-8A93-24993CE14A4C}" srcOrd="0" destOrd="0" presId="urn:microsoft.com/office/officeart/2005/8/layout/chevron1"/>
    <dgm:cxn modelId="{E1CDB7AA-7CB3-4BF7-A7C4-97C86BACED1A}" srcId="{12214653-3F99-4ED6-967B-FF91771895EE}" destId="{B42FAE5A-E084-4495-9B47-F8C202A01073}" srcOrd="1" destOrd="0" parTransId="{26C828B2-5F71-47A7-8136-080E01FE401B}" sibTransId="{128A6D7F-284B-420F-96C6-67D5E72F30B5}"/>
    <dgm:cxn modelId="{2ECC2B8D-44C3-4D01-87BF-7BE5371051A4}" srcId="{B42FAE5A-E084-4495-9B47-F8C202A01073}" destId="{D97DCF47-01B9-4FC8-B20A-5B2B1865A569}" srcOrd="0" destOrd="0" parTransId="{E5F66F53-FD08-49F6-848A-C59F2D361E5D}" sibTransId="{0AC1115B-9F35-4674-88F8-A22717154F3C}"/>
    <dgm:cxn modelId="{79AF47E2-9AB6-420E-98D8-C6707B5D7BF0}" type="presOf" srcId="{F2D21281-EAEB-4E62-A8B6-42E69D3375D2}" destId="{7F75B0A4-24A9-4ADF-85AF-69205261A014}" srcOrd="0" destOrd="0" presId="urn:microsoft.com/office/officeart/2005/8/layout/chevron1"/>
    <dgm:cxn modelId="{15B73458-13BF-43EE-83CF-4AC212872A61}" type="presOf" srcId="{2752893F-5A11-41F3-A9A8-160518A809B2}" destId="{6CD5E1B5-4E92-48BD-9306-DB232970718B}" srcOrd="0" destOrd="0" presId="urn:microsoft.com/office/officeart/2005/8/layout/chevron1"/>
    <dgm:cxn modelId="{1778845C-5248-47F4-853C-507FF137EB3A}" type="presOf" srcId="{B42FAE5A-E084-4495-9B47-F8C202A01073}" destId="{38716A79-821F-47C8-9A06-45568ED1C64A}" srcOrd="0" destOrd="0" presId="urn:microsoft.com/office/officeart/2005/8/layout/chevron1"/>
    <dgm:cxn modelId="{8FF80E2F-0170-460F-8B04-8002825FEFC8}" type="presParOf" srcId="{AD8D0C05-5347-4F79-B5D3-5EE1B0084570}" destId="{AEA3EC14-711C-47DD-B570-7C3F3A13C52D}" srcOrd="0" destOrd="0" presId="urn:microsoft.com/office/officeart/2005/8/layout/chevron1"/>
    <dgm:cxn modelId="{AF28B758-8A2A-4F62-A327-39E67F7ED418}" type="presParOf" srcId="{AEA3EC14-711C-47DD-B570-7C3F3A13C52D}" destId="{6CD5E1B5-4E92-48BD-9306-DB232970718B}" srcOrd="0" destOrd="0" presId="urn:microsoft.com/office/officeart/2005/8/layout/chevron1"/>
    <dgm:cxn modelId="{D83111AD-E583-4017-B5FB-014220222BE6}" type="presParOf" srcId="{AEA3EC14-711C-47DD-B570-7C3F3A13C52D}" destId="{7F75B0A4-24A9-4ADF-85AF-69205261A014}" srcOrd="1" destOrd="0" presId="urn:microsoft.com/office/officeart/2005/8/layout/chevron1"/>
    <dgm:cxn modelId="{4E600C0D-6D18-4F31-A388-B428FA89678B}" type="presParOf" srcId="{AD8D0C05-5347-4F79-B5D3-5EE1B0084570}" destId="{B4D5E8CD-D3E6-4FDE-8D66-76C65C3498DD}" srcOrd="1" destOrd="0" presId="urn:microsoft.com/office/officeart/2005/8/layout/chevron1"/>
    <dgm:cxn modelId="{BF70DF4C-9DF1-430E-8075-F82676E1283C}" type="presParOf" srcId="{AD8D0C05-5347-4F79-B5D3-5EE1B0084570}" destId="{8C3B44C9-F691-4AE9-9F16-83DBC4ED9C45}" srcOrd="2" destOrd="0" presId="urn:microsoft.com/office/officeart/2005/8/layout/chevron1"/>
    <dgm:cxn modelId="{DE03C849-71C9-4695-9546-E43F43FA55CE}" type="presParOf" srcId="{8C3B44C9-F691-4AE9-9F16-83DBC4ED9C45}" destId="{38716A79-821F-47C8-9A06-45568ED1C64A}" srcOrd="0" destOrd="0" presId="urn:microsoft.com/office/officeart/2005/8/layout/chevron1"/>
    <dgm:cxn modelId="{1CC60E80-A5A7-4D81-B81B-CDF4908F34E9}" type="presParOf" srcId="{8C3B44C9-F691-4AE9-9F16-83DBC4ED9C45}" destId="{A61E6CFB-E9A3-4D9B-A119-89B1E67E0BEE}" srcOrd="1" destOrd="0" presId="urn:microsoft.com/office/officeart/2005/8/layout/chevron1"/>
    <dgm:cxn modelId="{0EC3315F-8FA7-4163-AAC9-3E80E1BC303B}" type="presParOf" srcId="{AD8D0C05-5347-4F79-B5D3-5EE1B0084570}" destId="{7A5008FA-E4A6-4D1A-9829-079FEB4152AB}" srcOrd="3" destOrd="0" presId="urn:microsoft.com/office/officeart/2005/8/layout/chevron1"/>
    <dgm:cxn modelId="{FBD3DCEA-3D42-4D4C-8D79-2A1C869E6B3E}" type="presParOf" srcId="{AD8D0C05-5347-4F79-B5D3-5EE1B0084570}" destId="{0FCDA8E6-6DB9-4E4C-81AE-09B10ECEB393}" srcOrd="4" destOrd="0" presId="urn:microsoft.com/office/officeart/2005/8/layout/chevron1"/>
    <dgm:cxn modelId="{C00F3394-80B7-494B-894F-ED14653DF634}" type="presParOf" srcId="{0FCDA8E6-6DB9-4E4C-81AE-09B10ECEB393}" destId="{24364241-BDCC-481A-B452-FD2FD3E34C5D}" srcOrd="0" destOrd="0" presId="urn:microsoft.com/office/officeart/2005/8/layout/chevron1"/>
    <dgm:cxn modelId="{A2DD1422-D6C2-4552-BB47-BC50E75EA758}" type="presParOf" srcId="{0FCDA8E6-6DB9-4E4C-81AE-09B10ECEB393}" destId="{0142497E-5B66-420B-8A93-24993CE14A4C}" srcOrd="1" destOrd="0" presId="urn:microsoft.com/office/officeart/2005/8/layout/chevron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CD5E1B5-4E92-48BD-9306-DB232970718B}">
      <dsp:nvSpPr>
        <dsp:cNvPr id="0" name=""/>
        <dsp:cNvSpPr/>
      </dsp:nvSpPr>
      <dsp:spPr>
        <a:xfrm>
          <a:off x="3957" y="17362"/>
          <a:ext cx="2224161" cy="540000"/>
        </a:xfrm>
        <a:prstGeom prst="chevron">
          <a:avLst/>
        </a:prstGeom>
        <a:solidFill>
          <a:schemeClr val="bg2">
            <a:lumMod val="9000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16002" rIns="16002" bIns="16002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Проект ЕЦК</a:t>
          </a:r>
        </a:p>
      </dsp:txBody>
      <dsp:txXfrm>
        <a:off x="273957" y="17362"/>
        <a:ext cx="1684161" cy="540000"/>
      </dsp:txXfrm>
    </dsp:sp>
    <dsp:sp modelId="{7F75B0A4-24A9-4ADF-85AF-69205261A014}">
      <dsp:nvSpPr>
        <dsp:cNvPr id="0" name=""/>
        <dsp:cNvSpPr/>
      </dsp:nvSpPr>
      <dsp:spPr>
        <a:xfrm>
          <a:off x="3957" y="624862"/>
          <a:ext cx="1779329" cy="9675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Разработка проекта ЕЦК предприятия и пакета управленческих решений, способствующих реализации концепта</a:t>
          </a:r>
        </a:p>
      </dsp:txBody>
      <dsp:txXfrm>
        <a:off x="3957" y="624862"/>
        <a:ext cx="1779329" cy="967500"/>
      </dsp:txXfrm>
    </dsp:sp>
    <dsp:sp modelId="{38716A79-821F-47C8-9A06-45568ED1C64A}">
      <dsp:nvSpPr>
        <dsp:cNvPr id="0" name=""/>
        <dsp:cNvSpPr/>
      </dsp:nvSpPr>
      <dsp:spPr>
        <a:xfrm>
          <a:off x="2012119" y="17362"/>
          <a:ext cx="2224161" cy="540000"/>
        </a:xfrm>
        <a:prstGeom prst="chevron">
          <a:avLst/>
        </a:prstGeom>
        <a:solidFill>
          <a:schemeClr val="bg1">
            <a:lumMod val="7500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16002" rIns="16002" bIns="16002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Оцифровка бизнес-проессов</a:t>
          </a:r>
        </a:p>
      </dsp:txBody>
      <dsp:txXfrm>
        <a:off x="2282119" y="17362"/>
        <a:ext cx="1684161" cy="540000"/>
      </dsp:txXfrm>
    </dsp:sp>
    <dsp:sp modelId="{A61E6CFB-E9A3-4D9B-A119-89B1E67E0BEE}">
      <dsp:nvSpPr>
        <dsp:cNvPr id="0" name=""/>
        <dsp:cNvSpPr/>
      </dsp:nvSpPr>
      <dsp:spPr>
        <a:xfrm>
          <a:off x="2012119" y="624862"/>
          <a:ext cx="1779329" cy="9675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Ранжирование по степени важности бизнес-процессов и их поочередная оцифровка от наиважнейших к второстепенным </a:t>
          </a:r>
        </a:p>
      </dsp:txBody>
      <dsp:txXfrm>
        <a:off x="2012119" y="624862"/>
        <a:ext cx="1779329" cy="967500"/>
      </dsp:txXfrm>
    </dsp:sp>
    <dsp:sp modelId="{24364241-BDCC-481A-B452-FD2FD3E34C5D}">
      <dsp:nvSpPr>
        <dsp:cNvPr id="0" name=""/>
        <dsp:cNvSpPr/>
      </dsp:nvSpPr>
      <dsp:spPr>
        <a:xfrm>
          <a:off x="4020280" y="17362"/>
          <a:ext cx="2224161" cy="540000"/>
        </a:xfrm>
        <a:prstGeom prst="chevron">
          <a:avLst/>
        </a:prstGeom>
        <a:solidFill>
          <a:schemeClr val="bg2">
            <a:lumMod val="9000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16002" rIns="16002" bIns="16002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Интеграция </a:t>
          </a:r>
        </a:p>
      </dsp:txBody>
      <dsp:txXfrm>
        <a:off x="4290280" y="17362"/>
        <a:ext cx="1684161" cy="540000"/>
      </dsp:txXfrm>
    </dsp:sp>
    <dsp:sp modelId="{0142497E-5B66-420B-8A93-24993CE14A4C}">
      <dsp:nvSpPr>
        <dsp:cNvPr id="0" name=""/>
        <dsp:cNvSpPr/>
      </dsp:nvSpPr>
      <dsp:spPr>
        <a:xfrm>
          <a:off x="4020280" y="624862"/>
          <a:ext cx="1779329" cy="9675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Интеграция разрозненных сервисов в единый цифровой контур, в т.ч. техническая доработка модулей </a:t>
          </a:r>
        </a:p>
      </dsp:txBody>
      <dsp:txXfrm>
        <a:off x="4020280" y="624862"/>
        <a:ext cx="1779329" cy="9675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1">
  <dgm:title val=""/>
  <dgm:desc val=""/>
  <dgm:catLst>
    <dgm:cat type="process" pri="9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des" func="maxDepth" op="gte" val="2">
        <dgm:constrLst>
          <dgm:constr type="h" for="ch" forName="composite" refType="h"/>
          <dgm:constr type="w" for="ch" forName="composite" refType="w"/>
          <dgm:constr type="w" for="des" forName="parTx"/>
          <dgm:constr type="h" for="des" forName="parTx" op="equ"/>
          <dgm:constr type="w" for="des" forName="desTx"/>
          <dgm:constr type="h" for="des" forName="desTx" op="equ"/>
          <dgm:constr type="primFontSz" for="des" forName="parTx" val="65"/>
          <dgm:constr type="secFontSz" for="des" forName="desTx" refType="primFontSz" refFor="des" refForName="parTx" op="equ"/>
          <dgm:constr type="h" for="des" forName="parTx" refType="primFontSz" refFor="des" refForName="parTx" fact="1.5"/>
          <dgm:constr type="h" for="des" forName="desTx" refType="primFontSz" refFor="des" refForName="parTx" fact="0.5"/>
          <dgm:constr type="w" for="ch" forName="space" op="equ" val="-6"/>
        </dgm:constrLst>
        <dgm:ruleLst>
          <dgm:rule type="w" for="ch" forName="composite" val="0" fact="NaN" max="NaN"/>
          <dgm:rule type="primFontSz" for="des" forName="parTx" val="5" fact="NaN" max="NaN"/>
        </dgm:ruleLst>
        <dgm:forEach name="Name6" axis="ch" ptType="node"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hoose name="Name7">
              <dgm:if name="Name8" func="var" arg="dir" op="equ" val="norm">
                <dgm:constrLst>
                  <dgm:constr type="l" for="ch" forName="parTx"/>
                  <dgm:constr type="w" for="ch" forName="parTx" refType="w"/>
                  <dgm:constr type="t" for="ch" forName="parTx"/>
                  <dgm:constr type="l" for="ch" forName="desTx"/>
                  <dgm:constr type="w" for="ch" forName="desTx" refType="w" refFor="ch" refForName="parTx" fact="0.8"/>
                  <dgm:constr type="t" for="ch" forName="desTx" refType="h" refFor="ch" refForName="parTx" fact="1.125"/>
                </dgm:constrLst>
              </dgm:if>
              <dgm:else name="Name9">
                <dgm:constrLst>
                  <dgm:constr type="l" for="ch" forName="parTx"/>
                  <dgm:constr type="w" for="ch" forName="parTx" refType="w"/>
                  <dgm:constr type="t" for="ch" forName="parTx"/>
                  <dgm:constr type="l" for="ch" forName="desTx" refType="w" fact="0.2"/>
                  <dgm:constr type="w" for="ch" forName="desTx" refType="w" refFor="ch" refForName="parTx" fact="0.8"/>
                  <dgm:constr type="t" for="ch" forName="desTx" refType="h" refFor="ch" refForName="parTx" fact="1.125"/>
                </dgm:constrLst>
              </dgm:else>
            </dgm:choose>
            <dgm:ruleLst>
              <dgm:rule type="h" val="INF" fact="NaN" max="NaN"/>
            </dgm:ruleLst>
            <dgm:layoutNode name="parTx">
              <dgm:varLst>
                <dgm:chMax val="0"/>
                <dgm:chPref val="0"/>
                <dgm:bulletEnabled val="1"/>
              </dgm:varLst>
              <dgm:alg type="tx"/>
              <dgm:choose name="Name10">
                <dgm:if name="Name11" func="var" arg="dir" op="equ" val="norm">
                  <dgm:shape xmlns:r="http://schemas.openxmlformats.org/officeDocument/2006/relationships" type="chevron" r:blip="">
                    <dgm:adjLst/>
                  </dgm:shape>
                </dgm:if>
                <dgm:else name="Name12">
                  <dgm:shape xmlns:r="http://schemas.openxmlformats.org/officeDocument/2006/relationships" rot="180" type="chevron" r:blip="">
                    <dgm:adjLst/>
                  </dgm:shape>
                </dgm:else>
              </dgm:choose>
              <dgm:presOf axis="self" ptType="node"/>
              <dgm:choose name="Name13">
                <dgm:if name="Name14" func="var" arg="dir" op="equ" val="norm">
                  <dgm:constrLst>
                    <dgm:constr type="h" refType="w" op="lte" fact="0.4"/>
                    <dgm:constr type="h"/>
                    <dgm:constr type="tMarg" refType="primFontSz" fact="0.105"/>
                    <dgm:constr type="bMarg" refType="primFontSz" fact="0.105"/>
                    <dgm:constr type="lMarg" refType="primFontSz" fact="0.315"/>
                    <dgm:constr type="rMarg" refType="primFontSz" fact="0.105"/>
                  </dgm:constrLst>
                </dgm:if>
                <dgm:else name="Name15">
                  <dgm:constrLst>
                    <dgm:constr type="h" refType="w" op="lte" fact="0.4"/>
                    <dgm:constr type="h"/>
                    <dgm:constr type="tMarg" refType="primFontSz" fact="0.105"/>
                    <dgm:constr type="bMarg" refType="primFontSz" fact="0.105"/>
                    <dgm:constr type="lMarg" refType="primFontSz" fact="0.105"/>
                    <dgm:constr type="rMarg" refType="primFontSz" fact="0.315"/>
                  </dgm:constrLst>
                </dgm:else>
              </dgm:choose>
              <dgm:ruleLst>
                <dgm:rule type="h" val="INF" fact="NaN" max="NaN"/>
              </dgm:ruleLst>
            </dgm:layoutNode>
            <dgm:layoutNode name="desTx" styleLbl="revTx">
              <dgm:varLst>
                <dgm:bulletEnabled val="1"/>
              </dgm:varLst>
              <dgm:alg type="tx">
                <dgm:param type="stBulletLvl" val="1"/>
              </dgm:alg>
              <dgm:choose name="Name16">
                <dgm:if name="Name17" axis="ch" ptType="node" func="cnt" op="gte" val="1">
                  <dgm:shape xmlns:r="http://schemas.openxmlformats.org/officeDocument/2006/relationships" type="rect" r:blip="">
                    <dgm:adjLst/>
                  </dgm:shape>
                </dgm:if>
                <dgm:else name="Name18">
                  <dgm:shape xmlns:r="http://schemas.openxmlformats.org/officeDocument/2006/relationships" type="rect" r:blip="" hideGeom="1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h"/>
                <dgm:constr type="tMarg"/>
                <dgm:constr type="bMarg"/>
                <dgm:constr type="rMarg"/>
                <dgm:constr type="lMarg"/>
              </dgm:constrLst>
              <dgm:ruleLst>
                <dgm:rule type="h" val="INF" fact="NaN" max="NaN"/>
              </dgm:ruleLst>
            </dgm:layoutNode>
          </dgm:layoutNode>
          <dgm:forEach name="Name19" axis="followSib" ptType="sibTrans" cnt="1">
            <dgm:layoutNode name="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20">
        <dgm:constrLst>
          <dgm:constr type="w" for="ch" forName="parTxOnly" refType="w"/>
          <dgm:constr type="h" for="des" forName="parTxOnly" op="equ"/>
          <dgm:constr type="primFontSz" for="des" forName="parTxOnly" op="equ" val="65"/>
          <dgm:constr type="w" for="ch" forName="parTxOnlySpace" refType="w" refFor="ch" refForName="parTxOnly" fact="-0.1"/>
        </dgm:constrLst>
        <dgm:ruleLst/>
        <dgm:forEach name="Name21" axis="ch" ptType="node">
          <dgm:layoutNode name="parTxOnly">
            <dgm:varLst>
              <dgm:chMax val="0"/>
              <dgm:chPref val="0"/>
              <dgm:bulletEnabled val="1"/>
            </dgm:varLst>
            <dgm:alg type="tx"/>
            <dgm:choose name="Name22">
              <dgm:if name="Name23" func="var" arg="dir" op="equ" val="norm">
                <dgm:shape xmlns:r="http://schemas.openxmlformats.org/officeDocument/2006/relationships" type="chevron" r:blip="">
                  <dgm:adjLst/>
                </dgm:shape>
              </dgm:if>
              <dgm:else name="Name24">
                <dgm:shape xmlns:r="http://schemas.openxmlformats.org/officeDocument/2006/relationships" rot="180" type="chevron" r:blip="">
                  <dgm:adjLst/>
                </dgm:shape>
              </dgm:else>
            </dgm:choose>
            <dgm:presOf axis="self" ptType="node"/>
            <dgm:choose name="Name25">
              <dgm:if name="Name26" func="var" arg="dir" op="equ" val="norm">
                <dgm:constrLst>
                  <dgm:constr type="h" refType="w" op="equ" fact="0.4"/>
                  <dgm:constr type="tMarg" refType="primFontSz" fact="0.105"/>
                  <dgm:constr type="bMarg" refType="primFontSz" fact="0.105"/>
                  <dgm:constr type="lMarg" refType="primFontSz" fact="0.315"/>
                  <dgm:constr type="rMarg" refType="primFontSz" fact="0.105"/>
                </dgm:constrLst>
              </dgm:if>
              <dgm:else name="Name27">
                <dgm:constrLst>
                  <dgm:constr type="h" refType="w" op="equ" fact="0.4"/>
                  <dgm:constr type="tMarg" refType="primFontSz" fact="0.105"/>
                  <dgm:constr type="bMarg" refType="primFontSz" fact="0.105"/>
                  <dgm:constr type="lMarg" refType="primFontSz" fact="0.105"/>
                  <dgm:constr type="rMarg" refType="primFontSz" fact="0.315"/>
                </dgm:constrLst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TxOnly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9444</TotalTime>
  <Pages>2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Olya</dc:creator>
  <cp:keywords/>
  <dc:description/>
  <cp:lastModifiedBy>Olya</cp:lastModifiedBy>
  <cp:revision>10</cp:revision>
  <dcterms:created xsi:type="dcterms:W3CDTF">2025-04-16T09:50:00Z</dcterms:created>
  <dcterms:modified xsi:type="dcterms:W3CDTF">2025-05-15T12:42:00Z</dcterms:modified>
</cp:coreProperties>
</file>