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4D27321" w14:textId="47A7519E" w:rsidR="00F156E5" w:rsidRDefault="00F156E5" w:rsidP="00EB33C2">
      <w:pPr>
        <w:spacing w:after="0" w:line="36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F156E5">
        <w:rPr>
          <w:rFonts w:ascii="Times New Roman" w:hAnsi="Times New Roman" w:cs="Times New Roman"/>
          <w:b/>
          <w:bCs/>
          <w:sz w:val="24"/>
          <w:szCs w:val="24"/>
        </w:rPr>
        <w:t>Пугачев А.А.</w:t>
      </w:r>
      <w:r>
        <w:rPr>
          <w:rStyle w:val="aa"/>
          <w:rFonts w:ascii="Times New Roman" w:hAnsi="Times New Roman" w:cs="Times New Roman"/>
          <w:b/>
          <w:bCs/>
          <w:sz w:val="24"/>
          <w:szCs w:val="24"/>
        </w:rPr>
        <w:footnoteReference w:id="1"/>
      </w:r>
    </w:p>
    <w:p w14:paraId="77D76CE8" w14:textId="0DD8C7CE" w:rsidR="00EB33C2" w:rsidRPr="00EB33C2" w:rsidRDefault="00D6264F" w:rsidP="00EB33C2">
      <w:pPr>
        <w:spacing w:after="0" w:line="360" w:lineRule="auto"/>
        <w:jc w:val="center"/>
        <w:rPr>
          <w:rFonts w:ascii="Times New Roman" w:hAnsi="Times New Roman" w:cs="Times New Roman"/>
          <w:b/>
          <w:bCs/>
          <w:cap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Эффекты преференциального налогообложения резидентов территорий опережающего развития в Ярославской области</w:t>
      </w:r>
    </w:p>
    <w:p w14:paraId="11C2A7F3" w14:textId="77777777" w:rsidR="003774E6" w:rsidRDefault="003774E6" w:rsidP="00EB33C2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  <w:iCs/>
        </w:rPr>
      </w:pPr>
    </w:p>
    <w:p w14:paraId="6F9EE500" w14:textId="01BA0FDD" w:rsidR="00807F0A" w:rsidRDefault="00EB33C2" w:rsidP="00EB33C2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  <w:iCs/>
        </w:rPr>
      </w:pPr>
      <w:r w:rsidRPr="004755B3">
        <w:rPr>
          <w:rFonts w:ascii="Times New Roman" w:hAnsi="Times New Roman" w:cs="Times New Roman"/>
          <w:b/>
          <w:bCs/>
        </w:rPr>
        <w:t>Аннотация</w:t>
      </w:r>
      <w:r w:rsidRPr="00EB33C2">
        <w:rPr>
          <w:rFonts w:ascii="Times New Roman" w:hAnsi="Times New Roman" w:cs="Times New Roman"/>
          <w:i/>
          <w:iCs/>
        </w:rPr>
        <w:t xml:space="preserve">. </w:t>
      </w:r>
      <w:r w:rsidR="008F074E">
        <w:rPr>
          <w:rFonts w:ascii="Times New Roman" w:hAnsi="Times New Roman" w:cs="Times New Roman"/>
          <w:i/>
          <w:iCs/>
        </w:rPr>
        <w:t xml:space="preserve">В Ярославской области в целях обеспечения социально-экономического развития и создания рабочих мест в 2017-2018 гг. созданы 3 ТОР в малых моногородах – Тутаеве, Ростове Великом и Гаврилов-Яме. Анализ эффектов </w:t>
      </w:r>
      <w:r w:rsidR="008F074E" w:rsidRPr="008F074E">
        <w:rPr>
          <w:rFonts w:ascii="Times New Roman" w:hAnsi="Times New Roman" w:cs="Times New Roman"/>
          <w:i/>
          <w:iCs/>
        </w:rPr>
        <w:t xml:space="preserve">преференциального налогообложения </w:t>
      </w:r>
      <w:r w:rsidR="008F074E">
        <w:rPr>
          <w:rFonts w:ascii="Times New Roman" w:hAnsi="Times New Roman" w:cs="Times New Roman"/>
          <w:i/>
          <w:iCs/>
        </w:rPr>
        <w:t>этих ТОР показал их преимущества и недостатки.</w:t>
      </w:r>
    </w:p>
    <w:p w14:paraId="7ECE8CF6" w14:textId="2324A404" w:rsidR="00EB33C2" w:rsidRPr="00EB33C2" w:rsidRDefault="00EB33C2" w:rsidP="00EB33C2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  <w:iCs/>
        </w:rPr>
      </w:pPr>
      <w:r w:rsidRPr="004755B3">
        <w:rPr>
          <w:rFonts w:ascii="Times New Roman" w:hAnsi="Times New Roman" w:cs="Times New Roman"/>
          <w:b/>
          <w:bCs/>
        </w:rPr>
        <w:t>Ключевые слова</w:t>
      </w:r>
      <w:r w:rsidR="00781741">
        <w:rPr>
          <w:rFonts w:ascii="Times New Roman" w:hAnsi="Times New Roman" w:cs="Times New Roman"/>
          <w:i/>
          <w:iCs/>
        </w:rPr>
        <w:t>:</w:t>
      </w:r>
      <w:r w:rsidRPr="00EB33C2">
        <w:rPr>
          <w:rFonts w:ascii="Times New Roman" w:hAnsi="Times New Roman" w:cs="Times New Roman"/>
          <w:i/>
          <w:iCs/>
        </w:rPr>
        <w:t xml:space="preserve"> </w:t>
      </w:r>
      <w:r w:rsidR="00D6264F">
        <w:rPr>
          <w:rFonts w:ascii="Times New Roman" w:hAnsi="Times New Roman" w:cs="Times New Roman"/>
          <w:i/>
          <w:iCs/>
        </w:rPr>
        <w:t>территории опережающего развития (ТОР), налоговые льготы, преференциальное налогообложение, резиденты, инвестиции, инвестиционные проекты.</w:t>
      </w:r>
    </w:p>
    <w:p w14:paraId="3BBE1A37" w14:textId="1E7A037C" w:rsidR="00F156E5" w:rsidRPr="005E50B4" w:rsidRDefault="00F156E5" w:rsidP="005E50B4">
      <w:pPr>
        <w:spacing w:after="0" w:line="252" w:lineRule="auto"/>
        <w:ind w:firstLine="425"/>
        <w:rPr>
          <w:rFonts w:ascii="Times New Roman" w:hAnsi="Times New Roman" w:cs="Times New Roman"/>
          <w:b/>
          <w:bCs/>
        </w:rPr>
      </w:pPr>
    </w:p>
    <w:p w14:paraId="2DC9564B" w14:textId="77777777" w:rsidR="00FA3FD1" w:rsidRPr="00CA1A6B" w:rsidRDefault="00FA3FD1" w:rsidP="005E50B4">
      <w:pPr>
        <w:spacing w:after="0" w:line="252" w:lineRule="auto"/>
        <w:ind w:firstLine="425"/>
        <w:rPr>
          <w:rFonts w:ascii="Times New Roman" w:hAnsi="Times New Roman" w:cs="Times New Roman"/>
        </w:rPr>
      </w:pPr>
    </w:p>
    <w:p w14:paraId="6AF1A08B" w14:textId="53CB21B0" w:rsidR="00D6264F" w:rsidRDefault="005141FA" w:rsidP="00D6264F">
      <w:pPr>
        <w:spacing w:after="0" w:line="252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В соответствии с Федеральным законом №473-ФЗ от 29.12.2014 «О территориях опережающего развития в Российской Федерации», территория опережающего развития (ТОР) – это часть территории субъекта Российской Федерации, на которой установлен особый правовой режим осуществления предпринимательской деятельности (</w:t>
      </w:r>
      <w:r w:rsidRPr="005141FA">
        <w:rPr>
          <w:rFonts w:ascii="Times New Roman" w:eastAsia="Calibri" w:hAnsi="Times New Roman" w:cs="Times New Roman"/>
          <w:sz w:val="24"/>
          <w:szCs w:val="24"/>
        </w:rPr>
        <w:t>особые условия ведения бизнеса, включая налоговые и административные льготы</w:t>
      </w:r>
      <w:r>
        <w:rPr>
          <w:rFonts w:ascii="Times New Roman" w:eastAsia="Calibri" w:hAnsi="Times New Roman" w:cs="Times New Roman"/>
          <w:sz w:val="24"/>
          <w:szCs w:val="24"/>
        </w:rPr>
        <w:t xml:space="preserve">) в целях привлечения инвестиций, обеспечения ускоренного социально-экономического развития и создания комфортных условий для жизни граждан. ТОР начали формироваться в России с 2014 г. в рамках реализации Стратегии пространственного развития России, в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т.ч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. с учетом недостатков и проблем опыта функционирования особых экономических зон </w:t>
      </w:r>
      <w:r w:rsidRPr="005141FA">
        <w:rPr>
          <w:rFonts w:ascii="Times New Roman" w:eastAsia="Calibri" w:hAnsi="Times New Roman" w:cs="Times New Roman"/>
          <w:sz w:val="24"/>
          <w:szCs w:val="24"/>
        </w:rPr>
        <w:t>[</w:t>
      </w:r>
      <w:r>
        <w:rPr>
          <w:rFonts w:ascii="Times New Roman" w:eastAsia="Calibri" w:hAnsi="Times New Roman" w:cs="Times New Roman"/>
          <w:sz w:val="24"/>
          <w:szCs w:val="24"/>
        </w:rPr>
        <w:t>9, с. 130</w:t>
      </w:r>
      <w:r w:rsidRPr="005141FA">
        <w:rPr>
          <w:rFonts w:ascii="Times New Roman" w:eastAsia="Calibri" w:hAnsi="Times New Roman" w:cs="Times New Roman"/>
          <w:sz w:val="24"/>
          <w:szCs w:val="24"/>
        </w:rPr>
        <w:t>]</w:t>
      </w:r>
      <w:r>
        <w:rPr>
          <w:rFonts w:ascii="Times New Roman" w:eastAsia="Calibri" w:hAnsi="Times New Roman" w:cs="Times New Roman"/>
          <w:sz w:val="24"/>
          <w:szCs w:val="24"/>
        </w:rPr>
        <w:t>. В настоящее время в России зарегистрировано 110 ТОР.</w:t>
      </w:r>
    </w:p>
    <w:p w14:paraId="1D61973E" w14:textId="301A0751" w:rsidR="005141FA" w:rsidRPr="005141FA" w:rsidRDefault="005141FA" w:rsidP="005141FA">
      <w:pPr>
        <w:spacing w:after="0" w:line="252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141FA">
        <w:rPr>
          <w:rFonts w:ascii="Times New Roman" w:eastAsia="Calibri" w:hAnsi="Times New Roman" w:cs="Times New Roman"/>
          <w:sz w:val="24"/>
          <w:szCs w:val="24"/>
        </w:rPr>
        <w:t xml:space="preserve">Резиденты ТОР получают значительные </w:t>
      </w:r>
      <w:r>
        <w:rPr>
          <w:rFonts w:ascii="Times New Roman" w:eastAsia="Calibri" w:hAnsi="Times New Roman" w:cs="Times New Roman"/>
          <w:sz w:val="24"/>
          <w:szCs w:val="24"/>
        </w:rPr>
        <w:t>преференции</w:t>
      </w:r>
      <w:r w:rsidRPr="005141FA">
        <w:rPr>
          <w:rFonts w:ascii="Times New Roman" w:eastAsia="Calibri" w:hAnsi="Times New Roman" w:cs="Times New Roman"/>
          <w:sz w:val="24"/>
          <w:szCs w:val="24"/>
        </w:rPr>
        <w:t xml:space="preserve"> от государства</w:t>
      </w:r>
      <w:r>
        <w:rPr>
          <w:rFonts w:ascii="Times New Roman" w:eastAsia="Calibri" w:hAnsi="Times New Roman" w:cs="Times New Roman"/>
          <w:sz w:val="24"/>
          <w:szCs w:val="24"/>
        </w:rPr>
        <w:t xml:space="preserve"> в виде налоговых льгот и упроще</w:t>
      </w:r>
      <w:r w:rsidRPr="005141FA">
        <w:rPr>
          <w:rFonts w:ascii="Times New Roman" w:eastAsia="Calibri" w:hAnsi="Times New Roman" w:cs="Times New Roman"/>
          <w:sz w:val="24"/>
          <w:szCs w:val="24"/>
        </w:rPr>
        <w:t xml:space="preserve">нных административных процедур, что способствует </w:t>
      </w:r>
      <w:r>
        <w:rPr>
          <w:rFonts w:ascii="Times New Roman" w:eastAsia="Calibri" w:hAnsi="Times New Roman" w:cs="Times New Roman"/>
          <w:sz w:val="24"/>
          <w:szCs w:val="24"/>
        </w:rPr>
        <w:t xml:space="preserve">социально-экономическому </w:t>
      </w:r>
      <w:r w:rsidRPr="005141FA">
        <w:rPr>
          <w:rFonts w:ascii="Times New Roman" w:eastAsia="Calibri" w:hAnsi="Times New Roman" w:cs="Times New Roman"/>
          <w:sz w:val="24"/>
          <w:szCs w:val="24"/>
        </w:rPr>
        <w:t xml:space="preserve">развитию </w:t>
      </w:r>
      <w:r w:rsidR="00BB4696">
        <w:rPr>
          <w:rFonts w:ascii="Times New Roman" w:eastAsia="Calibri" w:hAnsi="Times New Roman" w:cs="Times New Roman"/>
          <w:sz w:val="24"/>
          <w:szCs w:val="24"/>
        </w:rPr>
        <w:t xml:space="preserve">территорий </w:t>
      </w:r>
      <w:r w:rsidR="00BB4696" w:rsidRPr="00BB4696">
        <w:rPr>
          <w:rFonts w:ascii="Times New Roman" w:eastAsia="Calibri" w:hAnsi="Times New Roman" w:cs="Times New Roman"/>
          <w:sz w:val="24"/>
          <w:szCs w:val="24"/>
        </w:rPr>
        <w:t>[</w:t>
      </w:r>
      <w:r w:rsidR="00BB4696">
        <w:rPr>
          <w:rFonts w:ascii="Times New Roman" w:eastAsia="Calibri" w:hAnsi="Times New Roman" w:cs="Times New Roman"/>
          <w:sz w:val="24"/>
          <w:szCs w:val="24"/>
        </w:rPr>
        <w:t>1, с. 188</w:t>
      </w:r>
      <w:r w:rsidR="00BB4696" w:rsidRPr="00BB4696">
        <w:rPr>
          <w:rFonts w:ascii="Times New Roman" w:eastAsia="Calibri" w:hAnsi="Times New Roman" w:cs="Times New Roman"/>
          <w:sz w:val="24"/>
          <w:szCs w:val="24"/>
        </w:rPr>
        <w:t>]</w:t>
      </w:r>
      <w:r w:rsidRPr="005141FA">
        <w:rPr>
          <w:rFonts w:ascii="Times New Roman" w:eastAsia="Calibri" w:hAnsi="Times New Roman" w:cs="Times New Roman"/>
          <w:sz w:val="24"/>
          <w:szCs w:val="24"/>
        </w:rPr>
        <w:t>.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5141FA">
        <w:rPr>
          <w:rFonts w:ascii="Times New Roman" w:eastAsia="Calibri" w:hAnsi="Times New Roman" w:cs="Times New Roman"/>
          <w:sz w:val="24"/>
          <w:szCs w:val="24"/>
        </w:rPr>
        <w:t>Основные налоговых льгот</w:t>
      </w:r>
      <w:r>
        <w:rPr>
          <w:rFonts w:ascii="Times New Roman" w:eastAsia="Calibri" w:hAnsi="Times New Roman" w:cs="Times New Roman"/>
          <w:sz w:val="24"/>
          <w:szCs w:val="24"/>
        </w:rPr>
        <w:t>ы предоставляются по следующим налогам:</w:t>
      </w:r>
    </w:p>
    <w:p w14:paraId="43F3DF71" w14:textId="321C461B" w:rsidR="005141FA" w:rsidRPr="005141FA" w:rsidRDefault="005141FA" w:rsidP="005141FA">
      <w:pPr>
        <w:pStyle w:val="ab"/>
        <w:numPr>
          <w:ilvl w:val="0"/>
          <w:numId w:val="8"/>
        </w:numPr>
        <w:spacing w:after="0" w:line="252" w:lineRule="auto"/>
        <w:ind w:left="0" w:firstLine="284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н</w:t>
      </w:r>
      <w:r w:rsidRPr="005141FA">
        <w:rPr>
          <w:rFonts w:ascii="Times New Roman" w:eastAsia="Calibri" w:hAnsi="Times New Roman" w:cs="Times New Roman"/>
          <w:sz w:val="24"/>
          <w:szCs w:val="24"/>
        </w:rPr>
        <w:t>алог на прибыль</w:t>
      </w:r>
      <w:r>
        <w:rPr>
          <w:rFonts w:ascii="Times New Roman" w:eastAsia="Calibri" w:hAnsi="Times New Roman" w:cs="Times New Roman"/>
          <w:sz w:val="24"/>
          <w:szCs w:val="24"/>
        </w:rPr>
        <w:t xml:space="preserve"> организаций</w:t>
      </w:r>
      <w:r w:rsidRPr="005141FA">
        <w:rPr>
          <w:rFonts w:ascii="Times New Roman" w:eastAsia="Calibri" w:hAnsi="Times New Roman" w:cs="Times New Roman"/>
          <w:sz w:val="24"/>
          <w:szCs w:val="24"/>
        </w:rPr>
        <w:t xml:space="preserve">: </w:t>
      </w:r>
      <w:r>
        <w:rPr>
          <w:rFonts w:ascii="Times New Roman" w:eastAsia="Calibri" w:hAnsi="Times New Roman" w:cs="Times New Roman"/>
          <w:sz w:val="24"/>
          <w:szCs w:val="24"/>
        </w:rPr>
        <w:t>р</w:t>
      </w:r>
      <w:r w:rsidRPr="005141FA">
        <w:rPr>
          <w:rFonts w:ascii="Times New Roman" w:eastAsia="Calibri" w:hAnsi="Times New Roman" w:cs="Times New Roman"/>
          <w:sz w:val="24"/>
          <w:szCs w:val="24"/>
        </w:rPr>
        <w:t>езиденты ТОР освобождаются от уплаты налога на прибыль организаций в течение определённого периода либо уплачивают сниженную ставку</w:t>
      </w:r>
      <w:r>
        <w:rPr>
          <w:rFonts w:ascii="Times New Roman" w:eastAsia="Calibri" w:hAnsi="Times New Roman" w:cs="Times New Roman"/>
          <w:sz w:val="24"/>
          <w:szCs w:val="24"/>
        </w:rPr>
        <w:t>;</w:t>
      </w:r>
    </w:p>
    <w:p w14:paraId="7DCFDB8C" w14:textId="670BB125" w:rsidR="005141FA" w:rsidRPr="005141FA" w:rsidRDefault="005141FA" w:rsidP="005141FA">
      <w:pPr>
        <w:pStyle w:val="ab"/>
        <w:numPr>
          <w:ilvl w:val="0"/>
          <w:numId w:val="8"/>
        </w:numPr>
        <w:spacing w:after="0" w:line="252" w:lineRule="auto"/>
        <w:ind w:left="0" w:firstLine="284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страховые взносы: п</w:t>
      </w:r>
      <w:r w:rsidRPr="005141FA">
        <w:rPr>
          <w:rFonts w:ascii="Times New Roman" w:eastAsia="Calibri" w:hAnsi="Times New Roman" w:cs="Times New Roman"/>
          <w:sz w:val="24"/>
          <w:szCs w:val="24"/>
        </w:rPr>
        <w:t>редусмотрены пониженные ставки стра</w:t>
      </w:r>
      <w:r>
        <w:rPr>
          <w:rFonts w:ascii="Times New Roman" w:eastAsia="Calibri" w:hAnsi="Times New Roman" w:cs="Times New Roman"/>
          <w:sz w:val="24"/>
          <w:szCs w:val="24"/>
        </w:rPr>
        <w:t>ховых взносов для работодателей;</w:t>
      </w:r>
    </w:p>
    <w:p w14:paraId="2A268079" w14:textId="4F2DF7D2" w:rsidR="005141FA" w:rsidRPr="005141FA" w:rsidRDefault="005141FA" w:rsidP="005141FA">
      <w:pPr>
        <w:pStyle w:val="ab"/>
        <w:numPr>
          <w:ilvl w:val="0"/>
          <w:numId w:val="8"/>
        </w:numPr>
        <w:spacing w:after="0" w:line="252" w:lineRule="auto"/>
        <w:ind w:left="0" w:firstLine="284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з</w:t>
      </w:r>
      <w:r w:rsidRPr="005141FA">
        <w:rPr>
          <w:rFonts w:ascii="Times New Roman" w:eastAsia="Calibri" w:hAnsi="Times New Roman" w:cs="Times New Roman"/>
          <w:sz w:val="24"/>
          <w:szCs w:val="24"/>
        </w:rPr>
        <w:t>емельный налог и налог на имущество</w:t>
      </w:r>
      <w:r>
        <w:rPr>
          <w:rFonts w:ascii="Times New Roman" w:eastAsia="Calibri" w:hAnsi="Times New Roman" w:cs="Times New Roman"/>
          <w:sz w:val="24"/>
          <w:szCs w:val="24"/>
        </w:rPr>
        <w:t xml:space="preserve"> организаций: п</w:t>
      </w:r>
      <w:r w:rsidRPr="005141FA">
        <w:rPr>
          <w:rFonts w:ascii="Times New Roman" w:eastAsia="Calibri" w:hAnsi="Times New Roman" w:cs="Times New Roman"/>
          <w:sz w:val="24"/>
          <w:szCs w:val="24"/>
        </w:rPr>
        <w:t>олностью освобождены от уплат</w:t>
      </w:r>
      <w:r>
        <w:rPr>
          <w:rFonts w:ascii="Times New Roman" w:eastAsia="Calibri" w:hAnsi="Times New Roman" w:cs="Times New Roman"/>
          <w:sz w:val="24"/>
          <w:szCs w:val="24"/>
        </w:rPr>
        <w:t>ы или имеют существенные скидки;</w:t>
      </w:r>
    </w:p>
    <w:p w14:paraId="221B6A1D" w14:textId="12BAC33E" w:rsidR="005141FA" w:rsidRPr="005141FA" w:rsidRDefault="005141FA" w:rsidP="005141FA">
      <w:pPr>
        <w:pStyle w:val="ab"/>
        <w:numPr>
          <w:ilvl w:val="0"/>
          <w:numId w:val="8"/>
        </w:numPr>
        <w:spacing w:after="0" w:line="252" w:lineRule="auto"/>
        <w:ind w:left="0" w:firstLine="284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у</w:t>
      </w:r>
      <w:r w:rsidRPr="005141FA">
        <w:rPr>
          <w:rFonts w:ascii="Times New Roman" w:eastAsia="Calibri" w:hAnsi="Times New Roman" w:cs="Times New Roman"/>
          <w:sz w:val="24"/>
          <w:szCs w:val="24"/>
        </w:rPr>
        <w:t>скоренная амортизация основных фондов.</w:t>
      </w:r>
    </w:p>
    <w:p w14:paraId="32D83AF9" w14:textId="53556185" w:rsidR="005141FA" w:rsidRDefault="005141FA" w:rsidP="005141FA">
      <w:pPr>
        <w:spacing w:after="0" w:line="252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141FA">
        <w:rPr>
          <w:rFonts w:ascii="Times New Roman" w:eastAsia="Calibri" w:hAnsi="Times New Roman" w:cs="Times New Roman"/>
          <w:sz w:val="24"/>
          <w:szCs w:val="24"/>
        </w:rPr>
        <w:t>Преференции в административном регулировании</w:t>
      </w:r>
      <w:r w:rsidR="00BB4696">
        <w:rPr>
          <w:rFonts w:ascii="Times New Roman" w:eastAsia="Calibri" w:hAnsi="Times New Roman" w:cs="Times New Roman"/>
          <w:sz w:val="24"/>
          <w:szCs w:val="24"/>
        </w:rPr>
        <w:t xml:space="preserve"> для резидентов ТОР заключаются в упрощении порядка регистрации юридических лиц, предоставлении</w:t>
      </w:r>
      <w:r w:rsidRPr="005141FA">
        <w:rPr>
          <w:rFonts w:ascii="Times New Roman" w:eastAsia="Calibri" w:hAnsi="Times New Roman" w:cs="Times New Roman"/>
          <w:sz w:val="24"/>
          <w:szCs w:val="24"/>
        </w:rPr>
        <w:t xml:space="preserve"> госу</w:t>
      </w:r>
      <w:r w:rsidR="00BB4696">
        <w:rPr>
          <w:rFonts w:ascii="Times New Roman" w:eastAsia="Calibri" w:hAnsi="Times New Roman" w:cs="Times New Roman"/>
          <w:sz w:val="24"/>
          <w:szCs w:val="24"/>
        </w:rPr>
        <w:t>дарственных гарантий и субсидий; возможности</w:t>
      </w:r>
      <w:r w:rsidRPr="005141FA">
        <w:rPr>
          <w:rFonts w:ascii="Times New Roman" w:eastAsia="Calibri" w:hAnsi="Times New Roman" w:cs="Times New Roman"/>
          <w:sz w:val="24"/>
          <w:szCs w:val="24"/>
        </w:rPr>
        <w:t xml:space="preserve"> заключения долгосрочных контрактов с государственными заказчиками.</w:t>
      </w:r>
    </w:p>
    <w:p w14:paraId="0D8B0F46" w14:textId="08934EEA" w:rsidR="004A2872" w:rsidRDefault="00E25D28" w:rsidP="005141FA">
      <w:pPr>
        <w:spacing w:after="0" w:line="252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В Ярославской области созданы 3 ТОР в малых моногородах – Тутаеве (40 тыс. чел.) с 2017 г., Ростове Великом (28 тыс. чел.) и Гаврилов-Яме (16 тыс. чел.) с 2018 г. Основными экономическими требованиями к резидентам ТОР являются следующие:</w:t>
      </w:r>
    </w:p>
    <w:p w14:paraId="3578437C" w14:textId="6B588D7F" w:rsidR="00E25D28" w:rsidRDefault="00E25D28" w:rsidP="00E25D28">
      <w:pPr>
        <w:pStyle w:val="ab"/>
        <w:numPr>
          <w:ilvl w:val="0"/>
          <w:numId w:val="8"/>
        </w:numPr>
        <w:spacing w:after="0" w:line="252" w:lineRule="auto"/>
        <w:ind w:left="0" w:firstLine="284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м</w:t>
      </w:r>
      <w:r w:rsidRPr="00E25D28">
        <w:rPr>
          <w:rFonts w:ascii="Times New Roman" w:eastAsia="Calibri" w:hAnsi="Times New Roman" w:cs="Times New Roman"/>
          <w:sz w:val="24"/>
          <w:szCs w:val="24"/>
        </w:rPr>
        <w:t>инимальный объем капит</w:t>
      </w:r>
      <w:r>
        <w:rPr>
          <w:rFonts w:ascii="Times New Roman" w:eastAsia="Calibri" w:hAnsi="Times New Roman" w:cs="Times New Roman"/>
          <w:sz w:val="24"/>
          <w:szCs w:val="24"/>
        </w:rPr>
        <w:t>альных вложений – 2,5 млн руб.,</w:t>
      </w:r>
    </w:p>
    <w:p w14:paraId="61C1C7C2" w14:textId="0860088E" w:rsidR="00E25D28" w:rsidRDefault="00E25D28" w:rsidP="00E25D28">
      <w:pPr>
        <w:pStyle w:val="ab"/>
        <w:numPr>
          <w:ilvl w:val="0"/>
          <w:numId w:val="8"/>
        </w:numPr>
        <w:spacing w:after="0" w:line="252" w:lineRule="auto"/>
        <w:ind w:left="0" w:firstLine="284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м</w:t>
      </w:r>
      <w:r w:rsidRPr="00E25D28">
        <w:rPr>
          <w:rFonts w:ascii="Times New Roman" w:eastAsia="Calibri" w:hAnsi="Times New Roman" w:cs="Times New Roman"/>
          <w:sz w:val="24"/>
          <w:szCs w:val="24"/>
        </w:rPr>
        <w:t xml:space="preserve">инимальное количество создаваемых рабочих мест – </w:t>
      </w:r>
      <w:r>
        <w:rPr>
          <w:rFonts w:ascii="Times New Roman" w:eastAsia="Calibri" w:hAnsi="Times New Roman" w:cs="Times New Roman"/>
          <w:sz w:val="24"/>
          <w:szCs w:val="24"/>
        </w:rPr>
        <w:t xml:space="preserve">10, а </w:t>
      </w:r>
      <w:r w:rsidRPr="00E25D28">
        <w:rPr>
          <w:rFonts w:ascii="Times New Roman" w:eastAsia="Calibri" w:hAnsi="Times New Roman" w:cs="Times New Roman"/>
          <w:sz w:val="24"/>
          <w:szCs w:val="24"/>
        </w:rPr>
        <w:t xml:space="preserve">для действующих предприятий – не менее среднесписочной </w:t>
      </w:r>
      <w:r>
        <w:rPr>
          <w:rFonts w:ascii="Times New Roman" w:eastAsia="Calibri" w:hAnsi="Times New Roman" w:cs="Times New Roman"/>
          <w:sz w:val="24"/>
          <w:szCs w:val="24"/>
        </w:rPr>
        <w:t>численности за последние 3 года;</w:t>
      </w:r>
    </w:p>
    <w:p w14:paraId="5802F799" w14:textId="1C586878" w:rsidR="00E25D28" w:rsidRPr="00E25D28" w:rsidRDefault="00E25D28" w:rsidP="00E25D28">
      <w:pPr>
        <w:pStyle w:val="ab"/>
        <w:numPr>
          <w:ilvl w:val="0"/>
          <w:numId w:val="8"/>
        </w:numPr>
        <w:spacing w:after="0" w:line="252" w:lineRule="auto"/>
        <w:ind w:left="0" w:firstLine="284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организация</w:t>
      </w:r>
      <w:r w:rsidRPr="00E25D28">
        <w:rPr>
          <w:rFonts w:ascii="Times New Roman" w:eastAsia="Calibri" w:hAnsi="Times New Roman" w:cs="Times New Roman"/>
          <w:sz w:val="24"/>
          <w:szCs w:val="24"/>
        </w:rPr>
        <w:t xml:space="preserve"> не является градообразующей </w:t>
      </w:r>
      <w:r>
        <w:rPr>
          <w:rFonts w:ascii="Times New Roman" w:eastAsia="Calibri" w:hAnsi="Times New Roman" w:cs="Times New Roman"/>
          <w:sz w:val="24"/>
          <w:szCs w:val="24"/>
        </w:rPr>
        <w:t>для</w:t>
      </w:r>
      <w:r w:rsidRPr="00E25D28">
        <w:rPr>
          <w:rFonts w:ascii="Times New Roman" w:eastAsia="Calibri" w:hAnsi="Times New Roman" w:cs="Times New Roman"/>
          <w:sz w:val="24"/>
          <w:szCs w:val="24"/>
        </w:rPr>
        <w:t xml:space="preserve"> моногорода или ее дочерней </w:t>
      </w:r>
      <w:r>
        <w:rPr>
          <w:rFonts w:ascii="Times New Roman" w:eastAsia="Calibri" w:hAnsi="Times New Roman" w:cs="Times New Roman"/>
          <w:sz w:val="24"/>
          <w:szCs w:val="24"/>
        </w:rPr>
        <w:t>структурой.</w:t>
      </w:r>
    </w:p>
    <w:p w14:paraId="221B96CF" w14:textId="035691E2" w:rsidR="00E25D28" w:rsidRDefault="007B11CB" w:rsidP="00E25D28">
      <w:pPr>
        <w:spacing w:after="0" w:line="252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lastRenderedPageBreak/>
        <w:t>Информация о налоговых льготах для резидентов ТОР в Ярославской области приведена в таблице 1.</w:t>
      </w:r>
    </w:p>
    <w:p w14:paraId="18CF67E3" w14:textId="7459E6F3" w:rsidR="00E25D28" w:rsidRDefault="007B11CB" w:rsidP="007B11CB">
      <w:pPr>
        <w:spacing w:after="0" w:line="252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DejaVu Sans" w:hAnsi="Times New Roman" w:cs="Times New Roman"/>
          <w:kern w:val="2"/>
          <w:sz w:val="24"/>
          <w:szCs w:val="24"/>
          <w:lang w:eastAsia="ru-RU"/>
        </w:rPr>
        <w:t xml:space="preserve">Таблица 1. </w:t>
      </w:r>
      <w:r>
        <w:rPr>
          <w:rFonts w:ascii="Times New Roman" w:eastAsia="DejaVu Sans" w:hAnsi="Times New Roman" w:cs="Times New Roman"/>
          <w:b/>
          <w:kern w:val="2"/>
          <w:sz w:val="24"/>
          <w:szCs w:val="24"/>
          <w:lang w:eastAsia="ru-RU"/>
        </w:rPr>
        <w:t>Сравнительная характеристика преференциальных налоговых режимов для резидентов ТОР Ярославской области</w:t>
      </w:r>
    </w:p>
    <w:tbl>
      <w:tblPr>
        <w:tblStyle w:val="ac"/>
        <w:tblW w:w="0" w:type="auto"/>
        <w:tblLook w:val="04A0" w:firstRow="1" w:lastRow="0" w:firstColumn="1" w:lastColumn="0" w:noHBand="0" w:noVBand="1"/>
      </w:tblPr>
      <w:tblGrid>
        <w:gridCol w:w="2153"/>
        <w:gridCol w:w="3531"/>
        <w:gridCol w:w="1609"/>
        <w:gridCol w:w="2335"/>
      </w:tblGrid>
      <w:tr w:rsidR="008F074E" w:rsidRPr="007B11CB" w14:paraId="5D2F9A61" w14:textId="77777777" w:rsidTr="008F074E">
        <w:tc>
          <w:tcPr>
            <w:tcW w:w="0" w:type="auto"/>
          </w:tcPr>
          <w:p w14:paraId="5E5AD605" w14:textId="706AD3B1" w:rsidR="007B11CB" w:rsidRPr="007B11CB" w:rsidRDefault="007B11CB" w:rsidP="007B11CB">
            <w:pPr>
              <w:spacing w:line="252" w:lineRule="auto"/>
              <w:jc w:val="center"/>
              <w:rPr>
                <w:rFonts w:ascii="Times New Roman" w:eastAsia="Calibri" w:hAnsi="Times New Roman" w:cs="Times New Roman"/>
                <w:b/>
                <w:szCs w:val="24"/>
              </w:rPr>
            </w:pPr>
            <w:r w:rsidRPr="007B11CB">
              <w:rPr>
                <w:rFonts w:ascii="Times New Roman" w:eastAsia="Calibri" w:hAnsi="Times New Roman" w:cs="Times New Roman"/>
                <w:b/>
                <w:szCs w:val="24"/>
              </w:rPr>
              <w:t>Налоги</w:t>
            </w:r>
          </w:p>
        </w:tc>
        <w:tc>
          <w:tcPr>
            <w:tcW w:w="0" w:type="auto"/>
          </w:tcPr>
          <w:p w14:paraId="5DD154E2" w14:textId="44C303C0" w:rsidR="007B11CB" w:rsidRPr="007B11CB" w:rsidRDefault="007B11CB" w:rsidP="007B11CB">
            <w:pPr>
              <w:spacing w:line="252" w:lineRule="auto"/>
              <w:jc w:val="center"/>
              <w:rPr>
                <w:rFonts w:ascii="Times New Roman" w:eastAsia="Calibri" w:hAnsi="Times New Roman" w:cs="Times New Roman"/>
                <w:b/>
                <w:szCs w:val="24"/>
              </w:rPr>
            </w:pPr>
            <w:r w:rsidRPr="007B11CB">
              <w:rPr>
                <w:rFonts w:ascii="Times New Roman" w:eastAsia="Calibri" w:hAnsi="Times New Roman" w:cs="Times New Roman"/>
                <w:b/>
                <w:szCs w:val="24"/>
              </w:rPr>
              <w:t>ТОР Тутаев</w:t>
            </w:r>
          </w:p>
        </w:tc>
        <w:tc>
          <w:tcPr>
            <w:tcW w:w="0" w:type="auto"/>
          </w:tcPr>
          <w:p w14:paraId="42B23E7D" w14:textId="6855EF4D" w:rsidR="007B11CB" w:rsidRPr="007B11CB" w:rsidRDefault="007B11CB" w:rsidP="007B11CB">
            <w:pPr>
              <w:spacing w:line="252" w:lineRule="auto"/>
              <w:jc w:val="center"/>
              <w:rPr>
                <w:rFonts w:ascii="Times New Roman" w:eastAsia="Calibri" w:hAnsi="Times New Roman" w:cs="Times New Roman"/>
                <w:b/>
                <w:szCs w:val="24"/>
              </w:rPr>
            </w:pPr>
            <w:r w:rsidRPr="007B11CB">
              <w:rPr>
                <w:rFonts w:ascii="Times New Roman" w:eastAsia="Calibri" w:hAnsi="Times New Roman" w:cs="Times New Roman"/>
                <w:b/>
                <w:szCs w:val="24"/>
              </w:rPr>
              <w:t>ТОР Ростов</w:t>
            </w:r>
          </w:p>
        </w:tc>
        <w:tc>
          <w:tcPr>
            <w:tcW w:w="0" w:type="auto"/>
          </w:tcPr>
          <w:p w14:paraId="4B1419D3" w14:textId="1DC02C29" w:rsidR="007B11CB" w:rsidRPr="007B11CB" w:rsidRDefault="007B11CB" w:rsidP="007B11CB">
            <w:pPr>
              <w:spacing w:line="252" w:lineRule="auto"/>
              <w:jc w:val="center"/>
              <w:rPr>
                <w:rFonts w:ascii="Times New Roman" w:eastAsia="Calibri" w:hAnsi="Times New Roman" w:cs="Times New Roman"/>
                <w:b/>
                <w:szCs w:val="24"/>
              </w:rPr>
            </w:pPr>
            <w:r w:rsidRPr="007B11CB">
              <w:rPr>
                <w:rFonts w:ascii="Times New Roman" w:eastAsia="Calibri" w:hAnsi="Times New Roman" w:cs="Times New Roman"/>
                <w:b/>
                <w:szCs w:val="24"/>
              </w:rPr>
              <w:t>ТОР Гаврилов-Ям</w:t>
            </w:r>
          </w:p>
        </w:tc>
      </w:tr>
      <w:tr w:rsidR="003240AE" w:rsidRPr="007B11CB" w14:paraId="5CA36E8F" w14:textId="77777777" w:rsidTr="003240AE">
        <w:tc>
          <w:tcPr>
            <w:tcW w:w="0" w:type="auto"/>
          </w:tcPr>
          <w:p w14:paraId="06425634" w14:textId="57F42600" w:rsidR="003240AE" w:rsidRPr="007B11CB" w:rsidRDefault="003240AE" w:rsidP="00E25D28">
            <w:pPr>
              <w:spacing w:line="252" w:lineRule="auto"/>
              <w:jc w:val="both"/>
              <w:rPr>
                <w:rFonts w:ascii="Times New Roman" w:eastAsia="Calibri" w:hAnsi="Times New Roman" w:cs="Times New Roman"/>
                <w:szCs w:val="24"/>
              </w:rPr>
            </w:pPr>
            <w:r>
              <w:rPr>
                <w:rFonts w:ascii="Times New Roman" w:eastAsia="Calibri" w:hAnsi="Times New Roman" w:cs="Times New Roman"/>
                <w:szCs w:val="24"/>
              </w:rPr>
              <w:t>Налог на прибыль организаций</w:t>
            </w:r>
          </w:p>
        </w:tc>
        <w:tc>
          <w:tcPr>
            <w:tcW w:w="0" w:type="auto"/>
            <w:gridSpan w:val="3"/>
            <w:vAlign w:val="center"/>
          </w:tcPr>
          <w:p w14:paraId="08E53809" w14:textId="0313D8BD" w:rsidR="003240AE" w:rsidRPr="007B11CB" w:rsidRDefault="003240AE" w:rsidP="003240AE">
            <w:pPr>
              <w:spacing w:line="252" w:lineRule="auto"/>
              <w:jc w:val="center"/>
              <w:rPr>
                <w:rFonts w:ascii="Times New Roman" w:eastAsia="Calibri" w:hAnsi="Times New Roman" w:cs="Times New Roman"/>
                <w:szCs w:val="24"/>
              </w:rPr>
            </w:pPr>
            <w:r>
              <w:rPr>
                <w:rFonts w:ascii="Times New Roman" w:eastAsia="Calibri" w:hAnsi="Times New Roman" w:cs="Times New Roman"/>
                <w:szCs w:val="24"/>
              </w:rPr>
              <w:t>0% в течение 5 лет</w:t>
            </w:r>
          </w:p>
        </w:tc>
      </w:tr>
      <w:tr w:rsidR="008F074E" w:rsidRPr="007B11CB" w14:paraId="23C2BAB9" w14:textId="77777777" w:rsidTr="003240AE">
        <w:tc>
          <w:tcPr>
            <w:tcW w:w="0" w:type="auto"/>
          </w:tcPr>
          <w:p w14:paraId="04D5541F" w14:textId="3662F7BF" w:rsidR="008F074E" w:rsidRPr="007B11CB" w:rsidRDefault="008F074E" w:rsidP="00E25D28">
            <w:pPr>
              <w:spacing w:line="252" w:lineRule="auto"/>
              <w:jc w:val="both"/>
              <w:rPr>
                <w:rFonts w:ascii="Times New Roman" w:eastAsia="Calibri" w:hAnsi="Times New Roman" w:cs="Times New Roman"/>
                <w:szCs w:val="24"/>
              </w:rPr>
            </w:pPr>
            <w:r>
              <w:rPr>
                <w:rFonts w:ascii="Times New Roman" w:eastAsia="Calibri" w:hAnsi="Times New Roman" w:cs="Times New Roman"/>
                <w:szCs w:val="24"/>
              </w:rPr>
              <w:t>Страховые взносы</w:t>
            </w:r>
          </w:p>
        </w:tc>
        <w:tc>
          <w:tcPr>
            <w:tcW w:w="0" w:type="auto"/>
          </w:tcPr>
          <w:p w14:paraId="0708D985" w14:textId="0F02A6ED" w:rsidR="008F074E" w:rsidRPr="007B11CB" w:rsidRDefault="008F074E" w:rsidP="00E25D28">
            <w:pPr>
              <w:spacing w:line="252" w:lineRule="auto"/>
              <w:jc w:val="both"/>
              <w:rPr>
                <w:rFonts w:ascii="Times New Roman" w:eastAsia="Calibri" w:hAnsi="Times New Roman" w:cs="Times New Roman"/>
                <w:szCs w:val="24"/>
              </w:rPr>
            </w:pPr>
            <w:r>
              <w:rPr>
                <w:rFonts w:ascii="Times New Roman" w:eastAsia="Calibri" w:hAnsi="Times New Roman" w:cs="Times New Roman"/>
                <w:szCs w:val="24"/>
              </w:rPr>
              <w:t>Пониженный тариф 7,6% до 2029 г.</w:t>
            </w:r>
          </w:p>
        </w:tc>
        <w:tc>
          <w:tcPr>
            <w:tcW w:w="0" w:type="auto"/>
            <w:gridSpan w:val="2"/>
            <w:vAlign w:val="center"/>
          </w:tcPr>
          <w:p w14:paraId="42F09CF8" w14:textId="317F175F" w:rsidR="008F074E" w:rsidRPr="007B11CB" w:rsidRDefault="008F074E" w:rsidP="003240AE">
            <w:pPr>
              <w:spacing w:line="252" w:lineRule="auto"/>
              <w:jc w:val="center"/>
              <w:rPr>
                <w:rFonts w:ascii="Times New Roman" w:eastAsia="Calibri" w:hAnsi="Times New Roman" w:cs="Times New Roman"/>
                <w:szCs w:val="24"/>
              </w:rPr>
            </w:pPr>
            <w:r>
              <w:rPr>
                <w:rFonts w:ascii="Times New Roman" w:eastAsia="Calibri" w:hAnsi="Times New Roman" w:cs="Times New Roman"/>
                <w:szCs w:val="24"/>
              </w:rPr>
              <w:t>Нет льгот</w:t>
            </w:r>
          </w:p>
        </w:tc>
      </w:tr>
      <w:tr w:rsidR="008F074E" w:rsidRPr="007B11CB" w14:paraId="707D37F1" w14:textId="77777777" w:rsidTr="003240AE">
        <w:tc>
          <w:tcPr>
            <w:tcW w:w="0" w:type="auto"/>
          </w:tcPr>
          <w:p w14:paraId="008222E1" w14:textId="575C5CB3" w:rsidR="008F074E" w:rsidRPr="007B11CB" w:rsidRDefault="008F074E" w:rsidP="00E25D28">
            <w:pPr>
              <w:spacing w:line="252" w:lineRule="auto"/>
              <w:jc w:val="both"/>
              <w:rPr>
                <w:rFonts w:ascii="Times New Roman" w:eastAsia="Calibri" w:hAnsi="Times New Roman" w:cs="Times New Roman"/>
                <w:szCs w:val="24"/>
              </w:rPr>
            </w:pPr>
            <w:r>
              <w:rPr>
                <w:rFonts w:ascii="Times New Roman" w:eastAsia="Calibri" w:hAnsi="Times New Roman" w:cs="Times New Roman"/>
                <w:szCs w:val="24"/>
              </w:rPr>
              <w:t>Налог на имущество организаций</w:t>
            </w:r>
          </w:p>
        </w:tc>
        <w:tc>
          <w:tcPr>
            <w:tcW w:w="0" w:type="auto"/>
            <w:gridSpan w:val="3"/>
            <w:vAlign w:val="center"/>
          </w:tcPr>
          <w:p w14:paraId="3EE84A75" w14:textId="10F0C157" w:rsidR="008F074E" w:rsidRPr="007B11CB" w:rsidRDefault="008F074E" w:rsidP="003240AE">
            <w:pPr>
              <w:spacing w:line="252" w:lineRule="auto"/>
              <w:jc w:val="center"/>
              <w:rPr>
                <w:rFonts w:ascii="Times New Roman" w:eastAsia="Calibri" w:hAnsi="Times New Roman" w:cs="Times New Roman"/>
                <w:szCs w:val="24"/>
              </w:rPr>
            </w:pPr>
            <w:r>
              <w:rPr>
                <w:rFonts w:ascii="Times New Roman" w:eastAsia="Calibri" w:hAnsi="Times New Roman" w:cs="Times New Roman"/>
                <w:szCs w:val="24"/>
              </w:rPr>
              <w:t>0% в течение 5 лет</w:t>
            </w:r>
          </w:p>
        </w:tc>
      </w:tr>
      <w:tr w:rsidR="008F074E" w:rsidRPr="007B11CB" w14:paraId="0080CE2F" w14:textId="77777777" w:rsidTr="003240AE">
        <w:tc>
          <w:tcPr>
            <w:tcW w:w="0" w:type="auto"/>
          </w:tcPr>
          <w:p w14:paraId="0ED7FB03" w14:textId="5C0D71CC" w:rsidR="008F074E" w:rsidRPr="007B11CB" w:rsidRDefault="008F074E" w:rsidP="00E25D28">
            <w:pPr>
              <w:spacing w:line="252" w:lineRule="auto"/>
              <w:jc w:val="both"/>
              <w:rPr>
                <w:rFonts w:ascii="Times New Roman" w:eastAsia="Calibri" w:hAnsi="Times New Roman" w:cs="Times New Roman"/>
                <w:szCs w:val="24"/>
              </w:rPr>
            </w:pPr>
            <w:r>
              <w:rPr>
                <w:rFonts w:ascii="Times New Roman" w:eastAsia="Calibri" w:hAnsi="Times New Roman" w:cs="Times New Roman"/>
                <w:szCs w:val="24"/>
              </w:rPr>
              <w:t>Земельный налог</w:t>
            </w:r>
          </w:p>
        </w:tc>
        <w:tc>
          <w:tcPr>
            <w:tcW w:w="0" w:type="auto"/>
            <w:gridSpan w:val="3"/>
            <w:vAlign w:val="center"/>
          </w:tcPr>
          <w:p w14:paraId="2603F2A8" w14:textId="02F2AB22" w:rsidR="008F074E" w:rsidRPr="007B11CB" w:rsidRDefault="008F074E" w:rsidP="003240AE">
            <w:pPr>
              <w:spacing w:line="252" w:lineRule="auto"/>
              <w:jc w:val="center"/>
              <w:rPr>
                <w:rFonts w:ascii="Times New Roman" w:eastAsia="Calibri" w:hAnsi="Times New Roman" w:cs="Times New Roman"/>
                <w:szCs w:val="24"/>
              </w:rPr>
            </w:pPr>
            <w:r>
              <w:rPr>
                <w:rFonts w:ascii="Times New Roman" w:eastAsia="Calibri" w:hAnsi="Times New Roman" w:cs="Times New Roman"/>
                <w:szCs w:val="24"/>
              </w:rPr>
              <w:t>0% в течение 3</w:t>
            </w:r>
            <w:r>
              <w:rPr>
                <w:rFonts w:ascii="Times New Roman" w:eastAsia="Calibri" w:hAnsi="Times New Roman" w:cs="Times New Roman"/>
                <w:szCs w:val="24"/>
              </w:rPr>
              <w:t xml:space="preserve"> лет</w:t>
            </w:r>
          </w:p>
        </w:tc>
      </w:tr>
      <w:tr w:rsidR="008F074E" w:rsidRPr="007B11CB" w14:paraId="5352FF0B" w14:textId="77777777" w:rsidTr="003240AE">
        <w:tc>
          <w:tcPr>
            <w:tcW w:w="0" w:type="auto"/>
          </w:tcPr>
          <w:p w14:paraId="6872888F" w14:textId="129F4F11" w:rsidR="008F074E" w:rsidRPr="007B11CB" w:rsidRDefault="008F074E" w:rsidP="00E25D28">
            <w:pPr>
              <w:spacing w:line="252" w:lineRule="auto"/>
              <w:jc w:val="both"/>
              <w:rPr>
                <w:rFonts w:ascii="Times New Roman" w:eastAsia="Calibri" w:hAnsi="Times New Roman" w:cs="Times New Roman"/>
                <w:szCs w:val="24"/>
              </w:rPr>
            </w:pPr>
            <w:r>
              <w:rPr>
                <w:rFonts w:ascii="Times New Roman" w:eastAsia="Calibri" w:hAnsi="Times New Roman" w:cs="Times New Roman"/>
                <w:szCs w:val="24"/>
              </w:rPr>
              <w:t>Налог на добычу полезных ископаемых</w:t>
            </w:r>
          </w:p>
        </w:tc>
        <w:tc>
          <w:tcPr>
            <w:tcW w:w="0" w:type="auto"/>
            <w:gridSpan w:val="3"/>
            <w:vAlign w:val="center"/>
          </w:tcPr>
          <w:p w14:paraId="62B4F61F" w14:textId="4F372450" w:rsidR="008F074E" w:rsidRPr="007B11CB" w:rsidRDefault="008F074E" w:rsidP="003240AE">
            <w:pPr>
              <w:spacing w:line="252" w:lineRule="auto"/>
              <w:jc w:val="center"/>
              <w:rPr>
                <w:rFonts w:ascii="Times New Roman" w:eastAsia="Calibri" w:hAnsi="Times New Roman" w:cs="Times New Roman"/>
                <w:szCs w:val="24"/>
              </w:rPr>
            </w:pPr>
            <w:r>
              <w:rPr>
                <w:rFonts w:ascii="Times New Roman" w:eastAsia="Calibri" w:hAnsi="Times New Roman" w:cs="Times New Roman"/>
                <w:szCs w:val="24"/>
              </w:rPr>
              <w:t>З</w:t>
            </w:r>
            <w:r w:rsidRPr="008F074E">
              <w:rPr>
                <w:rFonts w:ascii="Times New Roman" w:eastAsia="Calibri" w:hAnsi="Times New Roman" w:cs="Times New Roman"/>
                <w:szCs w:val="24"/>
              </w:rPr>
              <w:t>начение коэффициента, характеризующего территорию добычи полезного ископаемого – от 0 – в течение первых 24 налоговых периодов; до 1 после 120 налогового периода</w:t>
            </w:r>
          </w:p>
        </w:tc>
      </w:tr>
    </w:tbl>
    <w:p w14:paraId="03C5BE7D" w14:textId="729CF12B" w:rsidR="007B11CB" w:rsidRPr="007B11CB" w:rsidRDefault="007B11CB" w:rsidP="007B11CB">
      <w:pPr>
        <w:spacing w:after="0" w:line="252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DejaVu Sans" w:hAnsi="Times New Roman" w:cs="Times New Roman"/>
          <w:kern w:val="2"/>
          <w:lang w:eastAsia="ru-RU"/>
        </w:rPr>
        <w:t xml:space="preserve">*Источник: </w:t>
      </w:r>
      <w:r>
        <w:rPr>
          <w:rFonts w:ascii="Times New Roman" w:eastAsia="DejaVu Sans" w:hAnsi="Times New Roman" w:cs="Times New Roman"/>
          <w:kern w:val="2"/>
          <w:lang w:eastAsia="ru-RU"/>
        </w:rPr>
        <w:t xml:space="preserve">Территории опережающего развития // Министерство инвестиций и промышленности Ярославской области. </w:t>
      </w:r>
      <w:r>
        <w:rPr>
          <w:rFonts w:ascii="Times New Roman" w:eastAsia="DejaVu Sans" w:hAnsi="Times New Roman" w:cs="Times New Roman"/>
          <w:kern w:val="2"/>
          <w:lang w:val="en-US" w:eastAsia="ru-RU"/>
        </w:rPr>
        <w:t>URL</w:t>
      </w:r>
      <w:r>
        <w:rPr>
          <w:rFonts w:ascii="Times New Roman" w:eastAsia="DejaVu Sans" w:hAnsi="Times New Roman" w:cs="Times New Roman"/>
          <w:kern w:val="2"/>
          <w:lang w:eastAsia="ru-RU"/>
        </w:rPr>
        <w:t xml:space="preserve">: </w:t>
      </w:r>
      <w:hyperlink r:id="rId8" w:history="1">
        <w:r w:rsidRPr="00FC053B">
          <w:rPr>
            <w:rStyle w:val="a7"/>
            <w:rFonts w:ascii="Times New Roman" w:eastAsia="DejaVu Sans" w:hAnsi="Times New Roman" w:cs="Times New Roman"/>
            <w:kern w:val="2"/>
            <w:lang w:eastAsia="ru-RU"/>
          </w:rPr>
          <w:t>https://invest76.ru/territories-advanced-development?ysclid=map0fmko4j392147581</w:t>
        </w:r>
      </w:hyperlink>
      <w:r>
        <w:rPr>
          <w:rFonts w:ascii="Times New Roman" w:eastAsia="DejaVu Sans" w:hAnsi="Times New Roman" w:cs="Times New Roman"/>
          <w:kern w:val="2"/>
          <w:lang w:eastAsia="ru-RU"/>
        </w:rPr>
        <w:t>.</w:t>
      </w:r>
    </w:p>
    <w:p w14:paraId="7AE15C29" w14:textId="77777777" w:rsidR="007B11CB" w:rsidRDefault="007B11CB" w:rsidP="004A2872">
      <w:pPr>
        <w:spacing w:after="0" w:line="252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4B8D57FF" w14:textId="0A7F6837" w:rsidR="003240AE" w:rsidRDefault="003240AE" w:rsidP="004A2872">
      <w:pPr>
        <w:spacing w:after="0" w:line="252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В наглядном формате информация о налоговых льготах представлена рисунке 1.</w:t>
      </w:r>
    </w:p>
    <w:p w14:paraId="54CDB4A9" w14:textId="5C686CB3" w:rsidR="003240AE" w:rsidRDefault="003240AE" w:rsidP="003240AE">
      <w:pPr>
        <w:spacing w:after="0" w:line="252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2D1EF9F4" wp14:editId="32F3BD94">
            <wp:extent cx="6010275" cy="2780454"/>
            <wp:effectExtent l="0" t="0" r="0" b="127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l="16497" t="22144" r="16891" b="23048"/>
                    <a:stretch/>
                  </pic:blipFill>
                  <pic:spPr bwMode="auto">
                    <a:xfrm>
                      <a:off x="0" y="0"/>
                      <a:ext cx="6013914" cy="278213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09C3E4F" w14:textId="3C7D0963" w:rsidR="003240AE" w:rsidRDefault="003240AE" w:rsidP="003240AE">
      <w:pPr>
        <w:spacing w:after="0" w:line="252" w:lineRule="auto"/>
        <w:jc w:val="center"/>
        <w:rPr>
          <w:rFonts w:ascii="Times New Roman" w:eastAsia="DejaVu Sans" w:hAnsi="Times New Roman" w:cs="Times New Roman"/>
          <w:kern w:val="2"/>
          <w:lang w:eastAsia="ru-RU"/>
        </w:rPr>
      </w:pPr>
      <w:r>
        <w:rPr>
          <w:rFonts w:ascii="Times New Roman" w:hAnsi="Times New Roman" w:cs="Times New Roman"/>
          <w:sz w:val="24"/>
          <w:szCs w:val="24"/>
        </w:rPr>
        <w:t xml:space="preserve">Рис. 1. </w:t>
      </w:r>
      <w:r>
        <w:rPr>
          <w:rFonts w:ascii="Times New Roman" w:hAnsi="Times New Roman" w:cs="Times New Roman"/>
          <w:b/>
          <w:sz w:val="24"/>
          <w:szCs w:val="24"/>
        </w:rPr>
        <w:t>Характеристика налоговых льгот в ТОР Ярославской области</w:t>
      </w:r>
    </w:p>
    <w:p w14:paraId="62F711BC" w14:textId="4BBCAF41" w:rsidR="003240AE" w:rsidRDefault="003240AE" w:rsidP="003240AE">
      <w:pPr>
        <w:spacing w:after="0" w:line="252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DejaVu Sans" w:hAnsi="Times New Roman" w:cs="Times New Roman"/>
          <w:kern w:val="2"/>
          <w:lang w:eastAsia="ru-RU"/>
        </w:rPr>
        <w:t xml:space="preserve">*Источник: Территории опережающего развития // Министерство инвестиций и промышленности Ярославской области. </w:t>
      </w:r>
      <w:r>
        <w:rPr>
          <w:rFonts w:ascii="Times New Roman" w:eastAsia="DejaVu Sans" w:hAnsi="Times New Roman" w:cs="Times New Roman"/>
          <w:kern w:val="2"/>
          <w:lang w:val="en-US" w:eastAsia="ru-RU"/>
        </w:rPr>
        <w:t>URL</w:t>
      </w:r>
      <w:r>
        <w:rPr>
          <w:rFonts w:ascii="Times New Roman" w:eastAsia="DejaVu Sans" w:hAnsi="Times New Roman" w:cs="Times New Roman"/>
          <w:kern w:val="2"/>
          <w:lang w:eastAsia="ru-RU"/>
        </w:rPr>
        <w:t xml:space="preserve">: </w:t>
      </w:r>
      <w:hyperlink r:id="rId10" w:history="1">
        <w:r w:rsidRPr="00FC053B">
          <w:rPr>
            <w:rStyle w:val="a7"/>
            <w:rFonts w:ascii="Times New Roman" w:eastAsia="DejaVu Sans" w:hAnsi="Times New Roman" w:cs="Times New Roman"/>
            <w:kern w:val="2"/>
            <w:lang w:eastAsia="ru-RU"/>
          </w:rPr>
          <w:t>https://invest76.ru/territories-advanced-development?ysclid=map0fmko4j392147581</w:t>
        </w:r>
      </w:hyperlink>
      <w:r>
        <w:rPr>
          <w:rFonts w:ascii="Times New Roman" w:eastAsia="DejaVu Sans" w:hAnsi="Times New Roman" w:cs="Times New Roman"/>
          <w:kern w:val="2"/>
          <w:lang w:eastAsia="ru-RU"/>
        </w:rPr>
        <w:t>.</w:t>
      </w:r>
    </w:p>
    <w:p w14:paraId="05411B4C" w14:textId="77777777" w:rsidR="003240AE" w:rsidRDefault="003240AE" w:rsidP="004A2872">
      <w:pPr>
        <w:spacing w:after="0" w:line="252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13E30193" w14:textId="372FA6C6" w:rsidR="003240AE" w:rsidRDefault="003240AE" w:rsidP="004A2872">
      <w:pPr>
        <w:spacing w:after="0" w:line="252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Основным преимуществом ТОР Тутаев является снижение тарифов страховых взносов с 30,2 до 7,6%. Эта мера наиболее привлекательна для резидентов ТОР</w:t>
      </w:r>
      <w:r w:rsidR="009F7CDA">
        <w:rPr>
          <w:rFonts w:ascii="Times New Roman" w:eastAsia="Calibri" w:hAnsi="Times New Roman" w:cs="Times New Roman"/>
          <w:sz w:val="24"/>
          <w:szCs w:val="24"/>
        </w:rPr>
        <w:t>. П</w:t>
      </w:r>
      <w:r>
        <w:rPr>
          <w:rFonts w:ascii="Times New Roman" w:eastAsia="Calibri" w:hAnsi="Times New Roman" w:cs="Times New Roman"/>
          <w:sz w:val="24"/>
          <w:szCs w:val="24"/>
        </w:rPr>
        <w:t xml:space="preserve">оскольку инвестиционный проект на начальных этапах его реализации, на инвестиционной фазе, то стадии строительства, разработки, подготовки, еще не дает отдачи, то одним из основных налогов в смете затрат будут именно </w:t>
      </w:r>
      <w:r w:rsidR="009F7CDA">
        <w:rPr>
          <w:rFonts w:ascii="Times New Roman" w:eastAsia="Calibri" w:hAnsi="Times New Roman" w:cs="Times New Roman"/>
          <w:sz w:val="24"/>
          <w:szCs w:val="24"/>
        </w:rPr>
        <w:t>страховые взносы, поскольку прибыль как финансовый результат</w:t>
      </w:r>
      <w:r>
        <w:rPr>
          <w:rFonts w:ascii="Times New Roman" w:eastAsia="Calibri" w:hAnsi="Times New Roman" w:cs="Times New Roman"/>
          <w:sz w:val="24"/>
          <w:szCs w:val="24"/>
        </w:rPr>
        <w:t xml:space="preserve"> формуется уже на </w:t>
      </w:r>
      <w:r w:rsidR="009F7CDA">
        <w:rPr>
          <w:rFonts w:ascii="Times New Roman" w:eastAsia="Calibri" w:hAnsi="Times New Roman" w:cs="Times New Roman"/>
          <w:sz w:val="24"/>
          <w:szCs w:val="24"/>
        </w:rPr>
        <w:t xml:space="preserve">эксплуатационной фазе проекта </w:t>
      </w:r>
      <w:r w:rsidR="009F7CDA" w:rsidRPr="00BB4696">
        <w:rPr>
          <w:rFonts w:ascii="Times New Roman" w:eastAsia="Calibri" w:hAnsi="Times New Roman" w:cs="Times New Roman"/>
          <w:sz w:val="24"/>
          <w:szCs w:val="24"/>
        </w:rPr>
        <w:t>[</w:t>
      </w:r>
      <w:r w:rsidR="009F7CDA">
        <w:rPr>
          <w:rFonts w:ascii="Times New Roman" w:eastAsia="Calibri" w:hAnsi="Times New Roman" w:cs="Times New Roman"/>
          <w:sz w:val="24"/>
          <w:szCs w:val="24"/>
        </w:rPr>
        <w:t>7</w:t>
      </w:r>
      <w:r w:rsidR="009F7CDA">
        <w:rPr>
          <w:rFonts w:ascii="Times New Roman" w:eastAsia="Calibri" w:hAnsi="Times New Roman" w:cs="Times New Roman"/>
          <w:sz w:val="24"/>
          <w:szCs w:val="24"/>
        </w:rPr>
        <w:t xml:space="preserve">, с. </w:t>
      </w:r>
      <w:r w:rsidR="009F7CDA">
        <w:rPr>
          <w:rFonts w:ascii="Times New Roman" w:eastAsia="Calibri" w:hAnsi="Times New Roman" w:cs="Times New Roman"/>
          <w:sz w:val="24"/>
          <w:szCs w:val="24"/>
        </w:rPr>
        <w:t>90</w:t>
      </w:r>
      <w:r w:rsidR="009F7CDA" w:rsidRPr="00BB4696">
        <w:rPr>
          <w:rFonts w:ascii="Times New Roman" w:eastAsia="Calibri" w:hAnsi="Times New Roman" w:cs="Times New Roman"/>
          <w:sz w:val="24"/>
          <w:szCs w:val="24"/>
        </w:rPr>
        <w:t>]</w:t>
      </w:r>
      <w:r w:rsidR="009F7CDA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3A1DBDD1" w14:textId="4A892F92" w:rsidR="009F7CDA" w:rsidRDefault="009F7CDA" w:rsidP="004A2872">
      <w:pPr>
        <w:spacing w:after="0" w:line="252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Неслучайно губернатор Ярославской области М.Я.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Евраев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подчеркнул: «</w:t>
      </w:r>
      <w:r w:rsidRPr="009F7CDA">
        <w:rPr>
          <w:rFonts w:ascii="Times New Roman" w:eastAsia="Calibri" w:hAnsi="Times New Roman" w:cs="Times New Roman"/>
          <w:sz w:val="24"/>
          <w:szCs w:val="24"/>
        </w:rPr>
        <w:t xml:space="preserve">Тутаев - единственное место в ЦФО, где вы можете получить великолепный налоговый режим. Это территория опережающего развития. Налог на прибыль - 0, налог на землю - 0, налог на </w:t>
      </w:r>
      <w:r w:rsidRPr="009F7CDA">
        <w:rPr>
          <w:rFonts w:ascii="Times New Roman" w:eastAsia="Calibri" w:hAnsi="Times New Roman" w:cs="Times New Roman"/>
          <w:sz w:val="24"/>
          <w:szCs w:val="24"/>
        </w:rPr>
        <w:lastRenderedPageBreak/>
        <w:t>имущество - 0. Это есть и в других местах. А вот такого, чтобы начисления на фонд оплаты труда составляли 7,6% вме</w:t>
      </w:r>
      <w:r>
        <w:rPr>
          <w:rFonts w:ascii="Times New Roman" w:eastAsia="Calibri" w:hAnsi="Times New Roman" w:cs="Times New Roman"/>
          <w:sz w:val="24"/>
          <w:szCs w:val="24"/>
        </w:rPr>
        <w:t>сто 30%, такого нет в ЦФО нигде»</w:t>
      </w:r>
      <w:r>
        <w:rPr>
          <w:rStyle w:val="aa"/>
          <w:rFonts w:ascii="Times New Roman" w:eastAsia="Calibri" w:hAnsi="Times New Roman" w:cs="Times New Roman"/>
          <w:sz w:val="24"/>
          <w:szCs w:val="24"/>
        </w:rPr>
        <w:footnoteReference w:id="2"/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14:paraId="30473A8D" w14:textId="509650EF" w:rsidR="004037FC" w:rsidRDefault="00B61F96" w:rsidP="004A2872">
      <w:pPr>
        <w:spacing w:after="0" w:line="252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Экономический эффект уже на начальном этапе развития ТОР является положительным. Объем инвестиций достиг 10 млрд руб., а выручка резидентов уже в 2024 г. достигла 12 млрд руб.</w:t>
      </w:r>
      <w:r w:rsidR="004037FC">
        <w:rPr>
          <w:rFonts w:ascii="Times New Roman" w:eastAsia="Calibri" w:hAnsi="Times New Roman" w:cs="Times New Roman"/>
          <w:sz w:val="24"/>
          <w:szCs w:val="24"/>
        </w:rPr>
        <w:t xml:space="preserve"> При этом привлекательность ТОР Тутаев с учетом снижения тарифа страховых взносов и экономического потенциала города, а также его выгодного географического положения существенно выше двух других ТОР.</w:t>
      </w:r>
      <w:r w:rsidR="00241A00">
        <w:rPr>
          <w:rFonts w:ascii="Times New Roman" w:eastAsia="Calibri" w:hAnsi="Times New Roman" w:cs="Times New Roman"/>
          <w:sz w:val="24"/>
          <w:szCs w:val="24"/>
        </w:rPr>
        <w:t xml:space="preserve"> Дополнительно инвесторам ТОР Тутаев</w:t>
      </w:r>
      <w:r w:rsidR="00241A00" w:rsidRPr="00241A00">
        <w:rPr>
          <w:rFonts w:ascii="Times New Roman" w:eastAsia="Calibri" w:hAnsi="Times New Roman" w:cs="Times New Roman"/>
          <w:sz w:val="24"/>
          <w:szCs w:val="24"/>
        </w:rPr>
        <w:t xml:space="preserve"> доступны механизмы льготного </w:t>
      </w:r>
      <w:r w:rsidR="00241A00">
        <w:rPr>
          <w:rFonts w:ascii="Times New Roman" w:eastAsia="Calibri" w:hAnsi="Times New Roman" w:cs="Times New Roman"/>
          <w:sz w:val="24"/>
          <w:szCs w:val="24"/>
        </w:rPr>
        <w:t>кредитования</w:t>
      </w:r>
      <w:r w:rsidR="00241A00" w:rsidRPr="00241A00">
        <w:rPr>
          <w:rFonts w:ascii="Times New Roman" w:eastAsia="Calibri" w:hAnsi="Times New Roman" w:cs="Times New Roman"/>
          <w:sz w:val="24"/>
          <w:szCs w:val="24"/>
        </w:rPr>
        <w:t xml:space="preserve"> по программам ВЭБ.РФ –</w:t>
      </w:r>
      <w:r w:rsidR="00241A00">
        <w:rPr>
          <w:rFonts w:ascii="Times New Roman" w:eastAsia="Calibri" w:hAnsi="Times New Roman" w:cs="Times New Roman"/>
          <w:sz w:val="24"/>
          <w:szCs w:val="24"/>
        </w:rPr>
        <w:t xml:space="preserve"> займы от 5 млн до 1 млрд руб. на срок</w:t>
      </w:r>
      <w:r w:rsidR="00241A00" w:rsidRPr="00241A00">
        <w:rPr>
          <w:rFonts w:ascii="Times New Roman" w:eastAsia="Calibri" w:hAnsi="Times New Roman" w:cs="Times New Roman"/>
          <w:sz w:val="24"/>
          <w:szCs w:val="24"/>
        </w:rPr>
        <w:t xml:space="preserve"> до 15 лет по ставке 1-5%.</w:t>
      </w:r>
      <w:r w:rsidR="004037F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241A00">
        <w:rPr>
          <w:rFonts w:ascii="Times New Roman" w:eastAsia="Calibri" w:hAnsi="Times New Roman" w:cs="Times New Roman"/>
          <w:sz w:val="24"/>
          <w:szCs w:val="24"/>
        </w:rPr>
        <w:t>В результате</w:t>
      </w:r>
      <w:r w:rsidR="004037FC">
        <w:rPr>
          <w:rFonts w:ascii="Times New Roman" w:eastAsia="Calibri" w:hAnsi="Times New Roman" w:cs="Times New Roman"/>
          <w:sz w:val="24"/>
          <w:szCs w:val="24"/>
        </w:rPr>
        <w:t xml:space="preserve"> к 2024 г. с момента начала функционирования ТОР в Тутаеве объем инвестиций 10 резидентов превысил 5,3 млрд руб., в то время как в Ростове Великом – 6 резидентов с объемом инвестиций 0,62 млрд руб., а в Гаврилов-Яме – 6 резидентов с объемом инвестиций 0,26 млрд руб. </w:t>
      </w:r>
    </w:p>
    <w:p w14:paraId="098313A5" w14:textId="01A89269" w:rsidR="00B61F96" w:rsidRDefault="004037FC" w:rsidP="004A2872">
      <w:pPr>
        <w:spacing w:after="0" w:line="252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Количество вновь созданных рабочих мест в совокуп</w:t>
      </w:r>
      <w:bookmarkStart w:id="0" w:name="_GoBack"/>
      <w:bookmarkEnd w:id="0"/>
      <w:r>
        <w:rPr>
          <w:rFonts w:ascii="Times New Roman" w:eastAsia="Calibri" w:hAnsi="Times New Roman" w:cs="Times New Roman"/>
          <w:sz w:val="24"/>
          <w:szCs w:val="24"/>
        </w:rPr>
        <w:t>ности в ТОР Ярославской области достигло 2 тыс., из них 1,3 тыс. с существенным перевесом – также в ТОР Тутаев, около 300 мест – в Ростове Великом и около 200 рабочих мест – в Гаврилов-Яме. Эти результаты могут казаться сравнительно скромными</w:t>
      </w:r>
      <w:r w:rsidR="00241A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241A00" w:rsidRPr="00BB4696">
        <w:rPr>
          <w:rFonts w:ascii="Times New Roman" w:eastAsia="Calibri" w:hAnsi="Times New Roman" w:cs="Times New Roman"/>
          <w:sz w:val="24"/>
          <w:szCs w:val="24"/>
        </w:rPr>
        <w:t>[</w:t>
      </w:r>
      <w:r w:rsidR="00241A00">
        <w:rPr>
          <w:rFonts w:ascii="Times New Roman" w:eastAsia="Calibri" w:hAnsi="Times New Roman" w:cs="Times New Roman"/>
          <w:sz w:val="24"/>
          <w:szCs w:val="24"/>
        </w:rPr>
        <w:t>5</w:t>
      </w:r>
      <w:r w:rsidR="00241A00">
        <w:rPr>
          <w:rFonts w:ascii="Times New Roman" w:eastAsia="Calibri" w:hAnsi="Times New Roman" w:cs="Times New Roman"/>
          <w:sz w:val="24"/>
          <w:szCs w:val="24"/>
        </w:rPr>
        <w:t xml:space="preserve">, с. </w:t>
      </w:r>
      <w:r w:rsidR="00241A00">
        <w:rPr>
          <w:rFonts w:ascii="Times New Roman" w:eastAsia="Calibri" w:hAnsi="Times New Roman" w:cs="Times New Roman"/>
          <w:sz w:val="24"/>
          <w:szCs w:val="24"/>
        </w:rPr>
        <w:t>221</w:t>
      </w:r>
      <w:r w:rsidR="00241A00" w:rsidRPr="00BB4696">
        <w:rPr>
          <w:rFonts w:ascii="Times New Roman" w:eastAsia="Calibri" w:hAnsi="Times New Roman" w:cs="Times New Roman"/>
          <w:sz w:val="24"/>
          <w:szCs w:val="24"/>
        </w:rPr>
        <w:t>]</w:t>
      </w:r>
      <w:r>
        <w:rPr>
          <w:rFonts w:ascii="Times New Roman" w:eastAsia="Calibri" w:hAnsi="Times New Roman" w:cs="Times New Roman"/>
          <w:sz w:val="24"/>
          <w:szCs w:val="24"/>
        </w:rPr>
        <w:t>, но для малых моногородов, столкнувшихся с серьезными вызовами в 1990-2000 гг. это результаты, отражающие повышения благосостояния граждан и их семей, а также новый импульс дальнейшего социально-экономического развития</w:t>
      </w:r>
      <w:r w:rsidR="00241A00">
        <w:rPr>
          <w:rFonts w:ascii="Times New Roman" w:eastAsia="Calibri" w:hAnsi="Times New Roman" w:cs="Times New Roman"/>
          <w:sz w:val="24"/>
          <w:szCs w:val="24"/>
        </w:rPr>
        <w:t xml:space="preserve"> и устойчивого развития в целом </w:t>
      </w:r>
      <w:r w:rsidR="00241A00" w:rsidRPr="00BB4696">
        <w:rPr>
          <w:rFonts w:ascii="Times New Roman" w:eastAsia="Calibri" w:hAnsi="Times New Roman" w:cs="Times New Roman"/>
          <w:sz w:val="24"/>
          <w:szCs w:val="24"/>
        </w:rPr>
        <w:t>[</w:t>
      </w:r>
      <w:r w:rsidR="00241A00">
        <w:rPr>
          <w:rFonts w:ascii="Times New Roman" w:eastAsia="Calibri" w:hAnsi="Times New Roman" w:cs="Times New Roman"/>
          <w:sz w:val="24"/>
          <w:szCs w:val="24"/>
        </w:rPr>
        <w:t>8</w:t>
      </w:r>
      <w:r w:rsidR="00241A00">
        <w:rPr>
          <w:rFonts w:ascii="Times New Roman" w:eastAsia="Calibri" w:hAnsi="Times New Roman" w:cs="Times New Roman"/>
          <w:sz w:val="24"/>
          <w:szCs w:val="24"/>
        </w:rPr>
        <w:t xml:space="preserve">, с. </w:t>
      </w:r>
      <w:r w:rsidR="00241A00">
        <w:rPr>
          <w:rFonts w:ascii="Times New Roman" w:eastAsia="Calibri" w:hAnsi="Times New Roman" w:cs="Times New Roman"/>
          <w:sz w:val="24"/>
          <w:szCs w:val="24"/>
        </w:rPr>
        <w:t>36</w:t>
      </w:r>
      <w:r w:rsidR="00241A00" w:rsidRPr="00BB4696">
        <w:rPr>
          <w:rFonts w:ascii="Times New Roman" w:eastAsia="Calibri" w:hAnsi="Times New Roman" w:cs="Times New Roman"/>
          <w:sz w:val="24"/>
          <w:szCs w:val="24"/>
        </w:rPr>
        <w:t>]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14:paraId="26F50623" w14:textId="4B3DB6D4" w:rsidR="004037FC" w:rsidRDefault="004037FC" w:rsidP="004A2872">
      <w:pPr>
        <w:spacing w:after="0" w:line="252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Существенным недостатком в оценке эффектов </w:t>
      </w:r>
      <w:r w:rsidRPr="004037FC">
        <w:rPr>
          <w:rFonts w:ascii="Times New Roman" w:eastAsia="Calibri" w:hAnsi="Times New Roman" w:cs="Times New Roman"/>
          <w:sz w:val="24"/>
          <w:szCs w:val="24"/>
        </w:rPr>
        <w:t>преференциального налогообложения резидентов территорий опережающего развития в Ярославской области</w:t>
      </w:r>
      <w:r>
        <w:rPr>
          <w:rFonts w:ascii="Times New Roman" w:eastAsia="Calibri" w:hAnsi="Times New Roman" w:cs="Times New Roman"/>
          <w:sz w:val="24"/>
          <w:szCs w:val="24"/>
        </w:rPr>
        <w:t xml:space="preserve"> является отсутствие муниципальной и отдельной для ТОР статистики по бюджетным эффектам</w:t>
      </w:r>
      <w:r w:rsidR="00241A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241A00" w:rsidRPr="00BB4696">
        <w:rPr>
          <w:rFonts w:ascii="Times New Roman" w:eastAsia="Calibri" w:hAnsi="Times New Roman" w:cs="Times New Roman"/>
          <w:sz w:val="24"/>
          <w:szCs w:val="24"/>
        </w:rPr>
        <w:t>[</w:t>
      </w:r>
      <w:r w:rsidR="00241A00">
        <w:rPr>
          <w:rFonts w:ascii="Times New Roman" w:eastAsia="Calibri" w:hAnsi="Times New Roman" w:cs="Times New Roman"/>
          <w:sz w:val="24"/>
          <w:szCs w:val="24"/>
        </w:rPr>
        <w:t>3</w:t>
      </w:r>
      <w:r w:rsidR="00241A00">
        <w:rPr>
          <w:rFonts w:ascii="Times New Roman" w:eastAsia="Calibri" w:hAnsi="Times New Roman" w:cs="Times New Roman"/>
          <w:sz w:val="24"/>
          <w:szCs w:val="24"/>
        </w:rPr>
        <w:t xml:space="preserve">, с. </w:t>
      </w:r>
      <w:r w:rsidR="00241A00">
        <w:rPr>
          <w:rFonts w:ascii="Times New Roman" w:eastAsia="Calibri" w:hAnsi="Times New Roman" w:cs="Times New Roman"/>
          <w:sz w:val="24"/>
          <w:szCs w:val="24"/>
        </w:rPr>
        <w:t>8</w:t>
      </w:r>
      <w:r w:rsidR="00241A00">
        <w:rPr>
          <w:rFonts w:ascii="Times New Roman" w:eastAsia="Calibri" w:hAnsi="Times New Roman" w:cs="Times New Roman"/>
          <w:sz w:val="24"/>
          <w:szCs w:val="24"/>
        </w:rPr>
        <w:t>0</w:t>
      </w:r>
      <w:r w:rsidR="00241A00" w:rsidRPr="00BB4696">
        <w:rPr>
          <w:rFonts w:ascii="Times New Roman" w:eastAsia="Calibri" w:hAnsi="Times New Roman" w:cs="Times New Roman"/>
          <w:sz w:val="24"/>
          <w:szCs w:val="24"/>
        </w:rPr>
        <w:t>]</w:t>
      </w:r>
      <w:r>
        <w:rPr>
          <w:rFonts w:ascii="Times New Roman" w:eastAsia="Calibri" w:hAnsi="Times New Roman" w:cs="Times New Roman"/>
          <w:sz w:val="24"/>
          <w:szCs w:val="24"/>
        </w:rPr>
        <w:t xml:space="preserve"> – объемам предоставляемых налоговых льгот и объемам привлеченных налоговых платежей</w:t>
      </w:r>
      <w:r w:rsidR="00241A00">
        <w:rPr>
          <w:rFonts w:ascii="Times New Roman" w:eastAsia="Calibri" w:hAnsi="Times New Roman" w:cs="Times New Roman"/>
          <w:sz w:val="24"/>
          <w:szCs w:val="24"/>
        </w:rPr>
        <w:t xml:space="preserve">, а также формирующегося налогового разрыва </w:t>
      </w:r>
      <w:r w:rsidR="00241A00" w:rsidRPr="00BB4696">
        <w:rPr>
          <w:rFonts w:ascii="Times New Roman" w:eastAsia="Calibri" w:hAnsi="Times New Roman" w:cs="Times New Roman"/>
          <w:sz w:val="24"/>
          <w:szCs w:val="24"/>
        </w:rPr>
        <w:t>[</w:t>
      </w:r>
      <w:r w:rsidR="00241A00">
        <w:rPr>
          <w:rFonts w:ascii="Times New Roman" w:eastAsia="Calibri" w:hAnsi="Times New Roman" w:cs="Times New Roman"/>
          <w:sz w:val="24"/>
          <w:szCs w:val="24"/>
        </w:rPr>
        <w:t>6</w:t>
      </w:r>
      <w:r w:rsidR="00241A00">
        <w:rPr>
          <w:rFonts w:ascii="Times New Roman" w:eastAsia="Calibri" w:hAnsi="Times New Roman" w:cs="Times New Roman"/>
          <w:sz w:val="24"/>
          <w:szCs w:val="24"/>
        </w:rPr>
        <w:t xml:space="preserve">, с. </w:t>
      </w:r>
      <w:r w:rsidR="00241A00">
        <w:rPr>
          <w:rFonts w:ascii="Times New Roman" w:eastAsia="Calibri" w:hAnsi="Times New Roman" w:cs="Times New Roman"/>
          <w:sz w:val="24"/>
          <w:szCs w:val="24"/>
        </w:rPr>
        <w:t>98</w:t>
      </w:r>
      <w:r w:rsidR="00241A00" w:rsidRPr="00BB4696">
        <w:rPr>
          <w:rFonts w:ascii="Times New Roman" w:eastAsia="Calibri" w:hAnsi="Times New Roman" w:cs="Times New Roman"/>
          <w:sz w:val="24"/>
          <w:szCs w:val="24"/>
        </w:rPr>
        <w:t>]</w:t>
      </w:r>
      <w:r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241A00">
        <w:rPr>
          <w:rFonts w:ascii="Times New Roman" w:eastAsia="Calibri" w:hAnsi="Times New Roman" w:cs="Times New Roman"/>
          <w:sz w:val="24"/>
          <w:szCs w:val="24"/>
        </w:rPr>
        <w:t xml:space="preserve">Это не позволяет дать более объективную оценку эффективности и результативности ТОР, в </w:t>
      </w:r>
      <w:proofErr w:type="spellStart"/>
      <w:r w:rsidR="00241A00">
        <w:rPr>
          <w:rFonts w:ascii="Times New Roman" w:eastAsia="Calibri" w:hAnsi="Times New Roman" w:cs="Times New Roman"/>
          <w:sz w:val="24"/>
          <w:szCs w:val="24"/>
        </w:rPr>
        <w:t>т.ч</w:t>
      </w:r>
      <w:proofErr w:type="spellEnd"/>
      <w:r w:rsidR="00241A00">
        <w:rPr>
          <w:rFonts w:ascii="Times New Roman" w:eastAsia="Calibri" w:hAnsi="Times New Roman" w:cs="Times New Roman"/>
          <w:sz w:val="24"/>
          <w:szCs w:val="24"/>
        </w:rPr>
        <w:t xml:space="preserve">. для разработки дальнейших направлений совершенствования налоговых режимов для резидентов </w:t>
      </w:r>
      <w:r w:rsidR="00241A00" w:rsidRPr="00BB4696">
        <w:rPr>
          <w:rFonts w:ascii="Times New Roman" w:eastAsia="Calibri" w:hAnsi="Times New Roman" w:cs="Times New Roman"/>
          <w:sz w:val="24"/>
          <w:szCs w:val="24"/>
        </w:rPr>
        <w:t>[</w:t>
      </w:r>
      <w:r w:rsidR="00241A00">
        <w:rPr>
          <w:rFonts w:ascii="Times New Roman" w:eastAsia="Calibri" w:hAnsi="Times New Roman" w:cs="Times New Roman"/>
          <w:sz w:val="24"/>
          <w:szCs w:val="24"/>
        </w:rPr>
        <w:t>2</w:t>
      </w:r>
      <w:r w:rsidR="00241A00">
        <w:rPr>
          <w:rFonts w:ascii="Times New Roman" w:eastAsia="Calibri" w:hAnsi="Times New Roman" w:cs="Times New Roman"/>
          <w:sz w:val="24"/>
          <w:szCs w:val="24"/>
        </w:rPr>
        <w:t xml:space="preserve">, с. </w:t>
      </w:r>
      <w:r w:rsidR="00241A00">
        <w:rPr>
          <w:rFonts w:ascii="Times New Roman" w:eastAsia="Calibri" w:hAnsi="Times New Roman" w:cs="Times New Roman"/>
          <w:sz w:val="24"/>
          <w:szCs w:val="24"/>
        </w:rPr>
        <w:t>65</w:t>
      </w:r>
      <w:r w:rsidR="00241A00" w:rsidRPr="00BB4696">
        <w:rPr>
          <w:rFonts w:ascii="Times New Roman" w:eastAsia="Calibri" w:hAnsi="Times New Roman" w:cs="Times New Roman"/>
          <w:sz w:val="24"/>
          <w:szCs w:val="24"/>
        </w:rPr>
        <w:t>]</w:t>
      </w:r>
      <w:r w:rsidR="00241A00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787F124D" w14:textId="622D9391" w:rsidR="00B61F96" w:rsidRDefault="00B61F96" w:rsidP="004A2872">
      <w:pPr>
        <w:spacing w:after="0" w:line="252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Основными позитивными эффектами ТОР являются:</w:t>
      </w:r>
    </w:p>
    <w:p w14:paraId="0233BC54" w14:textId="2097FA32" w:rsidR="004A2872" w:rsidRPr="004A2872" w:rsidRDefault="00B61F96" w:rsidP="00B61F96">
      <w:pPr>
        <w:pStyle w:val="ab"/>
        <w:numPr>
          <w:ilvl w:val="0"/>
          <w:numId w:val="8"/>
        </w:numPr>
        <w:spacing w:after="0" w:line="252" w:lineRule="auto"/>
        <w:ind w:left="0" w:firstLine="284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у</w:t>
      </w:r>
      <w:r w:rsidR="004A2872" w:rsidRPr="004A2872">
        <w:rPr>
          <w:rFonts w:ascii="Times New Roman" w:eastAsia="Calibri" w:hAnsi="Times New Roman" w:cs="Times New Roman"/>
          <w:sz w:val="24"/>
          <w:szCs w:val="24"/>
        </w:rPr>
        <w:t>величение числа зарегистрированных предприятий и объёмов производимой продукции</w:t>
      </w:r>
      <w:r>
        <w:rPr>
          <w:rFonts w:ascii="Times New Roman" w:eastAsia="Calibri" w:hAnsi="Times New Roman" w:cs="Times New Roman"/>
          <w:sz w:val="24"/>
          <w:szCs w:val="24"/>
        </w:rPr>
        <w:t>;</w:t>
      </w:r>
    </w:p>
    <w:p w14:paraId="15CC818A" w14:textId="3167C445" w:rsidR="004A2872" w:rsidRPr="004A2872" w:rsidRDefault="00B61F96" w:rsidP="00B61F96">
      <w:pPr>
        <w:pStyle w:val="ab"/>
        <w:numPr>
          <w:ilvl w:val="0"/>
          <w:numId w:val="8"/>
        </w:numPr>
        <w:spacing w:after="0" w:line="252" w:lineRule="auto"/>
        <w:ind w:left="0" w:firstLine="284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р</w:t>
      </w:r>
      <w:r w:rsidR="004A2872" w:rsidRPr="004A2872">
        <w:rPr>
          <w:rFonts w:ascii="Times New Roman" w:eastAsia="Calibri" w:hAnsi="Times New Roman" w:cs="Times New Roman"/>
          <w:sz w:val="24"/>
          <w:szCs w:val="24"/>
        </w:rPr>
        <w:t>ост количества созданных рабочих мест, улучшение качества з</w:t>
      </w:r>
      <w:r>
        <w:rPr>
          <w:rFonts w:ascii="Times New Roman" w:eastAsia="Calibri" w:hAnsi="Times New Roman" w:cs="Times New Roman"/>
          <w:sz w:val="24"/>
          <w:szCs w:val="24"/>
        </w:rPr>
        <w:t>анятости и снижение безработицы;</w:t>
      </w:r>
    </w:p>
    <w:p w14:paraId="61924640" w14:textId="2A73E35F" w:rsidR="004A2872" w:rsidRPr="004A2872" w:rsidRDefault="00B61F96" w:rsidP="00B61F96">
      <w:pPr>
        <w:pStyle w:val="ab"/>
        <w:numPr>
          <w:ilvl w:val="0"/>
          <w:numId w:val="8"/>
        </w:numPr>
        <w:spacing w:after="0" w:line="252" w:lineRule="auto"/>
        <w:ind w:left="0" w:firstLine="284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п</w:t>
      </w:r>
      <w:r w:rsidR="004A2872" w:rsidRPr="004A2872">
        <w:rPr>
          <w:rFonts w:ascii="Times New Roman" w:eastAsia="Calibri" w:hAnsi="Times New Roman" w:cs="Times New Roman"/>
          <w:sz w:val="24"/>
          <w:szCs w:val="24"/>
        </w:rPr>
        <w:t>овышение доходов местного бюджета благодаря увеличению поступлений налого</w:t>
      </w:r>
      <w:r>
        <w:rPr>
          <w:rFonts w:ascii="Times New Roman" w:eastAsia="Calibri" w:hAnsi="Times New Roman" w:cs="Times New Roman"/>
          <w:sz w:val="24"/>
          <w:szCs w:val="24"/>
        </w:rPr>
        <w:t>в от расширенной налоговой базы;</w:t>
      </w:r>
    </w:p>
    <w:p w14:paraId="62C3F885" w14:textId="02730EDE" w:rsidR="004A2872" w:rsidRDefault="00B61F96" w:rsidP="00B61F96">
      <w:pPr>
        <w:pStyle w:val="ab"/>
        <w:numPr>
          <w:ilvl w:val="0"/>
          <w:numId w:val="8"/>
        </w:numPr>
        <w:spacing w:after="0" w:line="252" w:lineRule="auto"/>
        <w:ind w:left="0" w:firstLine="284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у</w:t>
      </w:r>
      <w:r w:rsidR="004A2872" w:rsidRPr="004A2872">
        <w:rPr>
          <w:rFonts w:ascii="Times New Roman" w:eastAsia="Calibri" w:hAnsi="Times New Roman" w:cs="Times New Roman"/>
          <w:sz w:val="24"/>
          <w:szCs w:val="24"/>
        </w:rPr>
        <w:t xml:space="preserve">лучшение социальной сферы и условий </w:t>
      </w:r>
      <w:r>
        <w:rPr>
          <w:rFonts w:ascii="Times New Roman" w:eastAsia="Calibri" w:hAnsi="Times New Roman" w:cs="Times New Roman"/>
          <w:sz w:val="24"/>
          <w:szCs w:val="24"/>
        </w:rPr>
        <w:t>жизни</w:t>
      </w:r>
      <w:r w:rsidR="004A2872" w:rsidRPr="004A2872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7FA83551" w14:textId="27EB4B47" w:rsidR="004A2872" w:rsidRDefault="004A2872" w:rsidP="004A2872">
      <w:pPr>
        <w:spacing w:after="0" w:line="252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A2872">
        <w:rPr>
          <w:rFonts w:ascii="Times New Roman" w:eastAsia="Calibri" w:hAnsi="Times New Roman" w:cs="Times New Roman"/>
          <w:sz w:val="24"/>
          <w:szCs w:val="24"/>
        </w:rPr>
        <w:t>Несмотря на положительные тенденции, реализация проекта ТОР сталкивается с рядом трудностей, которые требуют внимательного анализа и проработанных решений.</w:t>
      </w:r>
      <w:r w:rsidR="00B61F96">
        <w:rPr>
          <w:rFonts w:ascii="Times New Roman" w:eastAsia="Calibri" w:hAnsi="Times New Roman" w:cs="Times New Roman"/>
          <w:sz w:val="24"/>
          <w:szCs w:val="24"/>
        </w:rPr>
        <w:t xml:space="preserve"> К ним прежде всего относятся: недостатки</w:t>
      </w:r>
      <w:r w:rsidRPr="004A2872">
        <w:rPr>
          <w:rFonts w:ascii="Times New Roman" w:eastAsia="Calibri" w:hAnsi="Times New Roman" w:cs="Times New Roman"/>
          <w:sz w:val="24"/>
          <w:szCs w:val="24"/>
        </w:rPr>
        <w:t xml:space="preserve"> комплексного подхода к формированию региональн</w:t>
      </w:r>
      <w:r w:rsidR="00B61F96">
        <w:rPr>
          <w:rFonts w:ascii="Times New Roman" w:eastAsia="Calibri" w:hAnsi="Times New Roman" w:cs="Times New Roman"/>
          <w:sz w:val="24"/>
          <w:szCs w:val="24"/>
        </w:rPr>
        <w:t>ой политики поддержки инвестора; о</w:t>
      </w:r>
      <w:r w:rsidRPr="004A2872">
        <w:rPr>
          <w:rFonts w:ascii="Times New Roman" w:eastAsia="Calibri" w:hAnsi="Times New Roman" w:cs="Times New Roman"/>
          <w:sz w:val="24"/>
          <w:szCs w:val="24"/>
        </w:rPr>
        <w:t xml:space="preserve">граниченность финансовых ресурсов региональных </w:t>
      </w:r>
      <w:r w:rsidR="00B61F96">
        <w:rPr>
          <w:rFonts w:ascii="Times New Roman" w:eastAsia="Calibri" w:hAnsi="Times New Roman" w:cs="Times New Roman"/>
          <w:sz w:val="24"/>
          <w:szCs w:val="24"/>
        </w:rPr>
        <w:t xml:space="preserve">и местных </w:t>
      </w:r>
      <w:r w:rsidRPr="004A2872">
        <w:rPr>
          <w:rFonts w:ascii="Times New Roman" w:eastAsia="Calibri" w:hAnsi="Times New Roman" w:cs="Times New Roman"/>
          <w:sz w:val="24"/>
          <w:szCs w:val="24"/>
        </w:rPr>
        <w:t>бюджетов</w:t>
      </w:r>
      <w:r w:rsidR="00241A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241A00" w:rsidRPr="00BB4696">
        <w:rPr>
          <w:rFonts w:ascii="Times New Roman" w:eastAsia="Calibri" w:hAnsi="Times New Roman" w:cs="Times New Roman"/>
          <w:sz w:val="24"/>
          <w:szCs w:val="24"/>
        </w:rPr>
        <w:t>[</w:t>
      </w:r>
      <w:r w:rsidR="00241A00">
        <w:rPr>
          <w:rFonts w:ascii="Times New Roman" w:eastAsia="Calibri" w:hAnsi="Times New Roman" w:cs="Times New Roman"/>
          <w:sz w:val="24"/>
          <w:szCs w:val="24"/>
        </w:rPr>
        <w:t>4</w:t>
      </w:r>
      <w:r w:rsidR="00241A00">
        <w:rPr>
          <w:rFonts w:ascii="Times New Roman" w:eastAsia="Calibri" w:hAnsi="Times New Roman" w:cs="Times New Roman"/>
          <w:sz w:val="24"/>
          <w:szCs w:val="24"/>
        </w:rPr>
        <w:t xml:space="preserve">, с. </w:t>
      </w:r>
      <w:r w:rsidR="00241A00">
        <w:rPr>
          <w:rFonts w:ascii="Times New Roman" w:eastAsia="Calibri" w:hAnsi="Times New Roman" w:cs="Times New Roman"/>
          <w:sz w:val="24"/>
          <w:szCs w:val="24"/>
        </w:rPr>
        <w:t>105</w:t>
      </w:r>
      <w:r w:rsidR="00241A00" w:rsidRPr="00BB4696">
        <w:rPr>
          <w:rFonts w:ascii="Times New Roman" w:eastAsia="Calibri" w:hAnsi="Times New Roman" w:cs="Times New Roman"/>
          <w:sz w:val="24"/>
          <w:szCs w:val="24"/>
        </w:rPr>
        <w:t>]</w:t>
      </w:r>
      <w:r w:rsidR="00B61F96">
        <w:rPr>
          <w:rFonts w:ascii="Times New Roman" w:eastAsia="Calibri" w:hAnsi="Times New Roman" w:cs="Times New Roman"/>
          <w:sz w:val="24"/>
          <w:szCs w:val="24"/>
        </w:rPr>
        <w:t>; н</w:t>
      </w:r>
      <w:r w:rsidRPr="004A2872">
        <w:rPr>
          <w:rFonts w:ascii="Times New Roman" w:eastAsia="Calibri" w:hAnsi="Times New Roman" w:cs="Times New Roman"/>
          <w:sz w:val="24"/>
          <w:szCs w:val="24"/>
        </w:rPr>
        <w:t xml:space="preserve">еобходимость улучшения координации действий органов власти и </w:t>
      </w:r>
      <w:r w:rsidR="00B61F96">
        <w:rPr>
          <w:rFonts w:ascii="Times New Roman" w:eastAsia="Calibri" w:hAnsi="Times New Roman" w:cs="Times New Roman"/>
          <w:sz w:val="24"/>
          <w:szCs w:val="24"/>
        </w:rPr>
        <w:t>МСУ.</w:t>
      </w:r>
    </w:p>
    <w:p w14:paraId="2C2287E9" w14:textId="3B05890E" w:rsidR="004A2872" w:rsidRPr="004A2872" w:rsidRDefault="00B61F96" w:rsidP="004A2872">
      <w:pPr>
        <w:spacing w:after="0" w:line="252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П</w:t>
      </w:r>
      <w:r w:rsidRPr="004A2872">
        <w:rPr>
          <w:rFonts w:ascii="Times New Roman" w:eastAsia="Calibri" w:hAnsi="Times New Roman" w:cs="Times New Roman"/>
          <w:sz w:val="24"/>
          <w:szCs w:val="24"/>
        </w:rPr>
        <w:t xml:space="preserve">референциальная система налогообложения играет </w:t>
      </w:r>
      <w:r>
        <w:rPr>
          <w:rFonts w:ascii="Times New Roman" w:eastAsia="Calibri" w:hAnsi="Times New Roman" w:cs="Times New Roman"/>
          <w:sz w:val="24"/>
          <w:szCs w:val="24"/>
        </w:rPr>
        <w:t>значительную</w:t>
      </w:r>
      <w:r w:rsidRPr="004A2872">
        <w:rPr>
          <w:rFonts w:ascii="Times New Roman" w:eastAsia="Calibri" w:hAnsi="Times New Roman" w:cs="Times New Roman"/>
          <w:sz w:val="24"/>
          <w:szCs w:val="24"/>
        </w:rPr>
        <w:t xml:space="preserve"> роль в развитии экономической активности и повышении конкурентоспособности </w:t>
      </w:r>
      <w:r>
        <w:rPr>
          <w:rFonts w:ascii="Times New Roman" w:eastAsia="Calibri" w:hAnsi="Times New Roman" w:cs="Times New Roman"/>
          <w:sz w:val="24"/>
          <w:szCs w:val="24"/>
        </w:rPr>
        <w:t xml:space="preserve">моногородов </w:t>
      </w:r>
      <w:r w:rsidRPr="004A2872">
        <w:rPr>
          <w:rFonts w:ascii="Times New Roman" w:eastAsia="Calibri" w:hAnsi="Times New Roman" w:cs="Times New Roman"/>
          <w:sz w:val="24"/>
          <w:szCs w:val="24"/>
        </w:rPr>
        <w:t>Ярославской области.</w:t>
      </w:r>
      <w:r>
        <w:rPr>
          <w:rFonts w:ascii="Times New Roman" w:eastAsia="Calibri" w:hAnsi="Times New Roman" w:cs="Times New Roman"/>
          <w:sz w:val="24"/>
          <w:szCs w:val="24"/>
        </w:rPr>
        <w:t xml:space="preserve"> Для</w:t>
      </w:r>
      <w:r w:rsidR="004A2872" w:rsidRPr="004A2872">
        <w:rPr>
          <w:rFonts w:ascii="Times New Roman" w:eastAsia="Calibri" w:hAnsi="Times New Roman" w:cs="Times New Roman"/>
          <w:sz w:val="24"/>
          <w:szCs w:val="24"/>
        </w:rPr>
        <w:t xml:space="preserve"> дальнейшего развития и совершенствования механизмов преференций</w:t>
      </w:r>
      <w:r>
        <w:rPr>
          <w:rFonts w:ascii="Times New Roman" w:eastAsia="Calibri" w:hAnsi="Times New Roman" w:cs="Times New Roman"/>
          <w:sz w:val="24"/>
          <w:szCs w:val="24"/>
        </w:rPr>
        <w:t xml:space="preserve"> в ТОР необходимым представляется с</w:t>
      </w:r>
      <w:r w:rsidR="004A2872" w:rsidRPr="004A2872">
        <w:rPr>
          <w:rFonts w:ascii="Times New Roman" w:eastAsia="Calibri" w:hAnsi="Times New Roman" w:cs="Times New Roman"/>
          <w:sz w:val="24"/>
          <w:szCs w:val="24"/>
        </w:rPr>
        <w:t xml:space="preserve">овершенствование системы мониторинга и оценки результатов </w:t>
      </w:r>
      <w:r w:rsidR="00241A00">
        <w:rPr>
          <w:rFonts w:ascii="Times New Roman" w:eastAsia="Calibri" w:hAnsi="Times New Roman" w:cs="Times New Roman"/>
          <w:sz w:val="24"/>
          <w:szCs w:val="24"/>
        </w:rPr>
        <w:t xml:space="preserve">их </w:t>
      </w:r>
      <w:r w:rsidR="004A2872" w:rsidRPr="004A2872">
        <w:rPr>
          <w:rFonts w:ascii="Times New Roman" w:eastAsia="Calibri" w:hAnsi="Times New Roman" w:cs="Times New Roman"/>
          <w:sz w:val="24"/>
          <w:szCs w:val="24"/>
        </w:rPr>
        <w:t>функционирования.</w:t>
      </w:r>
    </w:p>
    <w:p w14:paraId="09E0EDDA" w14:textId="10BDF35B" w:rsidR="00027017" w:rsidRDefault="00027017" w:rsidP="00D76600">
      <w:pPr>
        <w:spacing w:after="0" w:line="252" w:lineRule="auto"/>
        <w:ind w:firstLine="425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29C56DDA" w14:textId="77777777" w:rsidR="00020377" w:rsidRPr="00BB24E6" w:rsidRDefault="00020377" w:rsidP="005E50B4">
      <w:pPr>
        <w:spacing w:after="0" w:line="252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</w:p>
    <w:p w14:paraId="40DD1024" w14:textId="19927890" w:rsidR="008753B6" w:rsidRPr="00BB24E6" w:rsidRDefault="008753B6" w:rsidP="004437A3">
      <w:pPr>
        <w:spacing w:after="0" w:line="252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BB24E6">
        <w:rPr>
          <w:rFonts w:ascii="Times New Roman" w:eastAsia="Calibri" w:hAnsi="Times New Roman" w:cs="Times New Roman"/>
          <w:b/>
          <w:sz w:val="24"/>
          <w:szCs w:val="24"/>
        </w:rPr>
        <w:lastRenderedPageBreak/>
        <w:t>ЛИТЕРАТУРА</w:t>
      </w:r>
    </w:p>
    <w:p w14:paraId="187CD28C" w14:textId="15CE3B54" w:rsidR="00BB4696" w:rsidRDefault="00BB4696" w:rsidP="00BB4696">
      <w:pPr>
        <w:pStyle w:val="ab"/>
        <w:numPr>
          <w:ilvl w:val="0"/>
          <w:numId w:val="2"/>
        </w:num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B4696">
        <w:rPr>
          <w:rFonts w:ascii="Times New Roman" w:eastAsia="Calibri" w:hAnsi="Times New Roman" w:cs="Times New Roman"/>
          <w:sz w:val="24"/>
          <w:szCs w:val="24"/>
        </w:rPr>
        <w:t xml:space="preserve">Механизмы и эффекты преференциального </w:t>
      </w:r>
      <w:r>
        <w:rPr>
          <w:rFonts w:ascii="Times New Roman" w:eastAsia="Calibri" w:hAnsi="Times New Roman" w:cs="Times New Roman"/>
          <w:sz w:val="24"/>
          <w:szCs w:val="24"/>
        </w:rPr>
        <w:t>налогообложения юридических лиц</w:t>
      </w:r>
      <w:r w:rsidRPr="00BB4696">
        <w:rPr>
          <w:rFonts w:ascii="Times New Roman" w:eastAsia="Calibri" w:hAnsi="Times New Roman" w:cs="Times New Roman"/>
          <w:sz w:val="24"/>
          <w:szCs w:val="24"/>
        </w:rPr>
        <w:t xml:space="preserve">: монография для магистрантов, обучающихся по программам направлений «Экономика», «Государственный аудит» и «Финансы </w:t>
      </w:r>
      <w:r>
        <w:rPr>
          <w:rFonts w:ascii="Times New Roman" w:eastAsia="Calibri" w:hAnsi="Times New Roman" w:cs="Times New Roman"/>
          <w:sz w:val="24"/>
          <w:szCs w:val="24"/>
        </w:rPr>
        <w:t xml:space="preserve">и кредит» / И.А.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Майбуров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>. – М.</w:t>
      </w:r>
      <w:r w:rsidRPr="00BB4696">
        <w:rPr>
          <w:rFonts w:ascii="Times New Roman" w:eastAsia="Calibri" w:hAnsi="Times New Roman" w:cs="Times New Roman"/>
          <w:sz w:val="24"/>
          <w:szCs w:val="24"/>
        </w:rPr>
        <w:t xml:space="preserve">: </w:t>
      </w:r>
      <w:r>
        <w:rPr>
          <w:rFonts w:ascii="Times New Roman" w:eastAsia="Calibri" w:hAnsi="Times New Roman" w:cs="Times New Roman"/>
          <w:sz w:val="24"/>
          <w:szCs w:val="24"/>
        </w:rPr>
        <w:t>ЮНИТИ-ДАНА</w:t>
      </w:r>
      <w:r w:rsidRPr="00BB4696">
        <w:rPr>
          <w:rFonts w:ascii="Times New Roman" w:eastAsia="Calibri" w:hAnsi="Times New Roman" w:cs="Times New Roman"/>
          <w:sz w:val="24"/>
          <w:szCs w:val="24"/>
        </w:rPr>
        <w:t>, 2024. – 352 с. – ISBN 978-5-238-03881-0.</w:t>
      </w:r>
    </w:p>
    <w:p w14:paraId="608666BB" w14:textId="2246FDA1" w:rsidR="00EB15F4" w:rsidRPr="00B85F6D" w:rsidRDefault="00B85F6D" w:rsidP="00B85F6D">
      <w:pPr>
        <w:pStyle w:val="ab"/>
        <w:numPr>
          <w:ilvl w:val="0"/>
          <w:numId w:val="2"/>
        </w:num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85F6D">
        <w:rPr>
          <w:rFonts w:ascii="Times New Roman" w:eastAsia="Calibri" w:hAnsi="Times New Roman" w:cs="Times New Roman"/>
          <w:sz w:val="24"/>
          <w:szCs w:val="24"/>
        </w:rPr>
        <w:t>Налог</w:t>
      </w:r>
      <w:r>
        <w:rPr>
          <w:rFonts w:ascii="Times New Roman" w:eastAsia="Calibri" w:hAnsi="Times New Roman" w:cs="Times New Roman"/>
          <w:sz w:val="24"/>
          <w:szCs w:val="24"/>
        </w:rPr>
        <w:t>овые реформы. Теория и практика: м</w:t>
      </w:r>
      <w:r w:rsidRPr="00B85F6D">
        <w:rPr>
          <w:rFonts w:ascii="Times New Roman" w:eastAsia="Calibri" w:hAnsi="Times New Roman" w:cs="Times New Roman"/>
          <w:sz w:val="24"/>
          <w:szCs w:val="24"/>
        </w:rPr>
        <w:t>онография для магистрантов, обучающихся по специальностям «Финансы и кредит», «Бухгалтерский учет, анализ и аудит»</w:t>
      </w:r>
      <w:r>
        <w:rPr>
          <w:rFonts w:ascii="Times New Roman" w:eastAsia="Calibri" w:hAnsi="Times New Roman" w:cs="Times New Roman"/>
          <w:sz w:val="24"/>
          <w:szCs w:val="24"/>
        </w:rPr>
        <w:t xml:space="preserve"> / И. А.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Майбуров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>, Ю. Б. Иванов. – М.</w:t>
      </w:r>
      <w:r w:rsidRPr="00B85F6D">
        <w:rPr>
          <w:rFonts w:ascii="Times New Roman" w:eastAsia="Calibri" w:hAnsi="Times New Roman" w:cs="Times New Roman"/>
          <w:sz w:val="24"/>
          <w:szCs w:val="24"/>
        </w:rPr>
        <w:t>: ЮНИТИ-ДАНА, 2015. – 462 с. – ISBN 978-5-238-01902-4.</w:t>
      </w:r>
    </w:p>
    <w:p w14:paraId="52517695" w14:textId="7053C26B" w:rsidR="00F964EB" w:rsidRDefault="007223F6" w:rsidP="007223F6">
      <w:pPr>
        <w:numPr>
          <w:ilvl w:val="0"/>
          <w:numId w:val="2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7223F6">
        <w:rPr>
          <w:rFonts w:ascii="Times New Roman" w:eastAsia="Calibri" w:hAnsi="Times New Roman" w:cs="Times New Roman"/>
          <w:sz w:val="24"/>
          <w:szCs w:val="24"/>
        </w:rPr>
        <w:t>Печ</w:t>
      </w:r>
      <w:r>
        <w:rPr>
          <w:rFonts w:ascii="Times New Roman" w:eastAsia="Calibri" w:hAnsi="Times New Roman" w:cs="Times New Roman"/>
          <w:sz w:val="24"/>
          <w:szCs w:val="24"/>
        </w:rPr>
        <w:t>енская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>, М.</w:t>
      </w:r>
      <w:r w:rsidRPr="007223F6">
        <w:rPr>
          <w:rFonts w:ascii="Times New Roman" w:eastAsia="Calibri" w:hAnsi="Times New Roman" w:cs="Times New Roman"/>
          <w:sz w:val="24"/>
          <w:szCs w:val="24"/>
        </w:rPr>
        <w:t xml:space="preserve">А. Бюджеты региональных центров Северо-Запада: инструменты модернизации или выживания? // Экономические и социальные перемены: факты, тенденции, прогноз. – </w:t>
      </w:r>
      <w:r>
        <w:rPr>
          <w:rFonts w:ascii="Times New Roman" w:eastAsia="Calibri" w:hAnsi="Times New Roman" w:cs="Times New Roman"/>
          <w:sz w:val="24"/>
          <w:szCs w:val="24"/>
        </w:rPr>
        <w:t>2019. – Т. 12, № 3. – С. 77-90.</w:t>
      </w:r>
    </w:p>
    <w:p w14:paraId="63AADAA1" w14:textId="169F313E" w:rsidR="00F964EB" w:rsidRDefault="00F964EB" w:rsidP="00EB15F4">
      <w:pPr>
        <w:pStyle w:val="ab"/>
        <w:numPr>
          <w:ilvl w:val="0"/>
          <w:numId w:val="2"/>
        </w:num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F964EB">
        <w:rPr>
          <w:rFonts w:ascii="Times New Roman" w:eastAsia="Calibri" w:hAnsi="Times New Roman" w:cs="Times New Roman"/>
          <w:sz w:val="24"/>
          <w:szCs w:val="24"/>
        </w:rPr>
        <w:t>Печенская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>,</w:t>
      </w:r>
      <w:r w:rsidRPr="00F964EB">
        <w:rPr>
          <w:rFonts w:ascii="Times New Roman" w:eastAsia="Calibri" w:hAnsi="Times New Roman" w:cs="Times New Roman"/>
          <w:sz w:val="24"/>
          <w:szCs w:val="24"/>
        </w:rPr>
        <w:t xml:space="preserve"> М.А. Уровень бюджетно-налоговой компетенции территорий // Региональная экономика: теория и практика. 2016. № 10 (433). С. 101-114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14:paraId="7430E17A" w14:textId="14800996" w:rsidR="00B85F6D" w:rsidRDefault="00B85F6D" w:rsidP="00B85F6D">
      <w:pPr>
        <w:pStyle w:val="ab"/>
        <w:numPr>
          <w:ilvl w:val="0"/>
          <w:numId w:val="2"/>
        </w:num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85F6D">
        <w:rPr>
          <w:rFonts w:ascii="Times New Roman" w:eastAsia="Calibri" w:hAnsi="Times New Roman" w:cs="Times New Roman"/>
          <w:sz w:val="24"/>
          <w:szCs w:val="24"/>
        </w:rPr>
        <w:t xml:space="preserve">Покровская Н.В. Налоговые условия для бизнеса в странах с формирующимся рынком // Вестник Томского государственного университета. Экономика. </w:t>
      </w:r>
      <w:r>
        <w:rPr>
          <w:rFonts w:ascii="Times New Roman" w:eastAsia="Calibri" w:hAnsi="Times New Roman" w:cs="Times New Roman"/>
          <w:sz w:val="24"/>
          <w:szCs w:val="24"/>
        </w:rPr>
        <w:t xml:space="preserve">– </w:t>
      </w:r>
      <w:r w:rsidRPr="00B85F6D">
        <w:rPr>
          <w:rFonts w:ascii="Times New Roman" w:eastAsia="Calibri" w:hAnsi="Times New Roman" w:cs="Times New Roman"/>
          <w:sz w:val="24"/>
          <w:szCs w:val="24"/>
        </w:rPr>
        <w:t xml:space="preserve">2019. </w:t>
      </w:r>
      <w:r>
        <w:rPr>
          <w:rFonts w:ascii="Times New Roman" w:eastAsia="Calibri" w:hAnsi="Times New Roman" w:cs="Times New Roman"/>
          <w:sz w:val="24"/>
          <w:szCs w:val="24"/>
        </w:rPr>
        <w:t xml:space="preserve">– </w:t>
      </w:r>
      <w:r w:rsidRPr="00B85F6D">
        <w:rPr>
          <w:rFonts w:ascii="Times New Roman" w:eastAsia="Calibri" w:hAnsi="Times New Roman" w:cs="Times New Roman"/>
          <w:sz w:val="24"/>
          <w:szCs w:val="24"/>
        </w:rPr>
        <w:t>№46. С. 215-228.</w:t>
      </w:r>
    </w:p>
    <w:p w14:paraId="0102584F" w14:textId="0C0D32FD" w:rsidR="007223F6" w:rsidRDefault="007223F6" w:rsidP="007223F6">
      <w:pPr>
        <w:numPr>
          <w:ilvl w:val="0"/>
          <w:numId w:val="2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Пугачев, А.</w:t>
      </w:r>
      <w:r w:rsidRPr="007223F6">
        <w:rPr>
          <w:rFonts w:ascii="Times New Roman" w:eastAsia="Calibri" w:hAnsi="Times New Roman" w:cs="Times New Roman"/>
          <w:sz w:val="24"/>
          <w:szCs w:val="24"/>
        </w:rPr>
        <w:t>А. Налоговый разрыв на региональном уровне и оценка факторов,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7223F6">
        <w:rPr>
          <w:rFonts w:ascii="Times New Roman" w:eastAsia="Calibri" w:hAnsi="Times New Roman" w:cs="Times New Roman"/>
          <w:sz w:val="24"/>
          <w:szCs w:val="24"/>
        </w:rPr>
        <w:t>его определяющих // Экономические и социальные перемены: факты, тенденции, прогноз. – 2020. – Т. 13, № 3. – С. 93-110.</w:t>
      </w:r>
    </w:p>
    <w:p w14:paraId="5CD33B1C" w14:textId="0EFC6CE7" w:rsidR="00F964EB" w:rsidRDefault="00EB15F4" w:rsidP="00EB15F4">
      <w:pPr>
        <w:numPr>
          <w:ilvl w:val="0"/>
          <w:numId w:val="2"/>
        </w:numPr>
        <w:tabs>
          <w:tab w:val="left" w:pos="0"/>
          <w:tab w:val="left" w:pos="1134"/>
        </w:tabs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F964EB">
        <w:rPr>
          <w:rFonts w:ascii="Times New Roman" w:eastAsia="Calibri" w:hAnsi="Times New Roman" w:cs="Times New Roman"/>
          <w:sz w:val="24"/>
          <w:szCs w:val="24"/>
        </w:rPr>
        <w:t>Пугачев, А.А. Налоговое стимулирование инновационной активности: возможности, приоритеты и региональные особенности // Инновационное развитие экономики. 2019. № 5-1(53). С. 87-92.</w:t>
      </w:r>
    </w:p>
    <w:p w14:paraId="04EA903F" w14:textId="7A7309A3" w:rsidR="00B85F6D" w:rsidRDefault="00B85F6D" w:rsidP="00B85F6D">
      <w:pPr>
        <w:numPr>
          <w:ilvl w:val="0"/>
          <w:numId w:val="2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Сулейманов М.</w:t>
      </w:r>
      <w:r w:rsidRPr="00B85F6D">
        <w:rPr>
          <w:rFonts w:ascii="Times New Roman" w:eastAsia="Calibri" w:hAnsi="Times New Roman" w:cs="Times New Roman"/>
          <w:sz w:val="24"/>
          <w:szCs w:val="24"/>
        </w:rPr>
        <w:t>М. Роль налоговой политики в достижении целей устойчивого развития территорий // Сегодня и завтра российской экономики</w:t>
      </w:r>
      <w:r>
        <w:rPr>
          <w:rFonts w:ascii="Times New Roman" w:eastAsia="Calibri" w:hAnsi="Times New Roman" w:cs="Times New Roman"/>
          <w:sz w:val="24"/>
          <w:szCs w:val="24"/>
        </w:rPr>
        <w:t xml:space="preserve">. – 2024. – </w:t>
      </w:r>
      <w:r w:rsidRPr="00B85F6D">
        <w:rPr>
          <w:rFonts w:ascii="Times New Roman" w:eastAsia="Calibri" w:hAnsi="Times New Roman" w:cs="Times New Roman"/>
          <w:sz w:val="24"/>
          <w:szCs w:val="24"/>
        </w:rPr>
        <w:t xml:space="preserve">№1 (119). </w:t>
      </w:r>
      <w:r>
        <w:rPr>
          <w:rFonts w:ascii="Times New Roman" w:eastAsia="Calibri" w:hAnsi="Times New Roman" w:cs="Times New Roman"/>
          <w:sz w:val="24"/>
          <w:szCs w:val="24"/>
        </w:rPr>
        <w:t xml:space="preserve">– </w:t>
      </w:r>
      <w:r w:rsidRPr="00B85F6D">
        <w:rPr>
          <w:rFonts w:ascii="Times New Roman" w:eastAsia="Calibri" w:hAnsi="Times New Roman" w:cs="Times New Roman"/>
          <w:sz w:val="24"/>
          <w:szCs w:val="24"/>
        </w:rPr>
        <w:t>С. 32-42.</w:t>
      </w:r>
    </w:p>
    <w:p w14:paraId="59F618DC" w14:textId="6410514D" w:rsidR="007223F6" w:rsidRPr="00EB15F4" w:rsidRDefault="00B85F6D" w:rsidP="00B85F6D">
      <w:pPr>
        <w:numPr>
          <w:ilvl w:val="0"/>
          <w:numId w:val="2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B85F6D">
        <w:rPr>
          <w:rFonts w:ascii="Times New Roman" w:eastAsia="Calibri" w:hAnsi="Times New Roman" w:cs="Times New Roman"/>
          <w:sz w:val="24"/>
          <w:szCs w:val="24"/>
        </w:rPr>
        <w:t>Цепилова</w:t>
      </w:r>
      <w:proofErr w:type="spellEnd"/>
      <w:r w:rsidRPr="00B85F6D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>
        <w:rPr>
          <w:rFonts w:ascii="Times New Roman" w:eastAsia="Calibri" w:hAnsi="Times New Roman" w:cs="Times New Roman"/>
          <w:sz w:val="24"/>
          <w:szCs w:val="24"/>
        </w:rPr>
        <w:t xml:space="preserve">Е.С., </w:t>
      </w:r>
      <w:r w:rsidRPr="00B85F6D">
        <w:rPr>
          <w:rFonts w:ascii="Times New Roman" w:eastAsia="Calibri" w:hAnsi="Times New Roman" w:cs="Times New Roman"/>
          <w:sz w:val="24"/>
          <w:szCs w:val="24"/>
        </w:rPr>
        <w:t>Беляева</w:t>
      </w:r>
      <w:r>
        <w:rPr>
          <w:rFonts w:ascii="Times New Roman" w:eastAsia="Calibri" w:hAnsi="Times New Roman" w:cs="Times New Roman"/>
          <w:sz w:val="24"/>
          <w:szCs w:val="24"/>
        </w:rPr>
        <w:t>,</w:t>
      </w:r>
      <w:r w:rsidRPr="00B85F6D">
        <w:rPr>
          <w:rFonts w:ascii="Times New Roman" w:eastAsia="Calibri" w:hAnsi="Times New Roman" w:cs="Times New Roman"/>
          <w:sz w:val="24"/>
          <w:szCs w:val="24"/>
        </w:rPr>
        <w:t xml:space="preserve"> О.И. Методика оценки эффективности деятельности особых экономических зон в части мер налогового стимулирования производственной деятельности и</w:t>
      </w:r>
      <w:r>
        <w:rPr>
          <w:rFonts w:ascii="Times New Roman" w:eastAsia="Calibri" w:hAnsi="Times New Roman" w:cs="Times New Roman"/>
          <w:sz w:val="24"/>
          <w:szCs w:val="24"/>
        </w:rPr>
        <w:t xml:space="preserve"> поддержки занятости населения </w:t>
      </w:r>
      <w:r w:rsidRPr="00B85F6D">
        <w:rPr>
          <w:rFonts w:ascii="Times New Roman" w:eastAsia="Calibri" w:hAnsi="Times New Roman" w:cs="Times New Roman"/>
          <w:sz w:val="24"/>
          <w:szCs w:val="24"/>
        </w:rPr>
        <w:t xml:space="preserve">// Экономика. Налоги. Право. </w:t>
      </w:r>
      <w:r>
        <w:rPr>
          <w:rFonts w:ascii="Times New Roman" w:eastAsia="Calibri" w:hAnsi="Times New Roman" w:cs="Times New Roman"/>
          <w:sz w:val="24"/>
          <w:szCs w:val="24"/>
        </w:rPr>
        <w:t xml:space="preserve">– </w:t>
      </w:r>
      <w:r w:rsidRPr="00B85F6D">
        <w:rPr>
          <w:rFonts w:ascii="Times New Roman" w:eastAsia="Calibri" w:hAnsi="Times New Roman" w:cs="Times New Roman"/>
          <w:sz w:val="24"/>
          <w:szCs w:val="24"/>
        </w:rPr>
        <w:t xml:space="preserve">2019. </w:t>
      </w:r>
      <w:r>
        <w:rPr>
          <w:rFonts w:ascii="Times New Roman" w:eastAsia="Calibri" w:hAnsi="Times New Roman" w:cs="Times New Roman"/>
          <w:sz w:val="24"/>
          <w:szCs w:val="24"/>
        </w:rPr>
        <w:t xml:space="preserve">– </w:t>
      </w:r>
      <w:r w:rsidRPr="00B85F6D">
        <w:rPr>
          <w:rFonts w:ascii="Times New Roman" w:eastAsia="Calibri" w:hAnsi="Times New Roman" w:cs="Times New Roman"/>
          <w:sz w:val="24"/>
          <w:szCs w:val="24"/>
        </w:rPr>
        <w:t xml:space="preserve">№12(6). </w:t>
      </w:r>
      <w:r>
        <w:rPr>
          <w:rFonts w:ascii="Times New Roman" w:eastAsia="Calibri" w:hAnsi="Times New Roman" w:cs="Times New Roman"/>
          <w:sz w:val="24"/>
          <w:szCs w:val="24"/>
        </w:rPr>
        <w:t xml:space="preserve">– </w:t>
      </w:r>
      <w:r w:rsidRPr="00B85F6D">
        <w:rPr>
          <w:rFonts w:ascii="Times New Roman" w:eastAsia="Calibri" w:hAnsi="Times New Roman" w:cs="Times New Roman"/>
          <w:sz w:val="24"/>
          <w:szCs w:val="24"/>
        </w:rPr>
        <w:t>С.122-133.</w:t>
      </w:r>
    </w:p>
    <w:sectPr w:rsidR="007223F6" w:rsidRPr="00EB15F4" w:rsidSect="00BB24E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462AED4" w14:textId="77777777" w:rsidR="00796B27" w:rsidRDefault="00796B27" w:rsidP="005308EC">
      <w:pPr>
        <w:spacing w:after="0" w:line="240" w:lineRule="auto"/>
      </w:pPr>
      <w:r>
        <w:separator/>
      </w:r>
    </w:p>
  </w:endnote>
  <w:endnote w:type="continuationSeparator" w:id="0">
    <w:p w14:paraId="084EC128" w14:textId="77777777" w:rsidR="00796B27" w:rsidRDefault="00796B27" w:rsidP="005308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DejaVu Sans">
    <w:altName w:val="Arial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5D9672B" w14:textId="77777777" w:rsidR="00796B27" w:rsidRDefault="00796B27" w:rsidP="005308EC">
      <w:pPr>
        <w:spacing w:after="0" w:line="240" w:lineRule="auto"/>
      </w:pPr>
      <w:r>
        <w:separator/>
      </w:r>
    </w:p>
  </w:footnote>
  <w:footnote w:type="continuationSeparator" w:id="0">
    <w:p w14:paraId="35D09BA0" w14:textId="77777777" w:rsidR="00796B27" w:rsidRDefault="00796B27" w:rsidP="005308EC">
      <w:pPr>
        <w:spacing w:after="0" w:line="240" w:lineRule="auto"/>
      </w:pPr>
      <w:r>
        <w:continuationSeparator/>
      </w:r>
    </w:p>
  </w:footnote>
  <w:footnote w:id="1">
    <w:p w14:paraId="78F2E2ED" w14:textId="523B2935" w:rsidR="00F156E5" w:rsidRPr="00F156E5" w:rsidRDefault="00F156E5" w:rsidP="00F156E5">
      <w:pPr>
        <w:pStyle w:val="a8"/>
        <w:jc w:val="both"/>
        <w:rPr>
          <w:rFonts w:ascii="Times New Roman" w:hAnsi="Times New Roman" w:cs="Times New Roman"/>
        </w:rPr>
      </w:pPr>
      <w:r w:rsidRPr="00F156E5">
        <w:rPr>
          <w:rStyle w:val="aa"/>
          <w:rFonts w:ascii="Times New Roman" w:hAnsi="Times New Roman" w:cs="Times New Roman"/>
        </w:rPr>
        <w:footnoteRef/>
      </w:r>
      <w:r w:rsidRPr="00F156E5">
        <w:rPr>
          <w:rFonts w:ascii="Times New Roman" w:hAnsi="Times New Roman" w:cs="Times New Roman"/>
        </w:rPr>
        <w:t xml:space="preserve"> Пугачев Андрей Александрович</w:t>
      </w:r>
      <w:r>
        <w:rPr>
          <w:rFonts w:ascii="Times New Roman" w:hAnsi="Times New Roman" w:cs="Times New Roman"/>
        </w:rPr>
        <w:t>, кандидат экономических наук, доцент, доцент кафедры финансов и кредита, ФГБОУ ВО «Ярославский государственный университет им. П.Г. Демидова» (150000, Россия, г. Ярославль, ул. Советская, д. 14</w:t>
      </w:r>
      <w:r w:rsidRPr="00CA7DF7">
        <w:rPr>
          <w:rFonts w:ascii="Times New Roman" w:hAnsi="Times New Roman" w:cs="Times New Roman"/>
        </w:rPr>
        <w:t>; E-</w:t>
      </w:r>
      <w:proofErr w:type="spellStart"/>
      <w:r w:rsidRPr="00CA7DF7">
        <w:rPr>
          <w:rFonts w:ascii="Times New Roman" w:hAnsi="Times New Roman" w:cs="Times New Roman"/>
        </w:rPr>
        <w:t>mail</w:t>
      </w:r>
      <w:proofErr w:type="spellEnd"/>
      <w:r w:rsidRPr="00CA7DF7">
        <w:rPr>
          <w:rFonts w:ascii="Times New Roman" w:hAnsi="Times New Roman" w:cs="Times New Roman"/>
        </w:rPr>
        <w:t>: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andrxim</w:t>
      </w:r>
      <w:proofErr w:type="spellEnd"/>
      <w:r w:rsidRPr="00F156E5">
        <w:rPr>
          <w:rFonts w:ascii="Times New Roman" w:hAnsi="Times New Roman" w:cs="Times New Roman"/>
        </w:rPr>
        <w:t>@</w:t>
      </w:r>
      <w:proofErr w:type="spellStart"/>
      <w:r>
        <w:rPr>
          <w:rFonts w:ascii="Times New Roman" w:hAnsi="Times New Roman" w:cs="Times New Roman"/>
          <w:lang w:val="en-US"/>
        </w:rPr>
        <w:t>yandex</w:t>
      </w:r>
      <w:proofErr w:type="spellEnd"/>
      <w:r w:rsidRPr="00F156E5">
        <w:rPr>
          <w:rFonts w:ascii="Times New Roman" w:hAnsi="Times New Roman" w:cs="Times New Roman"/>
        </w:rPr>
        <w:t>.</w:t>
      </w:r>
      <w:proofErr w:type="spellStart"/>
      <w:r>
        <w:rPr>
          <w:rFonts w:ascii="Times New Roman" w:hAnsi="Times New Roman" w:cs="Times New Roman"/>
          <w:lang w:val="en-US"/>
        </w:rPr>
        <w:t>ru</w:t>
      </w:r>
      <w:proofErr w:type="spellEnd"/>
      <w:r>
        <w:rPr>
          <w:rFonts w:ascii="Times New Roman" w:hAnsi="Times New Roman" w:cs="Times New Roman"/>
        </w:rPr>
        <w:t>)</w:t>
      </w:r>
    </w:p>
  </w:footnote>
  <w:footnote w:id="2">
    <w:p w14:paraId="0BF2BF58" w14:textId="75C9EF4E" w:rsidR="009F7CDA" w:rsidRPr="00B61F96" w:rsidRDefault="009F7CDA" w:rsidP="00B61F96">
      <w:pPr>
        <w:pStyle w:val="a8"/>
        <w:jc w:val="both"/>
        <w:rPr>
          <w:rFonts w:ascii="Times New Roman" w:hAnsi="Times New Roman" w:cs="Times New Roman"/>
          <w:lang w:val="en-US"/>
        </w:rPr>
      </w:pPr>
      <w:r w:rsidRPr="00B61F96">
        <w:rPr>
          <w:rStyle w:val="aa"/>
          <w:rFonts w:ascii="Times New Roman" w:hAnsi="Times New Roman" w:cs="Times New Roman"/>
        </w:rPr>
        <w:footnoteRef/>
      </w:r>
      <w:r w:rsidRPr="00B61F96">
        <w:rPr>
          <w:rFonts w:ascii="Times New Roman" w:hAnsi="Times New Roman" w:cs="Times New Roman"/>
        </w:rPr>
        <w:t xml:space="preserve"> </w:t>
      </w:r>
      <w:r w:rsidR="00B61F96" w:rsidRPr="00B61F96">
        <w:rPr>
          <w:rFonts w:ascii="Times New Roman" w:hAnsi="Times New Roman" w:cs="Times New Roman"/>
        </w:rPr>
        <w:t xml:space="preserve">Вести Ярославль. </w:t>
      </w:r>
      <w:r w:rsidR="00B61F96" w:rsidRPr="00B61F96">
        <w:rPr>
          <w:rFonts w:ascii="Times New Roman" w:hAnsi="Times New Roman" w:cs="Times New Roman"/>
          <w:lang w:val="en-US"/>
        </w:rPr>
        <w:t xml:space="preserve">URL: </w:t>
      </w:r>
      <w:hyperlink r:id="rId1" w:history="1">
        <w:r w:rsidR="00B61F96" w:rsidRPr="00B61F96">
          <w:rPr>
            <w:rStyle w:val="a7"/>
            <w:rFonts w:ascii="Times New Roman" w:hAnsi="Times New Roman" w:cs="Times New Roman"/>
            <w:lang w:val="en-US"/>
          </w:rPr>
          <w:t>https://vesti-yaroslavl.ru/novosti/item/79619-2024-god-poslednij-kogda-investory-mogut-zajti-na-territoriyu-operezhayushchego-razvitiya-tutaev-i-poluchit-lgoty</w:t>
        </w:r>
      </w:hyperlink>
      <w:r w:rsidR="00B61F96" w:rsidRPr="00B61F96">
        <w:rPr>
          <w:rFonts w:ascii="Times New Roman" w:hAnsi="Times New Roman" w:cs="Times New Roman"/>
          <w:lang w:val="en-US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2F0F42"/>
    <w:multiLevelType w:val="hybridMultilevel"/>
    <w:tmpl w:val="188AEEF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047449"/>
    <w:multiLevelType w:val="hybridMultilevel"/>
    <w:tmpl w:val="F8EACDA8"/>
    <w:lvl w:ilvl="0" w:tplc="FFFFFFFF">
      <w:start w:val="1"/>
      <w:numFmt w:val="decimal"/>
      <w:lvlText w:val="%1."/>
      <w:lvlJc w:val="left"/>
      <w:pPr>
        <w:ind w:left="1145" w:hanging="360"/>
      </w:pPr>
    </w:lvl>
    <w:lvl w:ilvl="1" w:tplc="FFFFFFFF" w:tentative="1">
      <w:start w:val="1"/>
      <w:numFmt w:val="lowerLetter"/>
      <w:lvlText w:val="%2."/>
      <w:lvlJc w:val="left"/>
      <w:pPr>
        <w:ind w:left="1865" w:hanging="360"/>
      </w:pPr>
    </w:lvl>
    <w:lvl w:ilvl="2" w:tplc="FFFFFFFF" w:tentative="1">
      <w:start w:val="1"/>
      <w:numFmt w:val="lowerRoman"/>
      <w:lvlText w:val="%3."/>
      <w:lvlJc w:val="right"/>
      <w:pPr>
        <w:ind w:left="2585" w:hanging="180"/>
      </w:pPr>
    </w:lvl>
    <w:lvl w:ilvl="3" w:tplc="FFFFFFFF" w:tentative="1">
      <w:start w:val="1"/>
      <w:numFmt w:val="decimal"/>
      <w:lvlText w:val="%4."/>
      <w:lvlJc w:val="left"/>
      <w:pPr>
        <w:ind w:left="3305" w:hanging="360"/>
      </w:pPr>
    </w:lvl>
    <w:lvl w:ilvl="4" w:tplc="FFFFFFFF" w:tentative="1">
      <w:start w:val="1"/>
      <w:numFmt w:val="lowerLetter"/>
      <w:lvlText w:val="%5."/>
      <w:lvlJc w:val="left"/>
      <w:pPr>
        <w:ind w:left="4025" w:hanging="360"/>
      </w:pPr>
    </w:lvl>
    <w:lvl w:ilvl="5" w:tplc="FFFFFFFF" w:tentative="1">
      <w:start w:val="1"/>
      <w:numFmt w:val="lowerRoman"/>
      <w:lvlText w:val="%6."/>
      <w:lvlJc w:val="right"/>
      <w:pPr>
        <w:ind w:left="4745" w:hanging="180"/>
      </w:pPr>
    </w:lvl>
    <w:lvl w:ilvl="6" w:tplc="FFFFFFFF" w:tentative="1">
      <w:start w:val="1"/>
      <w:numFmt w:val="decimal"/>
      <w:lvlText w:val="%7."/>
      <w:lvlJc w:val="left"/>
      <w:pPr>
        <w:ind w:left="5465" w:hanging="360"/>
      </w:pPr>
    </w:lvl>
    <w:lvl w:ilvl="7" w:tplc="FFFFFFFF" w:tentative="1">
      <w:start w:val="1"/>
      <w:numFmt w:val="lowerLetter"/>
      <w:lvlText w:val="%8."/>
      <w:lvlJc w:val="left"/>
      <w:pPr>
        <w:ind w:left="6185" w:hanging="360"/>
      </w:pPr>
    </w:lvl>
    <w:lvl w:ilvl="8" w:tplc="FFFFFFFF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" w15:restartNumberingAfterBreak="0">
    <w:nsid w:val="36E22E1F"/>
    <w:multiLevelType w:val="hybridMultilevel"/>
    <w:tmpl w:val="C7826EDE"/>
    <w:lvl w:ilvl="0" w:tplc="BA247136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theme="minorBidi" w:hint="default"/>
        <w:color w:val="000000"/>
        <w:sz w:val="24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9D8552E"/>
    <w:multiLevelType w:val="hybridMultilevel"/>
    <w:tmpl w:val="F8EACDA8"/>
    <w:lvl w:ilvl="0" w:tplc="0419000F">
      <w:start w:val="1"/>
      <w:numFmt w:val="decimal"/>
      <w:lvlText w:val="%1."/>
      <w:lvlJc w:val="left"/>
      <w:pPr>
        <w:ind w:left="1145" w:hanging="360"/>
      </w:pPr>
    </w:lvl>
    <w:lvl w:ilvl="1" w:tplc="04190019" w:tentative="1">
      <w:start w:val="1"/>
      <w:numFmt w:val="lowerLetter"/>
      <w:lvlText w:val="%2."/>
      <w:lvlJc w:val="left"/>
      <w:pPr>
        <w:ind w:left="1865" w:hanging="360"/>
      </w:pPr>
    </w:lvl>
    <w:lvl w:ilvl="2" w:tplc="0419001B" w:tentative="1">
      <w:start w:val="1"/>
      <w:numFmt w:val="lowerRoman"/>
      <w:lvlText w:val="%3."/>
      <w:lvlJc w:val="right"/>
      <w:pPr>
        <w:ind w:left="2585" w:hanging="180"/>
      </w:pPr>
    </w:lvl>
    <w:lvl w:ilvl="3" w:tplc="0419000F" w:tentative="1">
      <w:start w:val="1"/>
      <w:numFmt w:val="decimal"/>
      <w:lvlText w:val="%4."/>
      <w:lvlJc w:val="left"/>
      <w:pPr>
        <w:ind w:left="3305" w:hanging="360"/>
      </w:pPr>
    </w:lvl>
    <w:lvl w:ilvl="4" w:tplc="04190019" w:tentative="1">
      <w:start w:val="1"/>
      <w:numFmt w:val="lowerLetter"/>
      <w:lvlText w:val="%5."/>
      <w:lvlJc w:val="left"/>
      <w:pPr>
        <w:ind w:left="4025" w:hanging="360"/>
      </w:pPr>
    </w:lvl>
    <w:lvl w:ilvl="5" w:tplc="0419001B" w:tentative="1">
      <w:start w:val="1"/>
      <w:numFmt w:val="lowerRoman"/>
      <w:lvlText w:val="%6."/>
      <w:lvlJc w:val="right"/>
      <w:pPr>
        <w:ind w:left="4745" w:hanging="180"/>
      </w:pPr>
    </w:lvl>
    <w:lvl w:ilvl="6" w:tplc="0419000F" w:tentative="1">
      <w:start w:val="1"/>
      <w:numFmt w:val="decimal"/>
      <w:lvlText w:val="%7."/>
      <w:lvlJc w:val="left"/>
      <w:pPr>
        <w:ind w:left="5465" w:hanging="360"/>
      </w:pPr>
    </w:lvl>
    <w:lvl w:ilvl="7" w:tplc="04190019" w:tentative="1">
      <w:start w:val="1"/>
      <w:numFmt w:val="lowerLetter"/>
      <w:lvlText w:val="%8."/>
      <w:lvlJc w:val="left"/>
      <w:pPr>
        <w:ind w:left="6185" w:hanging="360"/>
      </w:pPr>
    </w:lvl>
    <w:lvl w:ilvl="8" w:tplc="041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4" w15:restartNumberingAfterBreak="0">
    <w:nsid w:val="3CCC2E96"/>
    <w:multiLevelType w:val="hybridMultilevel"/>
    <w:tmpl w:val="EACAE096"/>
    <w:lvl w:ilvl="0" w:tplc="002C11EE">
      <w:start w:val="1"/>
      <w:numFmt w:val="bullet"/>
      <w:lvlText w:val=""/>
      <w:lvlJc w:val="left"/>
      <w:pPr>
        <w:ind w:left="114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5" w15:restartNumberingAfterBreak="0">
    <w:nsid w:val="45D24FBF"/>
    <w:multiLevelType w:val="hybridMultilevel"/>
    <w:tmpl w:val="87F2FA4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B90E57"/>
    <w:multiLevelType w:val="hybridMultilevel"/>
    <w:tmpl w:val="188AEEF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5F56C4D"/>
    <w:multiLevelType w:val="hybridMultilevel"/>
    <w:tmpl w:val="3D462996"/>
    <w:lvl w:ilvl="0" w:tplc="CFA694B0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6"/>
  </w:num>
  <w:num w:numId="4">
    <w:abstractNumId w:val="2"/>
  </w:num>
  <w:num w:numId="5">
    <w:abstractNumId w:val="4"/>
  </w:num>
  <w:num w:numId="6">
    <w:abstractNumId w:val="3"/>
  </w:num>
  <w:num w:numId="7">
    <w:abstractNumId w:val="1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62B1"/>
    <w:rsid w:val="00020377"/>
    <w:rsid w:val="00027017"/>
    <w:rsid w:val="0003573C"/>
    <w:rsid w:val="000358A4"/>
    <w:rsid w:val="00054944"/>
    <w:rsid w:val="00055E54"/>
    <w:rsid w:val="000652D6"/>
    <w:rsid w:val="000733E6"/>
    <w:rsid w:val="00077767"/>
    <w:rsid w:val="000B2BC9"/>
    <w:rsid w:val="000B554C"/>
    <w:rsid w:val="000E27AB"/>
    <w:rsid w:val="000E37D0"/>
    <w:rsid w:val="000F50E8"/>
    <w:rsid w:val="00117237"/>
    <w:rsid w:val="00127C21"/>
    <w:rsid w:val="00133FB2"/>
    <w:rsid w:val="0014276F"/>
    <w:rsid w:val="00145D7D"/>
    <w:rsid w:val="001508B9"/>
    <w:rsid w:val="00163C07"/>
    <w:rsid w:val="00165A01"/>
    <w:rsid w:val="001B47F0"/>
    <w:rsid w:val="001B4F14"/>
    <w:rsid w:val="001B759A"/>
    <w:rsid w:val="001E6AAF"/>
    <w:rsid w:val="00212E12"/>
    <w:rsid w:val="002272A3"/>
    <w:rsid w:val="002351D1"/>
    <w:rsid w:val="00241A00"/>
    <w:rsid w:val="00251FC2"/>
    <w:rsid w:val="00297C69"/>
    <w:rsid w:val="002A39EC"/>
    <w:rsid w:val="002F5346"/>
    <w:rsid w:val="00306BC4"/>
    <w:rsid w:val="003126D3"/>
    <w:rsid w:val="003240AE"/>
    <w:rsid w:val="0034325E"/>
    <w:rsid w:val="0036239B"/>
    <w:rsid w:val="003774E6"/>
    <w:rsid w:val="00384CFE"/>
    <w:rsid w:val="003A1921"/>
    <w:rsid w:val="003B160A"/>
    <w:rsid w:val="003C2F47"/>
    <w:rsid w:val="003C6B59"/>
    <w:rsid w:val="003D279B"/>
    <w:rsid w:val="003E5A93"/>
    <w:rsid w:val="003E60F4"/>
    <w:rsid w:val="004037FC"/>
    <w:rsid w:val="004257B5"/>
    <w:rsid w:val="004375FA"/>
    <w:rsid w:val="004437A3"/>
    <w:rsid w:val="0044799F"/>
    <w:rsid w:val="004541FA"/>
    <w:rsid w:val="00464F05"/>
    <w:rsid w:val="004755B3"/>
    <w:rsid w:val="0049102A"/>
    <w:rsid w:val="004A2872"/>
    <w:rsid w:val="004A3537"/>
    <w:rsid w:val="004A7EB3"/>
    <w:rsid w:val="004B1B6A"/>
    <w:rsid w:val="004C7763"/>
    <w:rsid w:val="004D7D5C"/>
    <w:rsid w:val="004E39CF"/>
    <w:rsid w:val="004F66A2"/>
    <w:rsid w:val="005141FA"/>
    <w:rsid w:val="005308EC"/>
    <w:rsid w:val="005353D6"/>
    <w:rsid w:val="00536EF1"/>
    <w:rsid w:val="005733BC"/>
    <w:rsid w:val="00590021"/>
    <w:rsid w:val="005937B9"/>
    <w:rsid w:val="005A1FA4"/>
    <w:rsid w:val="005A5C07"/>
    <w:rsid w:val="005B0815"/>
    <w:rsid w:val="005B2286"/>
    <w:rsid w:val="005D2257"/>
    <w:rsid w:val="005E50B4"/>
    <w:rsid w:val="006114A4"/>
    <w:rsid w:val="006310B8"/>
    <w:rsid w:val="00653028"/>
    <w:rsid w:val="00655583"/>
    <w:rsid w:val="00657311"/>
    <w:rsid w:val="00666047"/>
    <w:rsid w:val="00667E72"/>
    <w:rsid w:val="00693EFE"/>
    <w:rsid w:val="006B4E8A"/>
    <w:rsid w:val="006B65CA"/>
    <w:rsid w:val="006B7A3E"/>
    <w:rsid w:val="006C2AC2"/>
    <w:rsid w:val="006C6F59"/>
    <w:rsid w:val="006F2492"/>
    <w:rsid w:val="007014D4"/>
    <w:rsid w:val="00712C76"/>
    <w:rsid w:val="007223F6"/>
    <w:rsid w:val="00732C73"/>
    <w:rsid w:val="00737B3F"/>
    <w:rsid w:val="00781741"/>
    <w:rsid w:val="00784F66"/>
    <w:rsid w:val="00792244"/>
    <w:rsid w:val="0079592D"/>
    <w:rsid w:val="00796B27"/>
    <w:rsid w:val="007A375C"/>
    <w:rsid w:val="007B11CB"/>
    <w:rsid w:val="007B3B3C"/>
    <w:rsid w:val="007B7A81"/>
    <w:rsid w:val="007E082B"/>
    <w:rsid w:val="007F238C"/>
    <w:rsid w:val="007F6A35"/>
    <w:rsid w:val="00800906"/>
    <w:rsid w:val="00807F0A"/>
    <w:rsid w:val="008105CB"/>
    <w:rsid w:val="00845065"/>
    <w:rsid w:val="00851115"/>
    <w:rsid w:val="0086020D"/>
    <w:rsid w:val="008705E0"/>
    <w:rsid w:val="008753B6"/>
    <w:rsid w:val="008A58EA"/>
    <w:rsid w:val="008F074E"/>
    <w:rsid w:val="00901168"/>
    <w:rsid w:val="0091090E"/>
    <w:rsid w:val="009333F9"/>
    <w:rsid w:val="00935357"/>
    <w:rsid w:val="00942894"/>
    <w:rsid w:val="00950639"/>
    <w:rsid w:val="009D04BA"/>
    <w:rsid w:val="009D1A7E"/>
    <w:rsid w:val="009E17AE"/>
    <w:rsid w:val="009E65F2"/>
    <w:rsid w:val="009F7CDA"/>
    <w:rsid w:val="00A046B1"/>
    <w:rsid w:val="00A0609F"/>
    <w:rsid w:val="00A0764A"/>
    <w:rsid w:val="00A547F1"/>
    <w:rsid w:val="00A61466"/>
    <w:rsid w:val="00A767F2"/>
    <w:rsid w:val="00A80B65"/>
    <w:rsid w:val="00AE2AE2"/>
    <w:rsid w:val="00AE6E5E"/>
    <w:rsid w:val="00B07EF0"/>
    <w:rsid w:val="00B41575"/>
    <w:rsid w:val="00B55C37"/>
    <w:rsid w:val="00B5758D"/>
    <w:rsid w:val="00B61F96"/>
    <w:rsid w:val="00B816A4"/>
    <w:rsid w:val="00B85F6D"/>
    <w:rsid w:val="00BA02FE"/>
    <w:rsid w:val="00BB24E6"/>
    <w:rsid w:val="00BB4696"/>
    <w:rsid w:val="00BC179C"/>
    <w:rsid w:val="00BC482B"/>
    <w:rsid w:val="00BD4C1F"/>
    <w:rsid w:val="00BE58CF"/>
    <w:rsid w:val="00C32124"/>
    <w:rsid w:val="00C373F5"/>
    <w:rsid w:val="00C56BB6"/>
    <w:rsid w:val="00C5700D"/>
    <w:rsid w:val="00C7346D"/>
    <w:rsid w:val="00C83C5B"/>
    <w:rsid w:val="00C86F95"/>
    <w:rsid w:val="00C915D7"/>
    <w:rsid w:val="00CA1A6B"/>
    <w:rsid w:val="00CA3FE5"/>
    <w:rsid w:val="00CE3E62"/>
    <w:rsid w:val="00CF3843"/>
    <w:rsid w:val="00D4117D"/>
    <w:rsid w:val="00D43AD3"/>
    <w:rsid w:val="00D45EE9"/>
    <w:rsid w:val="00D6264F"/>
    <w:rsid w:val="00D63AC4"/>
    <w:rsid w:val="00D65AB8"/>
    <w:rsid w:val="00D76600"/>
    <w:rsid w:val="00D92AFC"/>
    <w:rsid w:val="00D93E77"/>
    <w:rsid w:val="00DA1C39"/>
    <w:rsid w:val="00DB0E10"/>
    <w:rsid w:val="00DB5988"/>
    <w:rsid w:val="00DC5DCC"/>
    <w:rsid w:val="00DF14F5"/>
    <w:rsid w:val="00DF77FF"/>
    <w:rsid w:val="00E13925"/>
    <w:rsid w:val="00E14563"/>
    <w:rsid w:val="00E2557D"/>
    <w:rsid w:val="00E25D28"/>
    <w:rsid w:val="00E53DB0"/>
    <w:rsid w:val="00E548EB"/>
    <w:rsid w:val="00E57215"/>
    <w:rsid w:val="00E60314"/>
    <w:rsid w:val="00EA755D"/>
    <w:rsid w:val="00EB15F4"/>
    <w:rsid w:val="00EB1E3F"/>
    <w:rsid w:val="00EB33C2"/>
    <w:rsid w:val="00EC0C91"/>
    <w:rsid w:val="00EC4E69"/>
    <w:rsid w:val="00ED2768"/>
    <w:rsid w:val="00ED62B1"/>
    <w:rsid w:val="00EE48E8"/>
    <w:rsid w:val="00EE7A13"/>
    <w:rsid w:val="00F156E5"/>
    <w:rsid w:val="00F319CA"/>
    <w:rsid w:val="00F3350B"/>
    <w:rsid w:val="00F46838"/>
    <w:rsid w:val="00F51DA2"/>
    <w:rsid w:val="00F627A1"/>
    <w:rsid w:val="00F87025"/>
    <w:rsid w:val="00F94B11"/>
    <w:rsid w:val="00F964EB"/>
    <w:rsid w:val="00F96C62"/>
    <w:rsid w:val="00FA3FD1"/>
    <w:rsid w:val="00FC4053"/>
    <w:rsid w:val="00FD273E"/>
    <w:rsid w:val="00FE348A"/>
    <w:rsid w:val="00FF36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7189B3"/>
  <w15:chartTrackingRefBased/>
  <w15:docId w15:val="{FF1A3E1A-91EB-4C94-8993-D71CCB001E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308E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5308EC"/>
  </w:style>
  <w:style w:type="paragraph" w:styleId="a5">
    <w:name w:val="footer"/>
    <w:basedOn w:val="a"/>
    <w:link w:val="a6"/>
    <w:uiPriority w:val="99"/>
    <w:unhideWhenUsed/>
    <w:rsid w:val="005308E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5308EC"/>
  </w:style>
  <w:style w:type="character" w:styleId="a7">
    <w:name w:val="Hyperlink"/>
    <w:basedOn w:val="a0"/>
    <w:uiPriority w:val="99"/>
    <w:unhideWhenUsed/>
    <w:rsid w:val="00FA3FD1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FA3FD1"/>
    <w:rPr>
      <w:color w:val="605E5C"/>
      <w:shd w:val="clear" w:color="auto" w:fill="E1DFDD"/>
    </w:rPr>
  </w:style>
  <w:style w:type="paragraph" w:styleId="a8">
    <w:name w:val="footnote text"/>
    <w:basedOn w:val="a"/>
    <w:link w:val="a9"/>
    <w:uiPriority w:val="99"/>
    <w:semiHidden/>
    <w:unhideWhenUsed/>
    <w:rsid w:val="00655583"/>
    <w:pPr>
      <w:spacing w:after="0" w:line="240" w:lineRule="auto"/>
    </w:pPr>
    <w:rPr>
      <w:sz w:val="20"/>
      <w:szCs w:val="20"/>
    </w:rPr>
  </w:style>
  <w:style w:type="character" w:customStyle="1" w:styleId="a9">
    <w:name w:val="Текст сноски Знак"/>
    <w:basedOn w:val="a0"/>
    <w:link w:val="a8"/>
    <w:uiPriority w:val="99"/>
    <w:semiHidden/>
    <w:rsid w:val="00655583"/>
    <w:rPr>
      <w:sz w:val="20"/>
      <w:szCs w:val="20"/>
    </w:rPr>
  </w:style>
  <w:style w:type="character" w:styleId="aa">
    <w:name w:val="footnote reference"/>
    <w:basedOn w:val="a0"/>
    <w:uiPriority w:val="99"/>
    <w:semiHidden/>
    <w:unhideWhenUsed/>
    <w:rsid w:val="00655583"/>
    <w:rPr>
      <w:vertAlign w:val="superscript"/>
    </w:rPr>
  </w:style>
  <w:style w:type="paragraph" w:styleId="ab">
    <w:name w:val="List Paragraph"/>
    <w:basedOn w:val="a"/>
    <w:uiPriority w:val="34"/>
    <w:qFormat/>
    <w:rsid w:val="008753B6"/>
    <w:pPr>
      <w:ind w:left="720"/>
      <w:contextualSpacing/>
    </w:pPr>
  </w:style>
  <w:style w:type="table" w:styleId="ac">
    <w:name w:val="Table Grid"/>
    <w:basedOn w:val="a1"/>
    <w:uiPriority w:val="59"/>
    <w:rsid w:val="00D45E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78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6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0527437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404873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093147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581504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113069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747831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068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63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2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532317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42506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22587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01769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4841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6073386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57481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01159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489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54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11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9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94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52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66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15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nvest76.ru/territories-advanced-development?ysclid=map0fmko4j39214758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invest76.ru/territories-advanced-development?ysclid=map0fmko4j392147581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vesti-yaroslavl.ru/novosti/item/79619-2024-god-poslednij-kogda-investory-mogut-zajti-na-territoriyu-operezhayushchego-razvitiya-tutaev-i-poluchit-lgoty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7C0E4D-FBAE-46E6-B838-15FDDC74E9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6022</TotalTime>
  <Pages>4</Pages>
  <Words>1493</Words>
  <Characters>8512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АНДРЕЙ ПУГАЧЕВ</dc:creator>
  <cp:keywords/>
  <dc:description/>
  <cp:lastModifiedBy>Андрей</cp:lastModifiedBy>
  <cp:revision>169</cp:revision>
  <cp:lastPrinted>2023-05-10T06:05:00Z</cp:lastPrinted>
  <dcterms:created xsi:type="dcterms:W3CDTF">2022-02-21T15:46:00Z</dcterms:created>
  <dcterms:modified xsi:type="dcterms:W3CDTF">2025-05-15T08:08:00Z</dcterms:modified>
</cp:coreProperties>
</file>