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15A7F" w14:textId="5D292A5A" w:rsidR="0037690F" w:rsidRPr="00CF3805" w:rsidRDefault="0037690F" w:rsidP="006D5C0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38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332.1/ББК 65.04</w:t>
      </w:r>
    </w:p>
    <w:p w14:paraId="0F4AA1D4" w14:textId="3846C72E" w:rsidR="0037690F" w:rsidRPr="00CF3805" w:rsidRDefault="0037690F" w:rsidP="006D5C00">
      <w:pPr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38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Крюков И.А.</w:t>
      </w:r>
    </w:p>
    <w:p w14:paraId="0E53FB51" w14:textId="375C1021" w:rsidR="0037690F" w:rsidRPr="00CF3805" w:rsidRDefault="0037690F" w:rsidP="006D5C0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Hlk192766555"/>
      <w:r w:rsidRPr="00CF3805">
        <w:rPr>
          <w:rFonts w:ascii="Times New Roman" w:eastAsia="Calibri" w:hAnsi="Times New Roman" w:cs="Times New Roman"/>
          <w:b/>
          <w:bCs/>
          <w:sz w:val="24"/>
          <w:szCs w:val="24"/>
        </w:rPr>
        <w:t>ЗАРУБЕЖНЫЙ ОПЫТ РЕАЛИЗАЦИИ ESG ПРИНЦИПОВ В ЭКОНОМИКЕ РЕГИОНА</w:t>
      </w:r>
      <w:bookmarkEnd w:id="0"/>
      <w:r w:rsidR="006D5C00" w:rsidRPr="00CF3805">
        <w:rPr>
          <w:rStyle w:val="a5"/>
          <w:rFonts w:ascii="Times New Roman" w:eastAsia="Calibri" w:hAnsi="Times New Roman" w:cs="Times New Roman"/>
          <w:b/>
          <w:bCs/>
          <w:sz w:val="24"/>
          <w:szCs w:val="24"/>
        </w:rPr>
        <w:footnoteReference w:id="1"/>
      </w:r>
    </w:p>
    <w:p w14:paraId="0CE83048" w14:textId="1B6CBF2D" w:rsidR="00F439C1" w:rsidRPr="00CF3805" w:rsidRDefault="00F439C1" w:rsidP="006D5C00">
      <w:pPr>
        <w:spacing w:after="0" w:line="240" w:lineRule="auto"/>
        <w:contextualSpacing/>
        <w:jc w:val="both"/>
        <w:rPr>
          <w:sz w:val="24"/>
          <w:szCs w:val="24"/>
        </w:rPr>
      </w:pPr>
    </w:p>
    <w:p w14:paraId="35EEE7E5" w14:textId="01663D0B" w:rsidR="0037690F" w:rsidRPr="00CF3805" w:rsidRDefault="0037690F" w:rsidP="006D5C0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Аннотация.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Переход к устойчивому развитию является одной из наиболее значимых тенденций развития социально-экономических систем, которая во многом реализуется за счет ESG принципов. В рамках представленного исследования рассмотрен</w:t>
      </w:r>
      <w:r w:rsidR="006D5C00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наиболее успешный зарубежный 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опыт реализации ESG-принципов в экономике региона.</w:t>
      </w:r>
    </w:p>
    <w:p w14:paraId="5AE0C50E" w14:textId="31E14BE3" w:rsidR="006D5C00" w:rsidRPr="00CF3805" w:rsidRDefault="0037690F" w:rsidP="006D5C0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Ключевые слова: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устойчивое развития, ESG-принципы,</w:t>
      </w:r>
      <w:r w:rsidR="006D5C00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зарубежный опыт,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регион.</w:t>
      </w:r>
    </w:p>
    <w:p w14:paraId="2B2909E6" w14:textId="43C1DB5A" w:rsidR="006D5C00" w:rsidRPr="00CF3805" w:rsidRDefault="006D5C00" w:rsidP="006D5C00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08DC5A" w14:textId="489D5A86" w:rsidR="003600D8" w:rsidRPr="00CF3805" w:rsidRDefault="003600D8" w:rsidP="003600D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Для современного этапа развития социально-экономической системы на глобальном уровне характерно значительное нарастание экологических проблем, среди которых загрязнение воздуха и климатические изменения. Масштаб имеющихся проблем делает необходимым реализацию экологически ориентированных преобразований, которые осуществляются с использованием передовых технологий [1].</w:t>
      </w:r>
    </w:p>
    <w:p w14:paraId="5101D73D" w14:textId="48790D9A" w:rsidR="003600D8" w:rsidRPr="00CF3805" w:rsidRDefault="003600D8" w:rsidP="003600D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Обозначенное обуславливает необходимость осмысления теории управления устойчивым развитием социально-экономических систем, а также разработку теоретико-методологических положений и методов управления региональным развитием [2]. Под устойчивым развитием понимается такой рост национальных экономик и компаний, который отвечает текущим потребностям без ущерба для будущих поколений, способность создавать ценности в долгосрочной перспективе [3].</w:t>
      </w:r>
    </w:p>
    <w:p w14:paraId="2ACDBFBA" w14:textId="373903F8" w:rsidR="003600D8" w:rsidRPr="00CF3805" w:rsidRDefault="003600D8" w:rsidP="003600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Понятия «устойчивое развитие» и «</w:t>
      </w:r>
      <w:r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CF3805">
        <w:rPr>
          <w:rFonts w:ascii="Times New Roman" w:hAnsi="Times New Roman" w:cs="Times New Roman"/>
          <w:sz w:val="24"/>
          <w:szCs w:val="24"/>
        </w:rPr>
        <w:t xml:space="preserve">» имеют схожую природу и в существующих исследованиях достаточно часто </w:t>
      </w:r>
      <w:proofErr w:type="spellStart"/>
      <w:r w:rsidRPr="00CF3805">
        <w:rPr>
          <w:rFonts w:ascii="Times New Roman" w:hAnsi="Times New Roman" w:cs="Times New Roman"/>
          <w:sz w:val="24"/>
          <w:szCs w:val="24"/>
        </w:rPr>
        <w:t>синонимизируются</w:t>
      </w:r>
      <w:proofErr w:type="spellEnd"/>
      <w:r w:rsidRPr="00CF3805">
        <w:rPr>
          <w:rFonts w:ascii="Times New Roman" w:hAnsi="Times New Roman" w:cs="Times New Roman"/>
          <w:sz w:val="24"/>
          <w:szCs w:val="24"/>
        </w:rPr>
        <w:t xml:space="preserve"> [4]. Однако, исследователь Измаилова проводит между ними границу, говоря о том, что «устойчивое развитие представляет собой философию ведения бизнеса, ориентированного на решение экологических, социальных и экономических задач, а ESG – это критерии оценивания принимаемых решений в рамках данной философии» [5].</w:t>
      </w:r>
    </w:p>
    <w:p w14:paraId="6AA52908" w14:textId="21B267E2" w:rsidR="00E93C04" w:rsidRDefault="006D5C00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В контексте выявления особенностей реализации ESG принципов, существенную значимость имеет вопрос изучения имеющегося опыта. Выделение наиболее успешных практик и различных подходов к реализации принципов в зарубежных странах позволит определить инструменты адаптации лучших из этих практик, при этом избежать ошибок при их внедрении.</w:t>
      </w:r>
      <w:r w:rsidR="00E93C04">
        <w:rPr>
          <w:rFonts w:ascii="Times New Roman" w:hAnsi="Times New Roman" w:cs="Times New Roman"/>
          <w:sz w:val="24"/>
          <w:szCs w:val="24"/>
        </w:rPr>
        <w:t xml:space="preserve"> </w:t>
      </w:r>
      <w:r w:rsidRPr="00CF3805">
        <w:rPr>
          <w:rFonts w:ascii="Times New Roman" w:hAnsi="Times New Roman" w:cs="Times New Roman"/>
          <w:sz w:val="24"/>
          <w:szCs w:val="24"/>
        </w:rPr>
        <w:t xml:space="preserve">В этой связи особый интерес представляют государства, имеющие успешный опыт внедрения механизмов </w:t>
      </w:r>
      <w:r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CF3805">
        <w:rPr>
          <w:rFonts w:ascii="Times New Roman" w:hAnsi="Times New Roman" w:cs="Times New Roman"/>
          <w:sz w:val="24"/>
          <w:szCs w:val="24"/>
        </w:rPr>
        <w:t>-концепции.</w:t>
      </w:r>
    </w:p>
    <w:p w14:paraId="53B5B8CF" w14:textId="0DF77DE3" w:rsidR="006D5C00" w:rsidRPr="00CF3805" w:rsidRDefault="006D5C00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 xml:space="preserve">Так, в странах Скандинавского полуострова на протяжении долго времени успешно реализуются мероприятия, направленные на обеспечение устойчивого развития. Швеция является одним из мировых лидеров в части внедрения </w:t>
      </w:r>
      <w:r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CF3805">
        <w:rPr>
          <w:rFonts w:ascii="Times New Roman" w:hAnsi="Times New Roman" w:cs="Times New Roman"/>
          <w:sz w:val="24"/>
          <w:szCs w:val="24"/>
        </w:rPr>
        <w:t xml:space="preserve"> принципов, чему способствует ряд факторов. </w:t>
      </w:r>
    </w:p>
    <w:p w14:paraId="7D7FAD72" w14:textId="112BA5CD" w:rsidR="006D5C00" w:rsidRPr="00CF3805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Во-первых, особенности местного законодательства. Экологический кодекс Швеции «направлен на содействие устойчивому развитию, которое обеспечит здоровую и надежную окружающую среду для нынешнего и будущих поколений», то есть, фактически, на использование природных ресурсов согласно требованиям концепции устойчивого развития. В части социальной защиты прав трудящихся ключевой особенностью шведской модели является</w:t>
      </w:r>
      <w:r w:rsidR="007572C6">
        <w:rPr>
          <w:rFonts w:ascii="Times New Roman" w:hAnsi="Times New Roman" w:cs="Times New Roman"/>
          <w:sz w:val="24"/>
          <w:szCs w:val="24"/>
        </w:rPr>
        <w:t xml:space="preserve"> высокая</w:t>
      </w:r>
      <w:r w:rsidRPr="00CF3805">
        <w:rPr>
          <w:rFonts w:ascii="Times New Roman" w:hAnsi="Times New Roman" w:cs="Times New Roman"/>
          <w:sz w:val="24"/>
          <w:szCs w:val="24"/>
        </w:rPr>
        <w:t xml:space="preserve"> значимость коллективных договоров между работодателями, работниками и профсоюзами. </w:t>
      </w:r>
      <w:r w:rsidR="007572C6">
        <w:rPr>
          <w:rFonts w:ascii="Times New Roman" w:hAnsi="Times New Roman" w:cs="Times New Roman"/>
          <w:sz w:val="24"/>
          <w:szCs w:val="24"/>
        </w:rPr>
        <w:t>В</w:t>
      </w:r>
      <w:r w:rsidRPr="00CF3805">
        <w:rPr>
          <w:rFonts w:ascii="Times New Roman" w:hAnsi="Times New Roman" w:cs="Times New Roman"/>
          <w:sz w:val="24"/>
          <w:szCs w:val="24"/>
        </w:rPr>
        <w:t xml:space="preserve"> государстве регулярно возникают инициативы по введению требований к компаниям в части соблюдения ими прав человека, в том числе в тех видах деятельности, которые предполагают опасные условия труда. </w:t>
      </w:r>
      <w:r w:rsidR="00D360C9">
        <w:rPr>
          <w:rFonts w:ascii="Times New Roman" w:hAnsi="Times New Roman" w:cs="Times New Roman"/>
          <w:sz w:val="24"/>
          <w:szCs w:val="24"/>
        </w:rPr>
        <w:t>Особое внимание отводится</w:t>
      </w:r>
      <w:r w:rsidRPr="00CF3805">
        <w:rPr>
          <w:rFonts w:ascii="Times New Roman" w:hAnsi="Times New Roman" w:cs="Times New Roman"/>
          <w:sz w:val="24"/>
          <w:szCs w:val="24"/>
        </w:rPr>
        <w:t xml:space="preserve"> управленчески</w:t>
      </w:r>
      <w:r w:rsidR="00D360C9">
        <w:rPr>
          <w:rFonts w:ascii="Times New Roman" w:hAnsi="Times New Roman" w:cs="Times New Roman"/>
          <w:sz w:val="24"/>
          <w:szCs w:val="24"/>
        </w:rPr>
        <w:t>м</w:t>
      </w:r>
      <w:r w:rsidRPr="00CF3805">
        <w:rPr>
          <w:rFonts w:ascii="Times New Roman" w:hAnsi="Times New Roman" w:cs="Times New Roman"/>
          <w:sz w:val="24"/>
          <w:szCs w:val="24"/>
        </w:rPr>
        <w:t xml:space="preserve"> аспект</w:t>
      </w:r>
      <w:r w:rsidR="00D360C9">
        <w:rPr>
          <w:rFonts w:ascii="Times New Roman" w:hAnsi="Times New Roman" w:cs="Times New Roman"/>
          <w:sz w:val="24"/>
          <w:szCs w:val="24"/>
        </w:rPr>
        <w:t xml:space="preserve">ам, в том числе </w:t>
      </w:r>
      <w:r w:rsidRPr="00CF3805">
        <w:rPr>
          <w:rFonts w:ascii="Times New Roman" w:hAnsi="Times New Roman" w:cs="Times New Roman"/>
          <w:sz w:val="24"/>
          <w:szCs w:val="24"/>
        </w:rPr>
        <w:t>борьбе с отмыванием денег, финансированием терроризма и коррупци</w:t>
      </w:r>
      <w:r w:rsidR="00D360C9">
        <w:rPr>
          <w:rFonts w:ascii="Times New Roman" w:hAnsi="Times New Roman" w:cs="Times New Roman"/>
          <w:sz w:val="24"/>
          <w:szCs w:val="24"/>
        </w:rPr>
        <w:t>и</w:t>
      </w:r>
      <w:r w:rsidRPr="00CF3805">
        <w:rPr>
          <w:rFonts w:ascii="Times New Roman" w:hAnsi="Times New Roman" w:cs="Times New Roman"/>
          <w:sz w:val="24"/>
          <w:szCs w:val="24"/>
        </w:rPr>
        <w:t>.</w:t>
      </w:r>
    </w:p>
    <w:p w14:paraId="262DDCDC" w14:textId="19E18F1F" w:rsidR="006D5C00" w:rsidRPr="00CF3805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lastRenderedPageBreak/>
        <w:t xml:space="preserve">Во-вторых, особенности принятия инвестиционных решений. Так, ESG статус компании в последние годы приобретает все большую значимость для инвесторов, что становится существенным стимулом для принятия исследуемой концепции. </w:t>
      </w:r>
      <w:r w:rsidR="00D360C9">
        <w:rPr>
          <w:rFonts w:ascii="Times New Roman" w:hAnsi="Times New Roman" w:cs="Times New Roman"/>
          <w:sz w:val="24"/>
          <w:szCs w:val="24"/>
        </w:rPr>
        <w:t>Д</w:t>
      </w:r>
      <w:r w:rsidRPr="00CF3805">
        <w:rPr>
          <w:rFonts w:ascii="Times New Roman" w:hAnsi="Times New Roman" w:cs="Times New Roman"/>
          <w:sz w:val="24"/>
          <w:szCs w:val="24"/>
        </w:rPr>
        <w:t xml:space="preserve">ля определенного перечня компаний обязательной является корпоративная отчетность в области устойчивого развития, затрагивающая каждый из трех аспектов исследуемой повестки. </w:t>
      </w:r>
      <w:r w:rsidR="00D360C9">
        <w:rPr>
          <w:rFonts w:ascii="Times New Roman" w:hAnsi="Times New Roman" w:cs="Times New Roman"/>
          <w:sz w:val="24"/>
          <w:szCs w:val="24"/>
        </w:rPr>
        <w:t>Р</w:t>
      </w:r>
      <w:r w:rsidRPr="00CF3805">
        <w:rPr>
          <w:rFonts w:ascii="Times New Roman" w:hAnsi="Times New Roman" w:cs="Times New Roman"/>
          <w:sz w:val="24"/>
          <w:szCs w:val="24"/>
        </w:rPr>
        <w:t xml:space="preserve">еализуется ряд нормативно-правовых актов, регламентирующих </w:t>
      </w:r>
      <w:r w:rsidR="007572C6">
        <w:rPr>
          <w:rFonts w:ascii="Times New Roman" w:hAnsi="Times New Roman" w:cs="Times New Roman"/>
          <w:sz w:val="24"/>
          <w:szCs w:val="24"/>
        </w:rPr>
        <w:t>эти аспекты</w:t>
      </w:r>
      <w:r w:rsidRPr="00CF3805">
        <w:rPr>
          <w:rFonts w:ascii="Times New Roman" w:hAnsi="Times New Roman" w:cs="Times New Roman"/>
          <w:sz w:val="24"/>
          <w:szCs w:val="24"/>
        </w:rPr>
        <w:t>.</w:t>
      </w:r>
    </w:p>
    <w:p w14:paraId="487EB3DF" w14:textId="27B41606" w:rsidR="006D5C00" w:rsidRPr="00CF3805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В-третьих, государство является одним из лидеров в области разработки и внедрения инновационных и экологических чистых технологий, что, с одной стороны, оказывает положительное влияние на развитие компаний, с другой, вызывает общественное одобрение, обусловленное культурными ценностями шведского общества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[6]</w:t>
      </w:r>
      <w:r w:rsidRPr="00CF3805">
        <w:rPr>
          <w:rFonts w:ascii="Times New Roman" w:hAnsi="Times New Roman" w:cs="Times New Roman"/>
          <w:sz w:val="24"/>
          <w:szCs w:val="24"/>
        </w:rPr>
        <w:t>.</w:t>
      </w:r>
    </w:p>
    <w:p w14:paraId="3FC74495" w14:textId="157FA27F" w:rsidR="006D5C00" w:rsidRPr="00CF3805" w:rsidRDefault="006D5C00" w:rsidP="007572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 xml:space="preserve">Схожая ситуация сложилась в Норвегии, где Правительство оказывает существенное влияние на внедрение указанной концепции за счет создания инструментов регулирования и стимулирования компаний. </w:t>
      </w:r>
      <w:r w:rsidR="00D360C9">
        <w:rPr>
          <w:rFonts w:ascii="Times New Roman" w:hAnsi="Times New Roman" w:cs="Times New Roman"/>
          <w:sz w:val="24"/>
          <w:szCs w:val="24"/>
        </w:rPr>
        <w:t>О</w:t>
      </w:r>
      <w:r w:rsidRPr="00CF3805">
        <w:rPr>
          <w:rFonts w:ascii="Times New Roman" w:hAnsi="Times New Roman" w:cs="Times New Roman"/>
          <w:sz w:val="24"/>
          <w:szCs w:val="24"/>
        </w:rPr>
        <w:t>собый акцент делается на экологические аспекты, в частности, на декарбонизацию, что обосновано спецификой экономической системы государства, в которой значительную долю занимает добыча полезных ископаемых. В Норвегии существуют требования к компаниям по предоставлению нефинансовой отчетности о результатах работы.</w:t>
      </w:r>
      <w:r w:rsidR="007572C6">
        <w:rPr>
          <w:rFonts w:ascii="Times New Roman" w:hAnsi="Times New Roman" w:cs="Times New Roman"/>
          <w:sz w:val="24"/>
          <w:szCs w:val="24"/>
        </w:rPr>
        <w:t xml:space="preserve"> </w:t>
      </w:r>
      <w:r w:rsidRPr="00CF3805">
        <w:rPr>
          <w:rFonts w:ascii="Times New Roman" w:hAnsi="Times New Roman" w:cs="Times New Roman"/>
          <w:sz w:val="24"/>
          <w:szCs w:val="24"/>
        </w:rPr>
        <w:t xml:space="preserve">В части финансовых инструментов в Норвегии осуществляет свою деятельность Национальный суверенный фонд, работа которого связана с активной интеграцией </w:t>
      </w:r>
      <w:r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CF3805">
        <w:rPr>
          <w:rFonts w:ascii="Times New Roman" w:hAnsi="Times New Roman" w:cs="Times New Roman"/>
          <w:sz w:val="24"/>
          <w:szCs w:val="24"/>
        </w:rPr>
        <w:t>-критериев. Среди проблем, с которыми сталкивается государство, выделяются сложности соблюдения баланса интересов между обеспечением экономического роста за счет добычи полезных ископаемых и устойчивым развитием и, обусловленное этим, смещение реализации исследуемой концепции в сторону экологических аспектов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[7]</w:t>
      </w:r>
      <w:r w:rsidRPr="00CF3805">
        <w:rPr>
          <w:rFonts w:ascii="Times New Roman" w:hAnsi="Times New Roman" w:cs="Times New Roman"/>
          <w:sz w:val="24"/>
          <w:szCs w:val="24"/>
        </w:rPr>
        <w:t>.</w:t>
      </w:r>
    </w:p>
    <w:p w14:paraId="5A9EE869" w14:textId="440E99BD" w:rsidR="006D5C00" w:rsidRPr="00CF3805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>Анализ немецкого опыта показывает ключевую роль законодательного регулирования</w:t>
      </w:r>
      <w:r w:rsidR="007572C6">
        <w:rPr>
          <w:rFonts w:ascii="Times New Roman" w:hAnsi="Times New Roman" w:cs="Times New Roman"/>
          <w:sz w:val="24"/>
          <w:szCs w:val="24"/>
        </w:rPr>
        <w:t xml:space="preserve"> для</w:t>
      </w:r>
      <w:r w:rsidRPr="00CF3805">
        <w:rPr>
          <w:rFonts w:ascii="Times New Roman" w:hAnsi="Times New Roman" w:cs="Times New Roman"/>
          <w:sz w:val="24"/>
          <w:szCs w:val="24"/>
        </w:rPr>
        <w:t xml:space="preserve"> успешного внедрения концепции </w:t>
      </w:r>
      <w:r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Pr="00CF3805">
        <w:rPr>
          <w:rFonts w:ascii="Times New Roman" w:hAnsi="Times New Roman" w:cs="Times New Roman"/>
          <w:sz w:val="24"/>
          <w:szCs w:val="24"/>
        </w:rPr>
        <w:t xml:space="preserve">. </w:t>
      </w:r>
      <w:r w:rsidR="00D360C9">
        <w:rPr>
          <w:rFonts w:ascii="Times New Roman" w:hAnsi="Times New Roman" w:cs="Times New Roman"/>
          <w:sz w:val="24"/>
          <w:szCs w:val="24"/>
        </w:rPr>
        <w:t>Германия</w:t>
      </w:r>
      <w:r w:rsidRPr="00CF3805">
        <w:rPr>
          <w:rFonts w:ascii="Times New Roman" w:hAnsi="Times New Roman" w:cs="Times New Roman"/>
          <w:sz w:val="24"/>
          <w:szCs w:val="24"/>
        </w:rPr>
        <w:t xml:space="preserve"> является одним из лидеров Европейского союза </w:t>
      </w:r>
      <w:r w:rsidR="00D360C9">
        <w:rPr>
          <w:rFonts w:ascii="Times New Roman" w:hAnsi="Times New Roman" w:cs="Times New Roman"/>
          <w:sz w:val="24"/>
          <w:szCs w:val="24"/>
        </w:rPr>
        <w:t>по</w:t>
      </w:r>
      <w:r w:rsidRPr="00CF3805">
        <w:rPr>
          <w:rFonts w:ascii="Times New Roman" w:hAnsi="Times New Roman" w:cs="Times New Roman"/>
          <w:sz w:val="24"/>
          <w:szCs w:val="24"/>
        </w:rPr>
        <w:t xml:space="preserve"> внедрени</w:t>
      </w:r>
      <w:r w:rsidR="00D360C9">
        <w:rPr>
          <w:rFonts w:ascii="Times New Roman" w:hAnsi="Times New Roman" w:cs="Times New Roman"/>
          <w:sz w:val="24"/>
          <w:szCs w:val="24"/>
        </w:rPr>
        <w:t>ю</w:t>
      </w:r>
      <w:r w:rsidRPr="00CF3805">
        <w:rPr>
          <w:rFonts w:ascii="Times New Roman" w:hAnsi="Times New Roman" w:cs="Times New Roman"/>
          <w:sz w:val="24"/>
          <w:szCs w:val="24"/>
        </w:rPr>
        <w:t xml:space="preserve"> механизмов устойчивого развития и «зеленой» экономики, что обусловлено обязательством компаний выявлять и предотвращать экологические и социальные риски на всех этапах производственного процесса. При этом в стране также существуют механизмы обязательной нефинансовой отчетности компаний и финансовые инструменты, стимулирующие внедрение принципов ESG. </w:t>
      </w:r>
      <w:r w:rsidR="00D360C9">
        <w:rPr>
          <w:rFonts w:ascii="Times New Roman" w:hAnsi="Times New Roman" w:cs="Times New Roman"/>
          <w:sz w:val="24"/>
          <w:szCs w:val="24"/>
        </w:rPr>
        <w:t>З</w:t>
      </w:r>
      <w:r w:rsidRPr="00CF3805">
        <w:rPr>
          <w:rFonts w:ascii="Times New Roman" w:hAnsi="Times New Roman" w:cs="Times New Roman"/>
          <w:sz w:val="24"/>
          <w:szCs w:val="24"/>
        </w:rPr>
        <w:t xml:space="preserve">начимым фактором является высокая вовлеченность представителей малого и среднего бизнеса в реализацию исследуемой концепции. Среди </w:t>
      </w:r>
      <w:r w:rsidR="007572C6">
        <w:rPr>
          <w:rFonts w:ascii="Times New Roman" w:hAnsi="Times New Roman" w:cs="Times New Roman"/>
          <w:sz w:val="24"/>
          <w:szCs w:val="24"/>
        </w:rPr>
        <w:t>аспектов</w:t>
      </w:r>
      <w:r w:rsidRPr="00CF3805">
        <w:rPr>
          <w:rFonts w:ascii="Times New Roman" w:hAnsi="Times New Roman" w:cs="Times New Roman"/>
          <w:sz w:val="24"/>
          <w:szCs w:val="24"/>
        </w:rPr>
        <w:t>, оказывающих негативное влияние на развитие концепции в Германии, выделяются нехватка кадров с необходимыми компетенциями, а также трудности в сборе данных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[8]</w:t>
      </w:r>
      <w:r w:rsidRPr="00CF3805">
        <w:rPr>
          <w:rFonts w:ascii="Times New Roman" w:hAnsi="Times New Roman" w:cs="Times New Roman"/>
          <w:sz w:val="24"/>
          <w:szCs w:val="24"/>
        </w:rPr>
        <w:t>.</w:t>
      </w:r>
    </w:p>
    <w:p w14:paraId="1D46EDA5" w14:textId="2E84E032" w:rsidR="006D5C00" w:rsidRPr="00CF3805" w:rsidRDefault="00D360C9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6D5C00" w:rsidRPr="00CF3805">
        <w:rPr>
          <w:rFonts w:ascii="Times New Roman" w:hAnsi="Times New Roman" w:cs="Times New Roman"/>
          <w:sz w:val="24"/>
          <w:szCs w:val="24"/>
        </w:rPr>
        <w:t xml:space="preserve">роблемы </w:t>
      </w:r>
      <w:r>
        <w:rPr>
          <w:rFonts w:ascii="Times New Roman" w:hAnsi="Times New Roman" w:cs="Times New Roman"/>
          <w:sz w:val="24"/>
          <w:szCs w:val="24"/>
        </w:rPr>
        <w:t>отсутствия</w:t>
      </w:r>
      <w:r w:rsidR="006D5C00" w:rsidRPr="00CF3805">
        <w:rPr>
          <w:rFonts w:ascii="Times New Roman" w:hAnsi="Times New Roman" w:cs="Times New Roman"/>
          <w:sz w:val="24"/>
          <w:szCs w:val="24"/>
        </w:rPr>
        <w:t xml:space="preserve"> системы измерения уровня распространенности </w:t>
      </w:r>
      <w:r w:rsidR="006D5C00"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="006D5C00" w:rsidRPr="00CF3805">
        <w:rPr>
          <w:rFonts w:ascii="Times New Roman" w:hAnsi="Times New Roman" w:cs="Times New Roman"/>
          <w:sz w:val="24"/>
          <w:szCs w:val="24"/>
        </w:rPr>
        <w:t xml:space="preserve">-принципов успешно решены в Канаде, где создан ряд стандартов и фреймворков </w:t>
      </w:r>
      <w:r w:rsidR="006D5C00"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="006D5C00" w:rsidRPr="00CF3805">
        <w:rPr>
          <w:rFonts w:ascii="Times New Roman" w:hAnsi="Times New Roman" w:cs="Times New Roman"/>
          <w:sz w:val="24"/>
          <w:szCs w:val="24"/>
        </w:rPr>
        <w:t xml:space="preserve">-отчетности. При этом в государстве сохраняются описанные в рамках обзора Европейского опыта тенденции, связанные с учетом нефинансовых аспектов при принятии инвестиционных решений. 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6D5C00" w:rsidRPr="00CF3805">
        <w:rPr>
          <w:rFonts w:ascii="Times New Roman" w:hAnsi="Times New Roman" w:cs="Times New Roman"/>
          <w:sz w:val="24"/>
          <w:szCs w:val="24"/>
        </w:rPr>
        <w:t xml:space="preserve">ажной особенностью Канадского опыта является принятие </w:t>
      </w:r>
      <w:r w:rsidR="006D5C00" w:rsidRPr="00CF3805">
        <w:rPr>
          <w:rFonts w:ascii="Times New Roman" w:hAnsi="Times New Roman" w:cs="Times New Roman"/>
          <w:sz w:val="24"/>
          <w:szCs w:val="24"/>
          <w:lang w:val="en-US"/>
        </w:rPr>
        <w:t>ESG</w:t>
      </w:r>
      <w:r w:rsidR="006D5C00" w:rsidRPr="00CF3805">
        <w:rPr>
          <w:rFonts w:ascii="Times New Roman" w:hAnsi="Times New Roman" w:cs="Times New Roman"/>
          <w:sz w:val="24"/>
          <w:szCs w:val="24"/>
        </w:rPr>
        <w:t>-принципов в бизнес-стратегии множества компаний. Среди проблем отмечается недостаточно высокое качество данных, предоставляемых компаниями</w:t>
      </w:r>
      <w:r w:rsidR="00CF3805" w:rsidRPr="00083730">
        <w:rPr>
          <w:rFonts w:ascii="Times New Roman" w:hAnsi="Times New Roman" w:cs="Times New Roman"/>
          <w:sz w:val="24"/>
          <w:szCs w:val="24"/>
        </w:rPr>
        <w:t xml:space="preserve"> [9]</w:t>
      </w:r>
      <w:r w:rsidR="006D5C00" w:rsidRPr="00CF3805">
        <w:rPr>
          <w:rFonts w:ascii="Times New Roman" w:hAnsi="Times New Roman" w:cs="Times New Roman"/>
          <w:sz w:val="24"/>
          <w:szCs w:val="24"/>
        </w:rPr>
        <w:t>.</w:t>
      </w:r>
    </w:p>
    <w:p w14:paraId="4517A331" w14:textId="307E0234" w:rsidR="006D5C00" w:rsidRPr="00CF3805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 xml:space="preserve">Синхронизация действий государства и бизнеса в обеспечении устойчивого развития наблюдаются в Китае. </w:t>
      </w:r>
      <w:r w:rsidR="00D360C9">
        <w:rPr>
          <w:rFonts w:ascii="Times New Roman" w:hAnsi="Times New Roman" w:cs="Times New Roman"/>
          <w:sz w:val="24"/>
          <w:szCs w:val="24"/>
        </w:rPr>
        <w:t>П</w:t>
      </w:r>
      <w:r w:rsidRPr="00CF3805">
        <w:rPr>
          <w:rFonts w:ascii="Times New Roman" w:hAnsi="Times New Roman" w:cs="Times New Roman"/>
          <w:sz w:val="24"/>
          <w:szCs w:val="24"/>
        </w:rPr>
        <w:t>равительством страны взят курс на снижение загрязняющих выбросов в экономике</w:t>
      </w:r>
      <w:r w:rsidR="00D360C9">
        <w:rPr>
          <w:rFonts w:ascii="Times New Roman" w:hAnsi="Times New Roman" w:cs="Times New Roman"/>
          <w:sz w:val="24"/>
          <w:szCs w:val="24"/>
        </w:rPr>
        <w:t>,</w:t>
      </w:r>
      <w:r w:rsidRPr="00CF3805">
        <w:rPr>
          <w:rFonts w:ascii="Times New Roman" w:hAnsi="Times New Roman" w:cs="Times New Roman"/>
          <w:sz w:val="24"/>
          <w:szCs w:val="24"/>
        </w:rPr>
        <w:t xml:space="preserve"> достижение «углеродной нейтральности», а также разрабатываются правила и стандарты ESG-отчетности. На уровне компаний также поднимается вопрос осознания значимости и важности перехода к устойчивому развитию</w:t>
      </w:r>
      <w:r w:rsidR="00D360C9">
        <w:rPr>
          <w:rFonts w:ascii="Times New Roman" w:hAnsi="Times New Roman" w:cs="Times New Roman"/>
          <w:sz w:val="24"/>
          <w:szCs w:val="24"/>
        </w:rPr>
        <w:t xml:space="preserve"> и </w:t>
      </w:r>
      <w:r w:rsidR="00D360C9" w:rsidRPr="00CF3805">
        <w:rPr>
          <w:rFonts w:ascii="Times New Roman" w:hAnsi="Times New Roman" w:cs="Times New Roman"/>
          <w:sz w:val="24"/>
          <w:szCs w:val="24"/>
        </w:rPr>
        <w:t>привлечения</w:t>
      </w:r>
      <w:r w:rsidRPr="00CF3805">
        <w:rPr>
          <w:rFonts w:ascii="Times New Roman" w:hAnsi="Times New Roman" w:cs="Times New Roman"/>
          <w:sz w:val="24"/>
          <w:szCs w:val="24"/>
        </w:rPr>
        <w:t xml:space="preserve"> зарубежных инвестиций, важным критерием получения которых 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является соответствие деятельности компаний принципам 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ESG</w:t>
      </w:r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[10]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D8409A4" w14:textId="391569FD" w:rsidR="006D5C00" w:rsidRDefault="006D5C00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F3805">
        <w:rPr>
          <w:rFonts w:ascii="Times New Roman" w:hAnsi="Times New Roman" w:cs="Times New Roman"/>
          <w:sz w:val="24"/>
          <w:szCs w:val="24"/>
        </w:rPr>
        <w:t xml:space="preserve">В целом, зарубежные государства характеризуются наличием законодательного регулирования, вовлеченностью инвестиционных и финансовых институтов, общественной востребованностью рассматриваемой концепции.  Однако существует практика, при которой компании «преувеличивают» свои достижений для привлечения инвесторов. </w:t>
      </w:r>
      <w:r w:rsidRPr="00CF3805">
        <w:rPr>
          <w:rFonts w:ascii="Times New Roman" w:hAnsi="Times New Roman" w:cs="Times New Roman"/>
          <w:sz w:val="24"/>
          <w:szCs w:val="24"/>
        </w:rPr>
        <w:lastRenderedPageBreak/>
        <w:t>Кроме того, в большинстве рассмотренных государств отсутствую единые стандарты оценки распространенности принципов ESG.</w:t>
      </w:r>
    </w:p>
    <w:p w14:paraId="2854F793" w14:textId="77777777" w:rsidR="00083730" w:rsidRPr="00083730" w:rsidRDefault="00083730" w:rsidP="000837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3730">
        <w:rPr>
          <w:rFonts w:ascii="Times New Roman" w:hAnsi="Times New Roman" w:cs="Times New Roman"/>
          <w:sz w:val="24"/>
          <w:szCs w:val="24"/>
        </w:rPr>
        <w:t>Представленные в ходе исследования обобщения, положения и выводы послужат основой для будущих исследований, кроме того, могут быть использованы научными сотрудниками и аспирантами, изучающими положения рассматриваемой тематики или различные аспекты устойчивого развития. Выводы также могут быть учтены и использованы органами государственной, региональной и местной власти.</w:t>
      </w:r>
    </w:p>
    <w:p w14:paraId="058FCFA7" w14:textId="5EAA8191" w:rsidR="00083730" w:rsidRPr="00CF3805" w:rsidRDefault="00083730" w:rsidP="000837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3730">
        <w:rPr>
          <w:rFonts w:ascii="Times New Roman" w:hAnsi="Times New Roman" w:cs="Times New Roman"/>
          <w:sz w:val="24"/>
          <w:szCs w:val="24"/>
        </w:rPr>
        <w:t>В части перспектив исследования выделяются вопросы систематизации статистических показателей, характеризующих эффективность государственного управления на уровне региона, а также вопросы выделения наиболее успешных отечественных и зарубежных практик внедрения ESG-принципов в управление региональным развитием, а также выявление барьеров внедрения специализированных инструментов (финансовых, организационных и др.) для реализации ESG принципов на уровне регионов.</w:t>
      </w:r>
    </w:p>
    <w:p w14:paraId="0AA6E6D2" w14:textId="77777777" w:rsidR="006D5C00" w:rsidRPr="00CF3805" w:rsidRDefault="006D5C00" w:rsidP="006D5C00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8CF913" w14:textId="146BA69A" w:rsidR="006D5C00" w:rsidRPr="00CF3805" w:rsidRDefault="006D5C00" w:rsidP="006D5C00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Библиографический список</w:t>
      </w:r>
    </w:p>
    <w:p w14:paraId="6E2BDFCB" w14:textId="1222DD94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C04">
        <w:rPr>
          <w:rFonts w:ascii="Times New Roman" w:hAnsi="Times New Roman" w:cs="Times New Roman"/>
          <w:sz w:val="24"/>
          <w:szCs w:val="24"/>
        </w:rPr>
        <w:t xml:space="preserve">1. </w:t>
      </w:r>
      <w:r w:rsidR="003600D8" w:rsidRPr="00CF3805">
        <w:rPr>
          <w:rFonts w:ascii="Times New Roman" w:hAnsi="Times New Roman" w:cs="Times New Roman"/>
          <w:sz w:val="24"/>
          <w:szCs w:val="24"/>
        </w:rPr>
        <w:t>Терентьев Н. Е. Зеленая экономика и ESG в условиях пандемии COVID-19: некоторые вызовы развития // Ученые записки Международного банковского института.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2022.</w:t>
      </w:r>
      <w:r w:rsidR="003600D8" w:rsidRPr="00CF3805">
        <w:rPr>
          <w:rFonts w:ascii="Times New Roman" w:hAnsi="Times New Roman" w:cs="Times New Roman"/>
          <w:sz w:val="24"/>
          <w:szCs w:val="24"/>
        </w:rPr>
        <w:t xml:space="preserve"> № 3(37). С. 86-102.</w:t>
      </w:r>
    </w:p>
    <w:p w14:paraId="24356163" w14:textId="71BA462B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C04">
        <w:rPr>
          <w:rFonts w:ascii="Times New Roman" w:hAnsi="Times New Roman" w:cs="Times New Roman"/>
          <w:sz w:val="24"/>
          <w:szCs w:val="24"/>
        </w:rPr>
        <w:t xml:space="preserve">2. </w:t>
      </w:r>
      <w:r w:rsidR="003600D8" w:rsidRPr="00CF3805">
        <w:rPr>
          <w:rFonts w:ascii="Times New Roman" w:hAnsi="Times New Roman" w:cs="Times New Roman"/>
          <w:sz w:val="24"/>
          <w:szCs w:val="24"/>
        </w:rPr>
        <w:t>Ускова Т. В.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</w:t>
      </w:r>
      <w:r w:rsidR="003600D8" w:rsidRPr="00CF3805">
        <w:rPr>
          <w:rFonts w:ascii="Times New Roman" w:hAnsi="Times New Roman" w:cs="Times New Roman"/>
          <w:sz w:val="24"/>
          <w:szCs w:val="24"/>
        </w:rPr>
        <w:t>Управление устойчивым развитием региона. Вологда: ИСЭРТ РАН</w:t>
      </w:r>
      <w:r w:rsidR="00CF3805" w:rsidRPr="00CF3805">
        <w:rPr>
          <w:rFonts w:ascii="Times New Roman" w:hAnsi="Times New Roman" w:cs="Times New Roman"/>
          <w:sz w:val="24"/>
          <w:szCs w:val="24"/>
        </w:rPr>
        <w:t>, 2009.</w:t>
      </w:r>
      <w:r w:rsidR="003600D8" w:rsidRPr="00CF3805">
        <w:rPr>
          <w:rFonts w:ascii="Times New Roman" w:hAnsi="Times New Roman" w:cs="Times New Roman"/>
          <w:sz w:val="24"/>
          <w:szCs w:val="24"/>
        </w:rPr>
        <w:t xml:space="preserve"> 355 с.</w:t>
      </w:r>
    </w:p>
    <w:p w14:paraId="2EE5E982" w14:textId="7D9D232D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C04">
        <w:rPr>
          <w:rFonts w:ascii="Times New Roman" w:hAnsi="Times New Roman" w:cs="Times New Roman"/>
          <w:sz w:val="24"/>
          <w:szCs w:val="24"/>
        </w:rPr>
        <w:t xml:space="preserve">3. </w:t>
      </w:r>
      <w:r w:rsidR="003600D8" w:rsidRPr="00CF3805">
        <w:rPr>
          <w:rFonts w:ascii="Times New Roman" w:hAnsi="Times New Roman" w:cs="Times New Roman"/>
          <w:sz w:val="24"/>
          <w:szCs w:val="24"/>
        </w:rPr>
        <w:t>Ускова Т. В. Устойчивость развития территорий и современные методы управления // Проблемы развития территории.</w:t>
      </w:r>
      <w:r w:rsidR="00CF3805" w:rsidRPr="00CF3805">
        <w:rPr>
          <w:rFonts w:ascii="Times New Roman" w:hAnsi="Times New Roman" w:cs="Times New Roman"/>
          <w:sz w:val="24"/>
          <w:szCs w:val="24"/>
        </w:rPr>
        <w:t xml:space="preserve"> 2020.</w:t>
      </w:r>
      <w:r w:rsidR="003600D8" w:rsidRPr="00CF3805">
        <w:rPr>
          <w:rFonts w:ascii="Times New Roman" w:hAnsi="Times New Roman" w:cs="Times New Roman"/>
          <w:sz w:val="24"/>
          <w:szCs w:val="24"/>
        </w:rPr>
        <w:t xml:space="preserve"> № 2(106). С. 7-18. DOI: 10.15838/ptd.2020.2.106.1.</w:t>
      </w:r>
    </w:p>
    <w:p w14:paraId="453BF233" w14:textId="2E7F1FFF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C04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3600D8" w:rsidRPr="00CF3805">
        <w:rPr>
          <w:rFonts w:ascii="Times New Roman" w:hAnsi="Times New Roman" w:cs="Times New Roman"/>
          <w:sz w:val="24"/>
          <w:szCs w:val="24"/>
        </w:rPr>
        <w:t>Замбровская</w:t>
      </w:r>
      <w:proofErr w:type="spellEnd"/>
      <w:r w:rsidR="003600D8" w:rsidRPr="00CF3805">
        <w:rPr>
          <w:rFonts w:ascii="Times New Roman" w:hAnsi="Times New Roman" w:cs="Times New Roman"/>
          <w:sz w:val="24"/>
          <w:szCs w:val="24"/>
        </w:rPr>
        <w:t xml:space="preserve"> Т. А., Грищенко А. В., Грищенко Ю. И. Ключевые аспекты устойчивого развития Российской Федерации в контексте ESG // Менеджмент в России и за рубежом. 2022. № 2. С. 86–96.</w:t>
      </w:r>
    </w:p>
    <w:p w14:paraId="265802B4" w14:textId="11158E4E" w:rsidR="003600D8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sz w:val="24"/>
          <w:szCs w:val="24"/>
        </w:rPr>
        <w:t xml:space="preserve">5. </w:t>
      </w:r>
      <w:r w:rsidR="003600D8" w:rsidRPr="00E93C04">
        <w:rPr>
          <w:rFonts w:ascii="Times New Roman" w:hAnsi="Times New Roman" w:cs="Times New Roman"/>
          <w:sz w:val="24"/>
          <w:szCs w:val="24"/>
        </w:rPr>
        <w:t xml:space="preserve">Измайлова М. А. Реализация ESG-повестки инструментами цифровой экономики: состояние и перспективы развития // </w:t>
      </w:r>
      <w:proofErr w:type="spellStart"/>
      <w:r w:rsidR="003600D8" w:rsidRPr="00E93C04">
        <w:rPr>
          <w:rFonts w:ascii="Times New Roman" w:hAnsi="Times New Roman" w:cs="Times New Roman"/>
          <w:sz w:val="24"/>
          <w:szCs w:val="24"/>
        </w:rPr>
        <w:t>Ars</w:t>
      </w:r>
      <w:proofErr w:type="spellEnd"/>
      <w:r w:rsidR="003600D8" w:rsidRPr="00E93C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00D8" w:rsidRPr="00E93C04">
        <w:rPr>
          <w:rFonts w:ascii="Times New Roman" w:hAnsi="Times New Roman" w:cs="Times New Roman"/>
          <w:sz w:val="24"/>
          <w:szCs w:val="24"/>
        </w:rPr>
        <w:t>Administrandi</w:t>
      </w:r>
      <w:proofErr w:type="spellEnd"/>
      <w:r w:rsidR="003600D8" w:rsidRPr="00E93C04">
        <w:rPr>
          <w:rFonts w:ascii="Times New Roman" w:hAnsi="Times New Roman" w:cs="Times New Roman"/>
          <w:sz w:val="24"/>
          <w:szCs w:val="24"/>
        </w:rPr>
        <w:t xml:space="preserve"> (Искусство управления). 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2024. </w:t>
      </w:r>
      <w:r w:rsidR="003600D8" w:rsidRPr="00E93C04">
        <w:rPr>
          <w:rFonts w:ascii="Times New Roman" w:hAnsi="Times New Roman" w:cs="Times New Roman"/>
          <w:sz w:val="24"/>
          <w:szCs w:val="24"/>
        </w:rPr>
        <w:t>Т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. 16. № 3. </w:t>
      </w:r>
      <w:r w:rsidR="003600D8" w:rsidRPr="00E93C04">
        <w:rPr>
          <w:rFonts w:ascii="Times New Roman" w:hAnsi="Times New Roman" w:cs="Times New Roman"/>
          <w:sz w:val="24"/>
          <w:szCs w:val="24"/>
        </w:rPr>
        <w:t>С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. 413-435. DOI 10.17072/2218-9173-2024-3-413-435. </w:t>
      </w:r>
    </w:p>
    <w:p w14:paraId="196C80A5" w14:textId="6FB89E41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3730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Sweden</w:t>
      </w:r>
      <w:r w:rsidR="00CF3805" w:rsidRPr="00CF380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Global legal post.</w:t>
      </w:r>
      <w:r w:rsidR="00CF3805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URL: https://www.globallegalpost.com/lawoverborders/environmental-social-governance-559211028/sweden-996722417#1 (</w:t>
      </w:r>
      <w:r w:rsidR="003600D8" w:rsidRPr="00CF3805">
        <w:rPr>
          <w:rFonts w:ascii="Times New Roman" w:hAnsi="Times New Roman" w:cs="Times New Roman"/>
          <w:sz w:val="24"/>
          <w:szCs w:val="24"/>
        </w:rPr>
        <w:t>дата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00D8" w:rsidRPr="00CF3805">
        <w:rPr>
          <w:rFonts w:ascii="Times New Roman" w:hAnsi="Times New Roman" w:cs="Times New Roman"/>
          <w:sz w:val="24"/>
          <w:szCs w:val="24"/>
        </w:rPr>
        <w:t>обращения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: 13.03.2025).</w:t>
      </w:r>
    </w:p>
    <w:p w14:paraId="728FF7D4" w14:textId="7E7DF983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Environmental, Social &amp; Governance Law Norway 2025.</w:t>
      </w:r>
      <w:r w:rsidR="00CF3805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URL: https://iclg.com/practice-areas/environmental-social-and-governance-law/norway (</w:t>
      </w:r>
      <w:r w:rsidR="003600D8" w:rsidRPr="00CF3805">
        <w:rPr>
          <w:rFonts w:ascii="Times New Roman" w:hAnsi="Times New Roman" w:cs="Times New Roman"/>
          <w:sz w:val="24"/>
          <w:szCs w:val="24"/>
        </w:rPr>
        <w:t>дата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00D8" w:rsidRPr="00CF3805">
        <w:rPr>
          <w:rFonts w:ascii="Times New Roman" w:hAnsi="Times New Roman" w:cs="Times New Roman"/>
          <w:sz w:val="24"/>
          <w:szCs w:val="24"/>
        </w:rPr>
        <w:t>обращения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: 13.03.2025).</w:t>
      </w:r>
    </w:p>
    <w:p w14:paraId="18238192" w14:textId="0B4F178A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Reflecting on what was said about ESG in Germany.</w:t>
      </w:r>
      <w:r w:rsidR="00CF3805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URL: https://www.natwest.com/corporates/insights/sustainability/esg-in-germany-2022.html (</w:t>
      </w:r>
      <w:r w:rsidR="003600D8" w:rsidRPr="00CF3805">
        <w:rPr>
          <w:rFonts w:ascii="Times New Roman" w:hAnsi="Times New Roman" w:cs="Times New Roman"/>
          <w:sz w:val="24"/>
          <w:szCs w:val="24"/>
        </w:rPr>
        <w:t>дата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00D8" w:rsidRPr="00CF3805">
        <w:rPr>
          <w:rFonts w:ascii="Times New Roman" w:hAnsi="Times New Roman" w:cs="Times New Roman"/>
          <w:sz w:val="24"/>
          <w:szCs w:val="24"/>
        </w:rPr>
        <w:t>обращения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: 13.03.2025).</w:t>
      </w:r>
    </w:p>
    <w:p w14:paraId="252E73C4" w14:textId="53D13A84" w:rsidR="003600D8" w:rsidRPr="00CF3805" w:rsidRDefault="00E93C04" w:rsidP="00E93C0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2025 Canadian Sustainability Reporting Insights.</w:t>
      </w:r>
      <w:r w:rsidR="00CF3805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URL: https://www.pwc.com/ca/en/today-s-issues/environmental-social-and-governance/esg-reporting-insights.html (</w:t>
      </w:r>
      <w:r w:rsidR="003600D8" w:rsidRPr="00CF3805">
        <w:rPr>
          <w:rFonts w:ascii="Times New Roman" w:hAnsi="Times New Roman" w:cs="Times New Roman"/>
          <w:sz w:val="24"/>
          <w:szCs w:val="24"/>
        </w:rPr>
        <w:t>дата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00D8" w:rsidRPr="00CF3805">
        <w:rPr>
          <w:rFonts w:ascii="Times New Roman" w:hAnsi="Times New Roman" w:cs="Times New Roman"/>
          <w:sz w:val="24"/>
          <w:szCs w:val="24"/>
        </w:rPr>
        <w:t>обращения</w:t>
      </w:r>
      <w:r w:rsidR="003600D8" w:rsidRPr="00CF3805">
        <w:rPr>
          <w:rFonts w:ascii="Times New Roman" w:hAnsi="Times New Roman" w:cs="Times New Roman"/>
          <w:sz w:val="24"/>
          <w:szCs w:val="24"/>
          <w:lang w:val="en-US"/>
        </w:rPr>
        <w:t>: 13.03.2025).</w:t>
      </w:r>
    </w:p>
    <w:p w14:paraId="00E31EF1" w14:textId="29D7FFE0" w:rsidR="006D5C00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What is ESG Reporting and Why is it Gaining Traction in </w:t>
      </w:r>
      <w:proofErr w:type="gramStart"/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>China?.</w:t>
      </w:r>
      <w:proofErr w:type="gramEnd"/>
      <w:r w:rsidR="00CF3805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 URL: https://www.china-briefing.com/news/what-is-esg-reporting-and-why-is-it-gaining-traction-in-china/ (</w:t>
      </w:r>
      <w:r w:rsidR="003600D8" w:rsidRPr="00E93C04">
        <w:rPr>
          <w:rFonts w:ascii="Times New Roman" w:hAnsi="Times New Roman" w:cs="Times New Roman"/>
          <w:sz w:val="24"/>
          <w:szCs w:val="24"/>
        </w:rPr>
        <w:t>дата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600D8" w:rsidRPr="00E93C04">
        <w:rPr>
          <w:rFonts w:ascii="Times New Roman" w:hAnsi="Times New Roman" w:cs="Times New Roman"/>
          <w:sz w:val="24"/>
          <w:szCs w:val="24"/>
        </w:rPr>
        <w:t>обращения</w:t>
      </w:r>
      <w:r w:rsidR="003600D8" w:rsidRPr="00E93C04">
        <w:rPr>
          <w:rFonts w:ascii="Times New Roman" w:hAnsi="Times New Roman" w:cs="Times New Roman"/>
          <w:sz w:val="24"/>
          <w:szCs w:val="24"/>
          <w:lang w:val="en-US"/>
        </w:rPr>
        <w:t>: 13.03.2025).</w:t>
      </w:r>
    </w:p>
    <w:p w14:paraId="394AFB00" w14:textId="77777777" w:rsidR="003600D8" w:rsidRPr="00CF3805" w:rsidRDefault="003600D8" w:rsidP="006D5C00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5AA87DF3" w14:textId="3FF1C12F" w:rsidR="006D5C00" w:rsidRPr="00CF3805" w:rsidRDefault="006D5C00" w:rsidP="006D5C00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Информация об авторе</w:t>
      </w:r>
    </w:p>
    <w:p w14:paraId="5591A6EC" w14:textId="4E39763C" w:rsidR="00CF3805" w:rsidRDefault="006D5C00" w:rsidP="0008373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Крюков Иван Алексеевич (Россия, Вологда) – младший научный сотрудник, Федеральное государственное бюджетное учреждение науки «Вологодский научный центр Российской академии наук» (Россия, 160014, г. Вологда, ул. Горького, д. 56а, </w:t>
      </w:r>
      <w:proofErr w:type="spellStart"/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ivan</w:t>
      </w:r>
      <w:proofErr w:type="spellEnd"/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kryukov</w:t>
      </w:r>
      <w:proofErr w:type="spellEnd"/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.1974@</w:t>
      </w:r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mail</w:t>
      </w:r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="00CF3805"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Pr="00CF3805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49303D2B" w14:textId="77777777" w:rsidR="00CF3805" w:rsidRPr="00CF3805" w:rsidRDefault="00CF3805" w:rsidP="006D5C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15DCED" w14:textId="0701A4D7" w:rsidR="00CF3805" w:rsidRPr="00D360C9" w:rsidRDefault="00CF3805" w:rsidP="00CF380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proofErr w:type="spellStart"/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>Kryukov</w:t>
      </w:r>
      <w:proofErr w:type="spellEnd"/>
      <w:r w:rsidRPr="00D360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I</w:t>
      </w:r>
      <w:r w:rsidRPr="00D360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</w:t>
      </w:r>
      <w:r w:rsidRPr="00D360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</w:p>
    <w:p w14:paraId="651D81FA" w14:textId="24892D0A" w:rsidR="00CF3805" w:rsidRDefault="00CF3805" w:rsidP="00CF38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FOREIGN EXPERIENCE IN THE IMPLEMENTATION OF ESG PRINCIPLES IN THE REGIONAL ECONOMY</w:t>
      </w:r>
    </w:p>
    <w:p w14:paraId="521DB916" w14:textId="03CD24F4" w:rsidR="00CF3805" w:rsidRPr="00CF3805" w:rsidRDefault="00CF3805" w:rsidP="00CF38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Abstract. 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Transition to sustainable development is one of the most significant trends in the development of socio-economic systems, which is largely realized through ESG principles. In the framework of the presented research the most successful foreign experience of ESG-principles realization in the regional economy is considered.</w:t>
      </w:r>
    </w:p>
    <w:p w14:paraId="59526ACA" w14:textId="77777777" w:rsidR="00CF3805" w:rsidRPr="00CF3805" w:rsidRDefault="00CF3805" w:rsidP="00CF38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Key words: 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sustainable development, ESG-principles, foreign experience, region.</w:t>
      </w:r>
    </w:p>
    <w:p w14:paraId="49D7B381" w14:textId="77777777" w:rsidR="00CF3805" w:rsidRPr="00CF3805" w:rsidRDefault="00CF3805" w:rsidP="00CF38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4B0DEF1F" w14:textId="12393AA7" w:rsidR="00CF3805" w:rsidRDefault="00CF3805" w:rsidP="00CF380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CF380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Author information</w:t>
      </w:r>
    </w:p>
    <w:p w14:paraId="3D91AC2E" w14:textId="6017849A" w:rsidR="00CF3805" w:rsidRDefault="00CF3805" w:rsidP="00CF38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Kryukov</w:t>
      </w:r>
      <w:proofErr w:type="spellEnd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Ivan </w:t>
      </w:r>
      <w:proofErr w:type="spellStart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Alekseevich</w:t>
      </w:r>
      <w:proofErr w:type="spellEnd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Vologda) is a Junior Researcher, Federal State Budgetary Institution of Science “Vologda Research Center of the Russian Academy of Sciences” (Russia, 160014, Vologda, 56a </w:t>
      </w:r>
      <w:proofErr w:type="spellStart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Gorkogo</w:t>
      </w:r>
      <w:proofErr w:type="spellEnd"/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St., Vologda, </w:t>
      </w:r>
      <w:r w:rsidR="00E93C04"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ivan.kryukov.1974@mail.ru</w:t>
      </w:r>
      <w:r w:rsidRPr="00CF38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).</w:t>
      </w:r>
    </w:p>
    <w:p w14:paraId="2666DE81" w14:textId="04729E7A" w:rsidR="00E93C04" w:rsidRDefault="00E93C04" w:rsidP="00CF380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375ED10D" w14:textId="77777777" w:rsidR="00E93C04" w:rsidRPr="00083730" w:rsidRDefault="00E93C04" w:rsidP="00E93C0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Библиографический</w:t>
      </w:r>
      <w:r w:rsidRPr="0008373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Pr="00E93C0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список</w:t>
      </w:r>
    </w:p>
    <w:p w14:paraId="37F4E883" w14:textId="77777777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Terentyev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Green Economy and ESG in the context of COVID-19 pandemic: some development challenges // Scientific Notes of the International Banking Institute. 2022. № 3(37).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86-102.</w:t>
      </w:r>
    </w:p>
    <w:p w14:paraId="4988B5DE" w14:textId="77777777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Uskova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 V. Management of sustainable development of the region. Vologda: ISEDT RAS, 2009. 355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1CB5DC0B" w14:textId="77777777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Uskova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 V. Sustainability of territorial development and modern management methods // Problems of territorial development. 2020. № 2(106).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7-18. DOI: 10.15838/ptd.2020.2.106.1.</w:t>
      </w:r>
    </w:p>
    <w:p w14:paraId="07C75609" w14:textId="77777777" w:rsidR="00E93C04" w:rsidRPr="00D360C9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Zambrovskaya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 A.,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Grishchenko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 V.,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Grishchenko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Y. I. Key aspects of sustainable development of the Russian Federation in the context of ESG // Management in Russia and abroad. </w:t>
      </w:r>
      <w:r w:rsidRPr="00D36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2022. № 2.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D36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86-96.</w:t>
      </w:r>
    </w:p>
    <w:p w14:paraId="2371A21C" w14:textId="77777777" w:rsidR="00E93C04" w:rsidRPr="00083730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Izmailova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M. A. Realization of ESG-agenda by the tools of digital economy: state and prospects of development // Ars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Administrandi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(Art of Management). </w:t>
      </w:r>
      <w:r w:rsidRPr="00D36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2024.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Pr="00D36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16. № 3. </w:t>
      </w:r>
      <w:r w:rsidRPr="00E93C04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Pr="00D36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413-435. </w:t>
      </w:r>
      <w:r w:rsidRPr="0008373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 10.17072/2218-9173-2024-3-413-435.</w:t>
      </w:r>
    </w:p>
    <w:p w14:paraId="64EF942F" w14:textId="72F45BC6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6. Sweden. Global legal post. – URL: https://www.globallegalpost.com/lawoverborders/environmental-social-governance-559211028/sweden-996722417#1 (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дата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обращения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13.03.2025).</w:t>
      </w:r>
    </w:p>
    <w:p w14:paraId="3C364E17" w14:textId="0146E130" w:rsid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7. Environmental, Social &amp; Governance Law Norway 2025. – URL: https://iclg.com/practice-areas/environmental-social-and-governance-law/norway (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дата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обращения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13.03.2025).</w:t>
      </w:r>
    </w:p>
    <w:p w14:paraId="3E3B7ACD" w14:textId="77777777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8. Reflecting on what was said about ESG in Germany. – URL: https://www.natwest.com/corporates/insights/sustainability/esg-in-germany-2022.html (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дата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обращения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13.03.2025).</w:t>
      </w:r>
    </w:p>
    <w:p w14:paraId="0AE2E5AA" w14:textId="77777777" w:rsidR="00E93C04" w:rsidRPr="00E93C04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9. 2025 Canadian Sustainability Reporting Insights. – URL: https://www.pwc.com/ca/en/today-s-issues/environmental-social-and-governance/esg-reporting-insights.html (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дата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обращения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13.03.2025).</w:t>
      </w:r>
    </w:p>
    <w:p w14:paraId="1739AEBB" w14:textId="3D916068" w:rsidR="00E93C04" w:rsidRPr="00CF3805" w:rsidRDefault="00E93C04" w:rsidP="00E93C0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10. What is ESG Reporting and Why is it Gaining Traction in </w:t>
      </w:r>
      <w:proofErr w:type="gram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China?.</w:t>
      </w:r>
      <w:proofErr w:type="gram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URL: https://www.china-briefing.com/news/what-is-esg-reporting-and-why-is-it-gaining-traction-in-china/ (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дата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обращения</w:t>
      </w:r>
      <w:proofErr w:type="spellEnd"/>
      <w:r w:rsidRPr="00E93C0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13.03.2025).</w:t>
      </w:r>
    </w:p>
    <w:sectPr w:rsidR="00E93C04" w:rsidRPr="00CF3805" w:rsidSect="0060158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3C9515" w14:textId="77777777" w:rsidR="00395F4A" w:rsidRDefault="00395F4A" w:rsidP="0037690F">
      <w:pPr>
        <w:spacing w:after="0" w:line="240" w:lineRule="auto"/>
      </w:pPr>
      <w:r>
        <w:separator/>
      </w:r>
    </w:p>
  </w:endnote>
  <w:endnote w:type="continuationSeparator" w:id="0">
    <w:p w14:paraId="223F5DF0" w14:textId="77777777" w:rsidR="00395F4A" w:rsidRDefault="00395F4A" w:rsidP="003769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19A7F" w14:textId="77777777" w:rsidR="00395F4A" w:rsidRDefault="00395F4A" w:rsidP="0037690F">
      <w:pPr>
        <w:spacing w:after="0" w:line="240" w:lineRule="auto"/>
      </w:pPr>
      <w:r>
        <w:separator/>
      </w:r>
    </w:p>
  </w:footnote>
  <w:footnote w:type="continuationSeparator" w:id="0">
    <w:p w14:paraId="452AAD39" w14:textId="77777777" w:rsidR="00395F4A" w:rsidRDefault="00395F4A" w:rsidP="0037690F">
      <w:pPr>
        <w:spacing w:after="0" w:line="240" w:lineRule="auto"/>
      </w:pPr>
      <w:r>
        <w:continuationSeparator/>
      </w:r>
    </w:p>
  </w:footnote>
  <w:footnote w:id="1">
    <w:p w14:paraId="61E394B5" w14:textId="76357008" w:rsidR="006D5C00" w:rsidRPr="003600D8" w:rsidRDefault="006D5C00" w:rsidP="003600D8">
      <w:pPr>
        <w:pStyle w:val="a3"/>
        <w:jc w:val="both"/>
        <w:rPr>
          <w:rFonts w:ascii="Times New Roman" w:hAnsi="Times New Roman" w:cs="Times New Roman"/>
        </w:rPr>
      </w:pPr>
      <w:r w:rsidRPr="003600D8">
        <w:rPr>
          <w:rStyle w:val="a5"/>
          <w:rFonts w:ascii="Times New Roman" w:hAnsi="Times New Roman" w:cs="Times New Roman"/>
        </w:rPr>
        <w:footnoteRef/>
      </w:r>
      <w:r w:rsidRPr="003600D8">
        <w:rPr>
          <w:rFonts w:ascii="Times New Roman" w:hAnsi="Times New Roman" w:cs="Times New Roman"/>
        </w:rPr>
        <w:t xml:space="preserve"> </w:t>
      </w:r>
      <w:proofErr w:type="spellStart"/>
      <w:r w:rsidRPr="003600D8">
        <w:rPr>
          <w:rFonts w:ascii="Times New Roman" w:hAnsi="Times New Roman" w:cs="Times New Roman"/>
        </w:rPr>
        <w:t>Cтатья</w:t>
      </w:r>
      <w:proofErr w:type="spellEnd"/>
      <w:r w:rsidRPr="003600D8">
        <w:rPr>
          <w:rFonts w:ascii="Times New Roman" w:hAnsi="Times New Roman" w:cs="Times New Roman"/>
        </w:rPr>
        <w:t xml:space="preserve"> выполнена в рамках государственного задания № FMGZ-2025-0011 «Обеспечение устойчивости экономики регионов в контексте укрепления технологического суверенитета и национальной безопасности».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60E0E"/>
    <w:multiLevelType w:val="hybridMultilevel"/>
    <w:tmpl w:val="5246CEB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AC86803"/>
    <w:multiLevelType w:val="hybridMultilevel"/>
    <w:tmpl w:val="2B362F5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D244645"/>
    <w:multiLevelType w:val="hybridMultilevel"/>
    <w:tmpl w:val="F96096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1E532F"/>
    <w:multiLevelType w:val="hybridMultilevel"/>
    <w:tmpl w:val="BD8E6814"/>
    <w:lvl w:ilvl="0" w:tplc="56A08CD8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  <w:bCs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2A02A5B"/>
    <w:multiLevelType w:val="hybridMultilevel"/>
    <w:tmpl w:val="3522B7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6EB56B9"/>
    <w:multiLevelType w:val="hybridMultilevel"/>
    <w:tmpl w:val="5F6C10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B4F"/>
    <w:rsid w:val="00083730"/>
    <w:rsid w:val="003600D8"/>
    <w:rsid w:val="0037690F"/>
    <w:rsid w:val="00395F4A"/>
    <w:rsid w:val="005D56AC"/>
    <w:rsid w:val="00601587"/>
    <w:rsid w:val="006D5C00"/>
    <w:rsid w:val="007572C6"/>
    <w:rsid w:val="00904B4F"/>
    <w:rsid w:val="00C86F58"/>
    <w:rsid w:val="00CF3805"/>
    <w:rsid w:val="00D360C9"/>
    <w:rsid w:val="00E93C04"/>
    <w:rsid w:val="00F43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FA53D"/>
  <w15:chartTrackingRefBased/>
  <w15:docId w15:val="{16D58F87-8ACE-4677-AA32-93C84273C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7690F"/>
    <w:pPr>
      <w:spacing w:after="160" w:line="259" w:lineRule="auto"/>
      <w:ind w:firstLine="0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a"/>
    <w:link w:val="10"/>
    <w:uiPriority w:val="9"/>
    <w:qFormat/>
    <w:rsid w:val="0037690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7690F"/>
    <w:rPr>
      <w:rFonts w:eastAsia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unhideWhenUsed/>
    <w:rsid w:val="0037690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37690F"/>
    <w:rPr>
      <w:rFonts w:asciiTheme="minorHAnsi" w:hAnsiTheme="minorHAnsi" w:cstheme="minorBidi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7690F"/>
    <w:rPr>
      <w:vertAlign w:val="superscript"/>
    </w:rPr>
  </w:style>
  <w:style w:type="paragraph" w:styleId="a6">
    <w:name w:val="List Paragraph"/>
    <w:basedOn w:val="a"/>
    <w:uiPriority w:val="34"/>
    <w:qFormat/>
    <w:rsid w:val="0037690F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F3805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CF38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54F989-B4B9-4901-92D6-C8D7E2174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1927</Words>
  <Characters>10984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 А. Крюков</dc:creator>
  <cp:keywords/>
  <dc:description/>
  <cp:lastModifiedBy>Иван А. Крюков</cp:lastModifiedBy>
  <cp:revision>5</cp:revision>
  <dcterms:created xsi:type="dcterms:W3CDTF">2025-05-12T10:02:00Z</dcterms:created>
  <dcterms:modified xsi:type="dcterms:W3CDTF">2025-05-15T05:51:00Z</dcterms:modified>
</cp:coreProperties>
</file>