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harts/chart1.xml" ContentType="application/vnd.openxmlformats-officedocument.drawingml.chart+xml"/>
  <Override PartName="/word/charts/style1.xml" ContentType="application/vnd.ms-office.chartstyle+xml"/>
  <Override PartName="/word/charts/colors1.xml" ContentType="application/vnd.ms-office.chartcolorstyle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D673322" w14:textId="04DFCE78" w:rsidR="00B4705D" w:rsidRDefault="00B4705D" w:rsidP="00E06949">
      <w:pPr>
        <w:spacing w:after="0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УДК: 336</w:t>
      </w:r>
    </w:p>
    <w:p w14:paraId="190090B0" w14:textId="4CB2025F" w:rsidR="00B4705D" w:rsidRDefault="00B4705D" w:rsidP="00E06949">
      <w:pPr>
        <w:spacing w:after="0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ББК: </w:t>
      </w:r>
      <w:r w:rsidRPr="00B4705D">
        <w:rPr>
          <w:rFonts w:ascii="Times New Roman" w:hAnsi="Times New Roman" w:cs="Times New Roman"/>
          <w:b/>
          <w:bCs/>
          <w:sz w:val="24"/>
          <w:szCs w:val="24"/>
        </w:rPr>
        <w:t>65.05</w:t>
      </w:r>
    </w:p>
    <w:p w14:paraId="7F3126C6" w14:textId="1BA97D82" w:rsidR="00B0745F" w:rsidRDefault="00B0745F" w:rsidP="00E06949">
      <w:pPr>
        <w:spacing w:after="0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166C5DE2" w14:textId="0A462309" w:rsidR="00B0745F" w:rsidRPr="009B03C3" w:rsidRDefault="00B0745F" w:rsidP="009B03C3">
      <w:pPr>
        <w:widowControl w:val="0"/>
        <w:spacing w:after="0" w:line="240" w:lineRule="auto"/>
        <w:jc w:val="right"/>
        <w:rPr>
          <w:rFonts w:ascii="Times New Roman" w:hAnsi="Times New Roman"/>
          <w:b/>
          <w:bCs/>
          <w:i/>
          <w:iCs/>
          <w:sz w:val="24"/>
          <w:szCs w:val="24"/>
        </w:rPr>
      </w:pPr>
      <w:r w:rsidRPr="00B0745F">
        <w:rPr>
          <w:rFonts w:ascii="Times New Roman" w:hAnsi="Times New Roman"/>
          <w:b/>
          <w:bCs/>
          <w:i/>
          <w:iCs/>
          <w:sz w:val="24"/>
          <w:szCs w:val="24"/>
        </w:rPr>
        <w:t>Ларионов А</w:t>
      </w:r>
      <w:r w:rsidR="009B03C3">
        <w:rPr>
          <w:rFonts w:ascii="Times New Roman" w:hAnsi="Times New Roman"/>
          <w:b/>
          <w:bCs/>
          <w:i/>
          <w:iCs/>
          <w:sz w:val="24"/>
          <w:szCs w:val="24"/>
        </w:rPr>
        <w:t>.</w:t>
      </w:r>
      <w:r w:rsidRPr="00B0745F">
        <w:rPr>
          <w:rFonts w:ascii="Times New Roman" w:hAnsi="Times New Roman"/>
          <w:b/>
          <w:bCs/>
          <w:i/>
          <w:iCs/>
          <w:sz w:val="24"/>
          <w:szCs w:val="24"/>
        </w:rPr>
        <w:t>В</w:t>
      </w:r>
      <w:r w:rsidR="009B03C3">
        <w:rPr>
          <w:rFonts w:ascii="Times New Roman" w:hAnsi="Times New Roman"/>
          <w:b/>
          <w:bCs/>
          <w:i/>
          <w:iCs/>
          <w:sz w:val="24"/>
          <w:szCs w:val="24"/>
        </w:rPr>
        <w:t>.</w:t>
      </w:r>
    </w:p>
    <w:p w14:paraId="2474F1BD" w14:textId="77777777" w:rsidR="009B03C3" w:rsidRDefault="009B03C3" w:rsidP="00E06949">
      <w:pPr>
        <w:jc w:val="center"/>
        <w:rPr>
          <w:rFonts w:ascii="Times New Roman" w:hAnsi="Times New Roman"/>
          <w:sz w:val="24"/>
          <w:szCs w:val="24"/>
        </w:rPr>
      </w:pPr>
    </w:p>
    <w:p w14:paraId="5E267AA3" w14:textId="084399EE" w:rsidR="00F86A3B" w:rsidRDefault="00F86A3B" w:rsidP="00E06949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E06949">
        <w:rPr>
          <w:rFonts w:ascii="Times New Roman" w:hAnsi="Times New Roman" w:cs="Times New Roman"/>
          <w:b/>
          <w:bCs/>
          <w:sz w:val="24"/>
          <w:szCs w:val="24"/>
        </w:rPr>
        <w:t>Перспектив</w:t>
      </w:r>
      <w:r w:rsidR="00E06949" w:rsidRPr="00E06949">
        <w:rPr>
          <w:rFonts w:ascii="Times New Roman" w:hAnsi="Times New Roman" w:cs="Times New Roman"/>
          <w:b/>
          <w:bCs/>
          <w:sz w:val="24"/>
          <w:szCs w:val="24"/>
        </w:rPr>
        <w:t>ы развития специализированных инструментов рефинансирования Банка России для обеспечения экономической безопасности</w:t>
      </w:r>
    </w:p>
    <w:p w14:paraId="507EE760" w14:textId="68E0F6B4" w:rsidR="00DA1150" w:rsidRDefault="00DA1150" w:rsidP="00D4329C">
      <w:pPr>
        <w:spacing w:after="0"/>
        <w:rPr>
          <w:rFonts w:ascii="Times New Roman" w:hAnsi="Times New Roman" w:cs="Times New Roman"/>
          <w:b/>
          <w:bCs/>
          <w:sz w:val="24"/>
          <w:szCs w:val="24"/>
        </w:rPr>
      </w:pPr>
      <w:r w:rsidRPr="00B2454C">
        <w:rPr>
          <w:rFonts w:ascii="Times New Roman" w:hAnsi="Times New Roman" w:cs="Times New Roman"/>
          <w:b/>
          <w:bCs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</w:rPr>
        <w:t>Аннотация</w:t>
      </w:r>
    </w:p>
    <w:p w14:paraId="2D795A55" w14:textId="35916A7C" w:rsidR="00DA1150" w:rsidRPr="00D4329C" w:rsidRDefault="00DA1150" w:rsidP="00D4329C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DA1150">
        <w:rPr>
          <w:rFonts w:ascii="Times New Roman" w:hAnsi="Times New Roman" w:cs="Times New Roman"/>
          <w:sz w:val="24"/>
          <w:szCs w:val="24"/>
        </w:rPr>
        <w:t>Специализированные инструменты рефинансирования</w:t>
      </w:r>
      <w:r w:rsidR="00B46A02">
        <w:rPr>
          <w:rFonts w:ascii="Times New Roman" w:hAnsi="Times New Roman" w:cs="Times New Roman"/>
          <w:sz w:val="24"/>
          <w:szCs w:val="24"/>
        </w:rPr>
        <w:t xml:space="preserve"> Банка России</w:t>
      </w:r>
      <w:r w:rsidRPr="00DA1150">
        <w:rPr>
          <w:rFonts w:ascii="Times New Roman" w:hAnsi="Times New Roman" w:cs="Times New Roman"/>
          <w:sz w:val="24"/>
          <w:szCs w:val="24"/>
        </w:rPr>
        <w:t xml:space="preserve"> предполагают</w:t>
      </w:r>
      <w:r>
        <w:rPr>
          <w:rFonts w:ascii="Times New Roman" w:hAnsi="Times New Roman" w:cs="Times New Roman"/>
          <w:sz w:val="24"/>
          <w:szCs w:val="24"/>
        </w:rPr>
        <w:t xml:space="preserve"> предоставление ликвидности по </w:t>
      </w:r>
      <w:r w:rsidR="00B46A02">
        <w:rPr>
          <w:rFonts w:ascii="Times New Roman" w:hAnsi="Times New Roman" w:cs="Times New Roman"/>
          <w:sz w:val="24"/>
          <w:szCs w:val="24"/>
        </w:rPr>
        <w:t xml:space="preserve">льготной </w:t>
      </w:r>
      <w:r>
        <w:rPr>
          <w:rFonts w:ascii="Times New Roman" w:hAnsi="Times New Roman" w:cs="Times New Roman"/>
          <w:sz w:val="24"/>
          <w:szCs w:val="24"/>
        </w:rPr>
        <w:t xml:space="preserve">процентной ставке. </w:t>
      </w:r>
      <w:r w:rsidR="00B46A02">
        <w:rPr>
          <w:rFonts w:ascii="Times New Roman" w:hAnsi="Times New Roman" w:cs="Times New Roman"/>
          <w:sz w:val="24"/>
          <w:szCs w:val="24"/>
        </w:rPr>
        <w:t xml:space="preserve">Привлекательность данных инструментов зависит </w:t>
      </w:r>
      <w:r w:rsidR="000B3F24">
        <w:rPr>
          <w:rFonts w:ascii="Times New Roman" w:hAnsi="Times New Roman" w:cs="Times New Roman"/>
          <w:sz w:val="24"/>
          <w:szCs w:val="24"/>
        </w:rPr>
        <w:t xml:space="preserve">и </w:t>
      </w:r>
      <w:r w:rsidR="00B46A02">
        <w:rPr>
          <w:rFonts w:ascii="Times New Roman" w:hAnsi="Times New Roman" w:cs="Times New Roman"/>
          <w:sz w:val="24"/>
          <w:szCs w:val="24"/>
        </w:rPr>
        <w:t xml:space="preserve">от иных параметров, включая </w:t>
      </w:r>
      <w:r w:rsidR="00D4329C" w:rsidRPr="00D4329C">
        <w:rPr>
          <w:rFonts w:ascii="Times New Roman" w:hAnsi="Times New Roman" w:cs="Times New Roman"/>
          <w:sz w:val="24"/>
          <w:szCs w:val="24"/>
        </w:rPr>
        <w:t>требования к обеспечению, сроки кредитования, тип заемщика, лимит кредитования</w:t>
      </w:r>
      <w:r w:rsidR="00B46A02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05DE909B" w14:textId="3F313426" w:rsidR="00DA1150" w:rsidRPr="00DA1150" w:rsidRDefault="00DA1150" w:rsidP="008C2C72">
      <w:pPr>
        <w:spacing w:after="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ab/>
        <w:t xml:space="preserve">Ключевые слова: </w:t>
      </w:r>
      <w:r w:rsidRPr="00DA1150">
        <w:rPr>
          <w:rFonts w:ascii="Times New Roman" w:hAnsi="Times New Roman" w:cs="Times New Roman"/>
          <w:sz w:val="24"/>
          <w:szCs w:val="24"/>
        </w:rPr>
        <w:t xml:space="preserve">Банк России, денежно-кредитная политика, специализированные инструменты рефинансирования, ключевая ставка, финансовая стабильность, </w:t>
      </w:r>
      <w:r>
        <w:rPr>
          <w:rFonts w:ascii="Times New Roman" w:hAnsi="Times New Roman" w:cs="Times New Roman"/>
          <w:sz w:val="24"/>
          <w:szCs w:val="24"/>
        </w:rPr>
        <w:t>экономическая безопасность</w:t>
      </w:r>
    </w:p>
    <w:p w14:paraId="32F129E5" w14:textId="4AFA43E3" w:rsidR="00DA1150" w:rsidRPr="00B2454C" w:rsidRDefault="00DA1150" w:rsidP="00DA1150">
      <w:pPr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ab/>
      </w:r>
    </w:p>
    <w:p w14:paraId="24723265" w14:textId="41887162" w:rsidR="009205B7" w:rsidRPr="00DD22D0" w:rsidRDefault="00F86A3B" w:rsidP="009205B7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B2454C">
        <w:rPr>
          <w:sz w:val="23"/>
          <w:szCs w:val="23"/>
        </w:rPr>
        <w:tab/>
      </w:r>
      <w:r w:rsidRPr="00E06949">
        <w:rPr>
          <w:rFonts w:ascii="Times New Roman" w:hAnsi="Times New Roman" w:cs="Times New Roman"/>
          <w:sz w:val="24"/>
          <w:szCs w:val="24"/>
        </w:rPr>
        <w:t>Представленное исследование раскрывает перспективные направления развития специализированных инструментов</w:t>
      </w:r>
      <w:r w:rsidR="000B3F24">
        <w:rPr>
          <w:rFonts w:ascii="Times New Roman" w:hAnsi="Times New Roman" w:cs="Times New Roman"/>
          <w:sz w:val="24"/>
          <w:szCs w:val="24"/>
        </w:rPr>
        <w:t xml:space="preserve"> рефинансирования</w:t>
      </w:r>
      <w:r w:rsidRPr="00E06949">
        <w:rPr>
          <w:rFonts w:ascii="Times New Roman" w:hAnsi="Times New Roman" w:cs="Times New Roman"/>
          <w:sz w:val="24"/>
          <w:szCs w:val="24"/>
        </w:rPr>
        <w:t xml:space="preserve"> Банка России </w:t>
      </w:r>
      <w:r w:rsidR="001C2E4A">
        <w:rPr>
          <w:rFonts w:ascii="Times New Roman" w:hAnsi="Times New Roman" w:cs="Times New Roman"/>
          <w:sz w:val="24"/>
          <w:szCs w:val="24"/>
        </w:rPr>
        <w:t>для</w:t>
      </w:r>
      <w:r w:rsidRPr="00E06949">
        <w:rPr>
          <w:rFonts w:ascii="Times New Roman" w:hAnsi="Times New Roman" w:cs="Times New Roman"/>
          <w:sz w:val="24"/>
          <w:szCs w:val="24"/>
        </w:rPr>
        <w:t xml:space="preserve"> обеспечения экономической </w:t>
      </w:r>
      <w:r w:rsidRPr="000C370B">
        <w:rPr>
          <w:rFonts w:ascii="Times New Roman" w:hAnsi="Times New Roman" w:cs="Times New Roman"/>
          <w:sz w:val="24"/>
          <w:szCs w:val="24"/>
        </w:rPr>
        <w:t xml:space="preserve">безопасности. В соответствии с Указом Президента РФ от 13.05.2017 № 208 </w:t>
      </w:r>
      <w:r w:rsidR="000B3F24">
        <w:rPr>
          <w:rFonts w:ascii="Times New Roman" w:hAnsi="Times New Roman" w:cs="Times New Roman"/>
          <w:sz w:val="24"/>
          <w:szCs w:val="24"/>
        </w:rPr>
        <w:t>«</w:t>
      </w:r>
      <w:r w:rsidRPr="000C370B">
        <w:rPr>
          <w:rFonts w:ascii="Times New Roman" w:hAnsi="Times New Roman" w:cs="Times New Roman"/>
          <w:sz w:val="24"/>
          <w:szCs w:val="24"/>
        </w:rPr>
        <w:t>О Стратегии экономической безопасности Российской Федерации на период до 2030 года</w:t>
      </w:r>
      <w:r w:rsidR="000B3F24">
        <w:rPr>
          <w:rFonts w:ascii="Times New Roman" w:hAnsi="Times New Roman" w:cs="Times New Roman"/>
          <w:sz w:val="24"/>
          <w:szCs w:val="24"/>
        </w:rPr>
        <w:t>»</w:t>
      </w:r>
      <w:r w:rsidRPr="000C370B">
        <w:rPr>
          <w:rFonts w:ascii="Times New Roman" w:hAnsi="Times New Roman" w:cs="Times New Roman"/>
          <w:sz w:val="24"/>
          <w:szCs w:val="24"/>
        </w:rPr>
        <w:t xml:space="preserve"> одной из ключевых целей в сфере экономической безопасности является «обеспечение экономического роста». </w:t>
      </w:r>
      <w:r w:rsidR="004D03E4">
        <w:rPr>
          <w:rFonts w:ascii="Times New Roman" w:hAnsi="Times New Roman" w:cs="Times New Roman"/>
          <w:sz w:val="24"/>
          <w:szCs w:val="24"/>
        </w:rPr>
        <w:t xml:space="preserve">Для обеспечения </w:t>
      </w:r>
      <w:r w:rsidR="000C370B" w:rsidRPr="000C370B">
        <w:rPr>
          <w:rFonts w:ascii="Times New Roman" w:hAnsi="Times New Roman" w:cs="Times New Roman"/>
          <w:sz w:val="24"/>
          <w:szCs w:val="24"/>
        </w:rPr>
        <w:t xml:space="preserve">экономического роста </w:t>
      </w:r>
      <w:r w:rsidR="004D03E4">
        <w:rPr>
          <w:rFonts w:ascii="Times New Roman" w:hAnsi="Times New Roman" w:cs="Times New Roman"/>
          <w:sz w:val="24"/>
          <w:szCs w:val="24"/>
        </w:rPr>
        <w:t>требуется поддержание</w:t>
      </w:r>
      <w:r w:rsidR="000C370B" w:rsidRPr="000C370B">
        <w:rPr>
          <w:rFonts w:ascii="Times New Roman" w:hAnsi="Times New Roman" w:cs="Times New Roman"/>
          <w:sz w:val="24"/>
          <w:szCs w:val="24"/>
        </w:rPr>
        <w:t xml:space="preserve"> ценовой стабильности, что достигается с помощью различных инструментов денежно-кредитной политики</w:t>
      </w:r>
      <w:r w:rsidRPr="000C370B">
        <w:rPr>
          <w:rFonts w:ascii="Times New Roman" w:hAnsi="Times New Roman" w:cs="Times New Roman"/>
          <w:sz w:val="24"/>
          <w:szCs w:val="24"/>
        </w:rPr>
        <w:t xml:space="preserve"> Банк</w:t>
      </w:r>
      <w:r w:rsidR="000C370B" w:rsidRPr="000C370B">
        <w:rPr>
          <w:rFonts w:ascii="Times New Roman" w:hAnsi="Times New Roman" w:cs="Times New Roman"/>
          <w:sz w:val="24"/>
          <w:szCs w:val="24"/>
        </w:rPr>
        <w:t>а</w:t>
      </w:r>
      <w:r w:rsidRPr="000C370B">
        <w:rPr>
          <w:rFonts w:ascii="Times New Roman" w:hAnsi="Times New Roman" w:cs="Times New Roman"/>
          <w:sz w:val="24"/>
          <w:szCs w:val="24"/>
        </w:rPr>
        <w:t xml:space="preserve"> России</w:t>
      </w:r>
      <w:r w:rsidR="000C370B" w:rsidRPr="000C370B">
        <w:rPr>
          <w:rFonts w:ascii="Times New Roman" w:hAnsi="Times New Roman" w:cs="Times New Roman"/>
          <w:sz w:val="24"/>
          <w:szCs w:val="24"/>
        </w:rPr>
        <w:t>. При этом, ключевую роль в реализации денежно-кредитной политики играют инструменты рефинансирования</w:t>
      </w:r>
      <w:r w:rsidR="00B4705D">
        <w:rPr>
          <w:rFonts w:ascii="Times New Roman" w:hAnsi="Times New Roman" w:cs="Times New Roman"/>
          <w:sz w:val="24"/>
          <w:szCs w:val="24"/>
        </w:rPr>
        <w:t xml:space="preserve"> </w:t>
      </w:r>
      <w:r w:rsidR="00B4705D" w:rsidRPr="00B4705D">
        <w:rPr>
          <w:rFonts w:ascii="Times New Roman" w:hAnsi="Times New Roman" w:cs="Times New Roman"/>
          <w:sz w:val="24"/>
          <w:szCs w:val="24"/>
        </w:rPr>
        <w:t>[1]</w:t>
      </w:r>
      <w:r w:rsidR="000C370B" w:rsidRPr="000C370B">
        <w:rPr>
          <w:rFonts w:ascii="Times New Roman" w:hAnsi="Times New Roman" w:cs="Times New Roman"/>
          <w:sz w:val="24"/>
          <w:szCs w:val="24"/>
        </w:rPr>
        <w:t>. Вместе с тем параметры инструментов рефинансирования Банка России ориентированы, прежде всего, на достижение цели по инфляции.</w:t>
      </w:r>
      <w:r w:rsidR="001C2E4A">
        <w:rPr>
          <w:rFonts w:ascii="Times New Roman" w:hAnsi="Times New Roman" w:cs="Times New Roman"/>
          <w:sz w:val="24"/>
          <w:szCs w:val="24"/>
        </w:rPr>
        <w:t xml:space="preserve"> </w:t>
      </w:r>
      <w:r w:rsidR="000C370B" w:rsidRPr="000C370B">
        <w:rPr>
          <w:rFonts w:ascii="Times New Roman" w:hAnsi="Times New Roman" w:cs="Times New Roman"/>
          <w:sz w:val="24"/>
          <w:szCs w:val="24"/>
        </w:rPr>
        <w:t>С учетом необходимости поддержания экономического роста Банк России также реализует систему специализированных инструментов рефинансирования</w:t>
      </w:r>
      <w:r w:rsidR="001C2E4A">
        <w:rPr>
          <w:rFonts w:ascii="Times New Roman" w:hAnsi="Times New Roman" w:cs="Times New Roman"/>
          <w:sz w:val="24"/>
          <w:szCs w:val="24"/>
        </w:rPr>
        <w:t>, которые направлены на адресную поддержку субъектов в целевых отраслях экономики</w:t>
      </w:r>
      <w:r w:rsidR="000C370B" w:rsidRPr="000C370B">
        <w:rPr>
          <w:rFonts w:ascii="Times New Roman" w:hAnsi="Times New Roman" w:cs="Times New Roman"/>
          <w:sz w:val="24"/>
          <w:szCs w:val="24"/>
        </w:rPr>
        <w:t xml:space="preserve">. </w:t>
      </w:r>
      <w:r w:rsidRPr="000C370B">
        <w:rPr>
          <w:rFonts w:ascii="Times New Roman" w:hAnsi="Times New Roman" w:cs="Times New Roman"/>
          <w:sz w:val="24"/>
          <w:szCs w:val="24"/>
        </w:rPr>
        <w:t xml:space="preserve">Ключевая идея специализированных инструментов рефинансирования </w:t>
      </w:r>
      <w:r w:rsidR="00771821" w:rsidRPr="000C370B">
        <w:rPr>
          <w:rFonts w:ascii="Times New Roman" w:hAnsi="Times New Roman" w:cs="Times New Roman"/>
          <w:sz w:val="24"/>
          <w:szCs w:val="24"/>
        </w:rPr>
        <w:t>заключается в предоставлении возможности кредитования определенных субъектов экономики по</w:t>
      </w:r>
      <w:r w:rsidR="00B0745F">
        <w:rPr>
          <w:rFonts w:ascii="Times New Roman" w:hAnsi="Times New Roman" w:cs="Times New Roman"/>
          <w:sz w:val="24"/>
          <w:szCs w:val="24"/>
        </w:rPr>
        <w:t xml:space="preserve"> ставке</w:t>
      </w:r>
      <w:r w:rsidR="004D03E4">
        <w:rPr>
          <w:rFonts w:ascii="Times New Roman" w:hAnsi="Times New Roman" w:cs="Times New Roman"/>
          <w:sz w:val="24"/>
          <w:szCs w:val="24"/>
        </w:rPr>
        <w:t xml:space="preserve"> ниже </w:t>
      </w:r>
      <w:r w:rsidR="00771821" w:rsidRPr="000C370B">
        <w:rPr>
          <w:rFonts w:ascii="Times New Roman" w:hAnsi="Times New Roman" w:cs="Times New Roman"/>
          <w:sz w:val="24"/>
          <w:szCs w:val="24"/>
        </w:rPr>
        <w:t>ключевой.</w:t>
      </w:r>
      <w:r w:rsidR="00B0745F">
        <w:rPr>
          <w:rFonts w:ascii="Times New Roman" w:hAnsi="Times New Roman" w:cs="Times New Roman"/>
          <w:sz w:val="24"/>
          <w:szCs w:val="24"/>
        </w:rPr>
        <w:t xml:space="preserve"> </w:t>
      </w:r>
      <w:r w:rsidR="004D03E4">
        <w:rPr>
          <w:rFonts w:ascii="Times New Roman" w:hAnsi="Times New Roman" w:cs="Times New Roman"/>
          <w:sz w:val="24"/>
          <w:szCs w:val="24"/>
        </w:rPr>
        <w:t xml:space="preserve">В результате даже при существенном росте ключевой ставки ряд субъектов экономики получают доступ к более дешевой ликвидности. Подобные нетрадиционные инструменты денежно-кредитной политики реализуются в различных </w:t>
      </w:r>
      <w:r w:rsidR="00DD22D0">
        <w:rPr>
          <w:rFonts w:ascii="Times New Roman" w:hAnsi="Times New Roman" w:cs="Times New Roman"/>
          <w:sz w:val="24"/>
          <w:szCs w:val="24"/>
        </w:rPr>
        <w:t>странах, включая страны ЕС</w:t>
      </w:r>
      <w:r w:rsidR="00B4705D" w:rsidRPr="00B4705D">
        <w:rPr>
          <w:rFonts w:ascii="Times New Roman" w:hAnsi="Times New Roman" w:cs="Times New Roman"/>
          <w:sz w:val="24"/>
          <w:szCs w:val="24"/>
        </w:rPr>
        <w:t xml:space="preserve"> [2]</w:t>
      </w:r>
      <w:r w:rsidR="00DD22D0">
        <w:rPr>
          <w:rFonts w:ascii="Times New Roman" w:hAnsi="Times New Roman" w:cs="Times New Roman"/>
          <w:sz w:val="24"/>
          <w:szCs w:val="24"/>
        </w:rPr>
        <w:t>, Китай</w:t>
      </w:r>
      <w:r w:rsidR="00B4705D" w:rsidRPr="00B4705D">
        <w:rPr>
          <w:rFonts w:ascii="Times New Roman" w:hAnsi="Times New Roman" w:cs="Times New Roman"/>
          <w:sz w:val="24"/>
          <w:szCs w:val="24"/>
        </w:rPr>
        <w:t xml:space="preserve"> [3]</w:t>
      </w:r>
      <w:r w:rsidR="00DD22D0">
        <w:rPr>
          <w:rFonts w:ascii="Times New Roman" w:hAnsi="Times New Roman" w:cs="Times New Roman"/>
          <w:sz w:val="24"/>
          <w:szCs w:val="24"/>
        </w:rPr>
        <w:t>.</w:t>
      </w:r>
    </w:p>
    <w:p w14:paraId="4C2379FF" w14:textId="5FE4A9CD" w:rsidR="00F86A3B" w:rsidRDefault="009205B7" w:rsidP="009205B7">
      <w:pPr>
        <w:spacing w:after="0"/>
        <w:jc w:val="both"/>
        <w:rPr>
          <w:sz w:val="23"/>
          <w:szCs w:val="23"/>
        </w:rPr>
      </w:pPr>
      <w:r>
        <w:rPr>
          <w:rFonts w:ascii="Times New Roman" w:hAnsi="Times New Roman" w:cs="Times New Roman"/>
          <w:sz w:val="24"/>
          <w:szCs w:val="24"/>
        </w:rPr>
        <w:tab/>
      </w:r>
      <w:r w:rsidR="004D03E4">
        <w:rPr>
          <w:rFonts w:ascii="Times New Roman" w:hAnsi="Times New Roman" w:cs="Times New Roman"/>
          <w:sz w:val="24"/>
          <w:szCs w:val="24"/>
        </w:rPr>
        <w:t>На практике</w:t>
      </w:r>
      <w:r w:rsidR="00B0745F">
        <w:rPr>
          <w:rFonts w:ascii="Times New Roman" w:hAnsi="Times New Roman" w:cs="Times New Roman"/>
          <w:sz w:val="24"/>
          <w:szCs w:val="24"/>
        </w:rPr>
        <w:t xml:space="preserve">, если посмотреть на динамику </w:t>
      </w:r>
      <w:r w:rsidR="005B0612">
        <w:rPr>
          <w:rFonts w:ascii="Times New Roman" w:hAnsi="Times New Roman" w:cs="Times New Roman"/>
          <w:sz w:val="24"/>
          <w:szCs w:val="24"/>
        </w:rPr>
        <w:t>процентных ставок</w:t>
      </w:r>
      <w:r w:rsidR="00B0745F">
        <w:rPr>
          <w:rFonts w:ascii="Times New Roman" w:hAnsi="Times New Roman" w:cs="Times New Roman"/>
          <w:sz w:val="24"/>
          <w:szCs w:val="24"/>
        </w:rPr>
        <w:t xml:space="preserve">, </w:t>
      </w:r>
      <w:r w:rsidR="00431E42">
        <w:rPr>
          <w:rFonts w:ascii="Times New Roman" w:hAnsi="Times New Roman" w:cs="Times New Roman"/>
          <w:sz w:val="24"/>
          <w:szCs w:val="24"/>
        </w:rPr>
        <w:t>то очевидно, что процентные ставки по ряду специализированных инструментов рефинансирования незначительно отличаются от ключевой ставки</w:t>
      </w:r>
      <w:r>
        <w:rPr>
          <w:rFonts w:ascii="Times New Roman" w:hAnsi="Times New Roman" w:cs="Times New Roman"/>
          <w:sz w:val="24"/>
          <w:szCs w:val="24"/>
        </w:rPr>
        <w:t xml:space="preserve"> (рисунок 1)</w:t>
      </w:r>
      <w:r w:rsidR="00431E42">
        <w:rPr>
          <w:rFonts w:ascii="Times New Roman" w:hAnsi="Times New Roman" w:cs="Times New Roman"/>
          <w:sz w:val="24"/>
          <w:szCs w:val="24"/>
        </w:rPr>
        <w:t>. Вместе с тем, по инструменту «</w:t>
      </w:r>
      <w:r w:rsidR="00431E42" w:rsidRPr="00431E42">
        <w:rPr>
          <w:rFonts w:ascii="Times New Roman" w:hAnsi="Times New Roman" w:cs="Times New Roman"/>
          <w:sz w:val="24"/>
          <w:szCs w:val="24"/>
        </w:rPr>
        <w:t>Поддержка инвестиционных проектов в отдельных субъектах РФ</w:t>
      </w:r>
      <w:r w:rsidR="00431E42">
        <w:rPr>
          <w:rFonts w:ascii="Times New Roman" w:hAnsi="Times New Roman" w:cs="Times New Roman"/>
          <w:sz w:val="24"/>
          <w:szCs w:val="24"/>
        </w:rPr>
        <w:t>» ставка практически не менялась на фоне существенного роста ключевой ставки Банка России.</w:t>
      </w:r>
      <w:r w:rsidR="005B0612">
        <w:rPr>
          <w:rFonts w:ascii="Times New Roman" w:hAnsi="Times New Roman" w:cs="Times New Roman"/>
          <w:sz w:val="24"/>
          <w:szCs w:val="24"/>
        </w:rPr>
        <w:t xml:space="preserve"> Таким образом, по ряду специализированных инструментов рефинансирования различия между ставками не являются существенным. </w:t>
      </w:r>
    </w:p>
    <w:p w14:paraId="7C1A0C9E" w14:textId="4A295697" w:rsidR="00771821" w:rsidRDefault="00E06949">
      <w:pPr>
        <w:rPr>
          <w:sz w:val="23"/>
          <w:szCs w:val="23"/>
        </w:rPr>
      </w:pPr>
      <w:r>
        <w:rPr>
          <w:noProof/>
        </w:rPr>
        <w:lastRenderedPageBreak/>
        <w:drawing>
          <wp:inline distT="0" distB="0" distL="0" distR="0" wp14:anchorId="2EEBB207" wp14:editId="39C50029">
            <wp:extent cx="6013450" cy="3790950"/>
            <wp:effectExtent l="0" t="0" r="6350" b="0"/>
            <wp:docPr id="1" name="Диаграмма 1">
              <a:extLst xmlns:a="http://schemas.openxmlformats.org/drawingml/2006/main">
                <a:ext uri="{FF2B5EF4-FFF2-40B4-BE49-F238E27FC236}">
                  <a16:creationId xmlns:a16="http://schemas.microsoft.com/office/drawing/2014/main" id="{98F80BF4-0980-4B7A-8A0E-061F80FDEBDC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7"/>
              </a:graphicData>
            </a:graphic>
          </wp:inline>
        </w:drawing>
      </w:r>
    </w:p>
    <w:p w14:paraId="403E7A3B" w14:textId="71609CD7" w:rsidR="009205B7" w:rsidRPr="009205B7" w:rsidRDefault="009205B7" w:rsidP="009205B7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9205B7">
        <w:rPr>
          <w:rFonts w:ascii="Times New Roman" w:hAnsi="Times New Roman" w:cs="Times New Roman"/>
          <w:sz w:val="24"/>
          <w:szCs w:val="24"/>
        </w:rPr>
        <w:t>Рисунок 1. Динамика процентных ставок по специализированным инструментам рефинансирования</w:t>
      </w:r>
    </w:p>
    <w:p w14:paraId="226DE7E8" w14:textId="4DC2E8FD" w:rsidR="009205B7" w:rsidRPr="009205B7" w:rsidRDefault="009205B7" w:rsidP="009205B7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9205B7">
        <w:rPr>
          <w:rFonts w:ascii="Times New Roman" w:hAnsi="Times New Roman" w:cs="Times New Roman"/>
          <w:sz w:val="24"/>
          <w:szCs w:val="24"/>
        </w:rPr>
        <w:t>Источник: построен автором исследования на основе данных Банка России</w:t>
      </w:r>
    </w:p>
    <w:p w14:paraId="49711C9C" w14:textId="2CE92B91" w:rsidR="009205B7" w:rsidRDefault="009205B7" w:rsidP="009205B7">
      <w:pPr>
        <w:spacing w:after="0"/>
        <w:rPr>
          <w:sz w:val="23"/>
          <w:szCs w:val="23"/>
        </w:rPr>
      </w:pPr>
    </w:p>
    <w:p w14:paraId="08392788" w14:textId="11DC1857" w:rsidR="00116B85" w:rsidRPr="00DE70D5" w:rsidRDefault="00116B85" w:rsidP="00116B85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sz w:val="23"/>
          <w:szCs w:val="23"/>
        </w:rPr>
        <w:tab/>
      </w:r>
      <w:r w:rsidR="005B0612">
        <w:rPr>
          <w:rFonts w:ascii="Times New Roman" w:hAnsi="Times New Roman" w:cs="Times New Roman"/>
          <w:sz w:val="24"/>
          <w:szCs w:val="24"/>
        </w:rPr>
        <w:t>Необходимо учитывать</w:t>
      </w:r>
      <w:r w:rsidRPr="00116B85">
        <w:rPr>
          <w:rFonts w:ascii="Times New Roman" w:hAnsi="Times New Roman" w:cs="Times New Roman"/>
          <w:sz w:val="24"/>
          <w:szCs w:val="24"/>
        </w:rPr>
        <w:t>,</w:t>
      </w:r>
      <w:r w:rsidR="005B0612">
        <w:rPr>
          <w:rFonts w:ascii="Times New Roman" w:hAnsi="Times New Roman" w:cs="Times New Roman"/>
          <w:sz w:val="24"/>
          <w:szCs w:val="24"/>
        </w:rPr>
        <w:t xml:space="preserve"> что</w:t>
      </w:r>
      <w:r w:rsidRPr="00116B85">
        <w:rPr>
          <w:rFonts w:ascii="Times New Roman" w:hAnsi="Times New Roman" w:cs="Times New Roman"/>
          <w:sz w:val="24"/>
          <w:szCs w:val="24"/>
        </w:rPr>
        <w:t xml:space="preserve"> значения процентной ставки для финального заемщика буд</w:t>
      </w:r>
      <w:r w:rsidR="00F548D2">
        <w:rPr>
          <w:rFonts w:ascii="Times New Roman" w:hAnsi="Times New Roman" w:cs="Times New Roman"/>
          <w:sz w:val="24"/>
          <w:szCs w:val="24"/>
        </w:rPr>
        <w:t>у</w:t>
      </w:r>
      <w:r w:rsidRPr="00116B85">
        <w:rPr>
          <w:rFonts w:ascii="Times New Roman" w:hAnsi="Times New Roman" w:cs="Times New Roman"/>
          <w:sz w:val="24"/>
          <w:szCs w:val="24"/>
        </w:rPr>
        <w:t>т выше ставки, установленной Банком России. Последнее связано с тем, что</w:t>
      </w:r>
      <w:r w:rsidR="000B3F24">
        <w:rPr>
          <w:rFonts w:ascii="Times New Roman" w:hAnsi="Times New Roman" w:cs="Times New Roman"/>
          <w:sz w:val="24"/>
          <w:szCs w:val="24"/>
        </w:rPr>
        <w:t xml:space="preserve"> в рамках специализированных механизмов рефинансирования</w:t>
      </w:r>
      <w:r w:rsidRPr="00116B85">
        <w:rPr>
          <w:rFonts w:ascii="Times New Roman" w:hAnsi="Times New Roman" w:cs="Times New Roman"/>
          <w:sz w:val="24"/>
          <w:szCs w:val="24"/>
        </w:rPr>
        <w:t xml:space="preserve"> Банк России</w:t>
      </w:r>
      <w:r w:rsidR="000B3F24">
        <w:rPr>
          <w:rFonts w:ascii="Times New Roman" w:hAnsi="Times New Roman" w:cs="Times New Roman"/>
          <w:sz w:val="24"/>
          <w:szCs w:val="24"/>
        </w:rPr>
        <w:t xml:space="preserve"> предоставляет кредиты банкам в целях дальнейшего направления соответствующих денежных средств заемщикам на определенных целевых условиях</w:t>
      </w:r>
      <w:r w:rsidRPr="00116B85">
        <w:rPr>
          <w:rFonts w:ascii="Times New Roman" w:hAnsi="Times New Roman" w:cs="Times New Roman"/>
          <w:sz w:val="24"/>
          <w:szCs w:val="24"/>
        </w:rPr>
        <w:t>. Соответственно, для поддержки организаций реального сектора экономики рефинансирование осуществляется через отдельные банки, которые закладывают расходы на</w:t>
      </w:r>
      <w:r w:rsidR="005B0612">
        <w:rPr>
          <w:rFonts w:ascii="Times New Roman" w:hAnsi="Times New Roman" w:cs="Times New Roman"/>
          <w:sz w:val="24"/>
          <w:szCs w:val="24"/>
        </w:rPr>
        <w:t xml:space="preserve"> осуществление</w:t>
      </w:r>
      <w:r w:rsidRPr="00116B85">
        <w:rPr>
          <w:rFonts w:ascii="Times New Roman" w:hAnsi="Times New Roman" w:cs="Times New Roman"/>
          <w:sz w:val="24"/>
          <w:szCs w:val="24"/>
        </w:rPr>
        <w:t xml:space="preserve"> операци</w:t>
      </w:r>
      <w:r w:rsidR="005B0612">
        <w:rPr>
          <w:rFonts w:ascii="Times New Roman" w:hAnsi="Times New Roman" w:cs="Times New Roman"/>
          <w:sz w:val="24"/>
          <w:szCs w:val="24"/>
        </w:rPr>
        <w:t>й</w:t>
      </w:r>
      <w:r w:rsidRPr="00116B85">
        <w:rPr>
          <w:rFonts w:ascii="Times New Roman" w:hAnsi="Times New Roman" w:cs="Times New Roman"/>
          <w:sz w:val="24"/>
          <w:szCs w:val="24"/>
        </w:rPr>
        <w:t xml:space="preserve"> рефинансирования. В результате процентная ставка для финального заемщика, выше, чем процентная ставка, </w:t>
      </w:r>
      <w:r w:rsidR="005B0612">
        <w:rPr>
          <w:rFonts w:ascii="Times New Roman" w:hAnsi="Times New Roman" w:cs="Times New Roman"/>
          <w:sz w:val="24"/>
          <w:szCs w:val="24"/>
        </w:rPr>
        <w:t>публикуемая Банком России</w:t>
      </w:r>
      <w:r w:rsidRPr="00116B85">
        <w:rPr>
          <w:rFonts w:ascii="Times New Roman" w:hAnsi="Times New Roman" w:cs="Times New Roman"/>
          <w:sz w:val="24"/>
          <w:szCs w:val="24"/>
        </w:rPr>
        <w:t>.</w:t>
      </w:r>
      <w:r w:rsidR="00A25107">
        <w:rPr>
          <w:rFonts w:ascii="Times New Roman" w:hAnsi="Times New Roman" w:cs="Times New Roman"/>
          <w:sz w:val="24"/>
          <w:szCs w:val="24"/>
        </w:rPr>
        <w:t xml:space="preserve"> Для поддержания требуемого уровня результативности специализированных </w:t>
      </w:r>
      <w:r w:rsidR="00A25107" w:rsidRPr="00DE70D5">
        <w:rPr>
          <w:rFonts w:ascii="Times New Roman" w:hAnsi="Times New Roman" w:cs="Times New Roman"/>
          <w:sz w:val="24"/>
          <w:szCs w:val="24"/>
        </w:rPr>
        <w:t>инструментов рефинансирования необходимо продолжить их развити</w:t>
      </w:r>
      <w:r w:rsidR="00F548D2" w:rsidRPr="00DE70D5">
        <w:rPr>
          <w:rFonts w:ascii="Times New Roman" w:hAnsi="Times New Roman" w:cs="Times New Roman"/>
          <w:sz w:val="24"/>
          <w:szCs w:val="24"/>
        </w:rPr>
        <w:t>е</w:t>
      </w:r>
      <w:r w:rsidR="00A25107" w:rsidRPr="00DE70D5">
        <w:rPr>
          <w:rFonts w:ascii="Times New Roman" w:hAnsi="Times New Roman" w:cs="Times New Roman"/>
          <w:sz w:val="24"/>
          <w:szCs w:val="24"/>
        </w:rPr>
        <w:t xml:space="preserve"> по ряду направлений.</w:t>
      </w:r>
    </w:p>
    <w:p w14:paraId="2DD790E2" w14:textId="105F847D" w:rsidR="00116B85" w:rsidRDefault="00A25107" w:rsidP="00116B85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DE70D5">
        <w:rPr>
          <w:rFonts w:ascii="Times New Roman" w:hAnsi="Times New Roman" w:cs="Times New Roman"/>
          <w:sz w:val="24"/>
          <w:szCs w:val="24"/>
        </w:rPr>
        <w:tab/>
        <w:t xml:space="preserve">Во-первых, </w:t>
      </w:r>
      <w:r w:rsidR="00DB533C" w:rsidRPr="00DE70D5">
        <w:rPr>
          <w:rFonts w:ascii="Times New Roman" w:hAnsi="Times New Roman" w:cs="Times New Roman"/>
          <w:sz w:val="24"/>
          <w:szCs w:val="24"/>
        </w:rPr>
        <w:t xml:space="preserve">представляется целесообразным обеспечить равный доступ </w:t>
      </w:r>
      <w:r w:rsidRPr="00DE70D5">
        <w:rPr>
          <w:rFonts w:ascii="Times New Roman" w:hAnsi="Times New Roman" w:cs="Times New Roman"/>
          <w:sz w:val="24"/>
          <w:szCs w:val="24"/>
        </w:rPr>
        <w:t>банков</w:t>
      </w:r>
      <w:r w:rsidR="00DB533C" w:rsidRPr="00DE70D5">
        <w:rPr>
          <w:rFonts w:ascii="Times New Roman" w:hAnsi="Times New Roman" w:cs="Times New Roman"/>
          <w:sz w:val="24"/>
          <w:szCs w:val="24"/>
        </w:rPr>
        <w:t xml:space="preserve">, соответствующих требованиям к финансовой стабильности, к </w:t>
      </w:r>
      <w:r w:rsidRPr="00DE70D5">
        <w:rPr>
          <w:rFonts w:ascii="Times New Roman" w:hAnsi="Times New Roman" w:cs="Times New Roman"/>
          <w:sz w:val="24"/>
          <w:szCs w:val="24"/>
        </w:rPr>
        <w:t>использованию специализированных инструментов рефинансирования.</w:t>
      </w:r>
      <w:r w:rsidR="001616DC" w:rsidRPr="00DE70D5">
        <w:rPr>
          <w:rFonts w:ascii="Times New Roman" w:hAnsi="Times New Roman" w:cs="Times New Roman"/>
          <w:sz w:val="24"/>
          <w:szCs w:val="24"/>
        </w:rPr>
        <w:t xml:space="preserve"> В частности, по инструменту «Кредиты Банка России, направленные на поддержку кредитования субъектов малого и среднего предпринимательства»</w:t>
      </w:r>
      <w:r w:rsidR="001616DC" w:rsidRPr="00DE70D5">
        <w:rPr>
          <w:rStyle w:val="a5"/>
          <w:rFonts w:ascii="Times New Roman" w:hAnsi="Times New Roman" w:cs="Times New Roman"/>
          <w:sz w:val="24"/>
          <w:szCs w:val="24"/>
        </w:rPr>
        <w:footnoteReference w:id="1"/>
      </w:r>
      <w:r w:rsidR="001616DC" w:rsidRPr="00DE70D5">
        <w:rPr>
          <w:rFonts w:ascii="Times New Roman" w:hAnsi="Times New Roman" w:cs="Times New Roman"/>
          <w:sz w:val="24"/>
          <w:szCs w:val="24"/>
        </w:rPr>
        <w:t xml:space="preserve"> Банк России предоставляет доступ к указанному инструменту кредитования на основании запроса АО «Федеральная корпорация по развитию малого и среднего предпринимательства». </w:t>
      </w:r>
      <w:r w:rsidR="00B12B67" w:rsidRPr="00DE70D5">
        <w:rPr>
          <w:rFonts w:ascii="Times New Roman" w:hAnsi="Times New Roman" w:cs="Times New Roman"/>
          <w:sz w:val="24"/>
          <w:szCs w:val="24"/>
        </w:rPr>
        <w:t>Вместе с тем</w:t>
      </w:r>
      <w:r w:rsidR="001616DC" w:rsidRPr="00DE70D5">
        <w:rPr>
          <w:rFonts w:ascii="Times New Roman" w:hAnsi="Times New Roman" w:cs="Times New Roman"/>
          <w:sz w:val="24"/>
          <w:szCs w:val="24"/>
        </w:rPr>
        <w:t xml:space="preserve"> подобная ситуация приводит к возникновению ряда </w:t>
      </w:r>
      <w:r w:rsidR="00DE70D5" w:rsidRPr="00DE70D5">
        <w:rPr>
          <w:rFonts w:ascii="Times New Roman" w:hAnsi="Times New Roman" w:cs="Times New Roman"/>
          <w:sz w:val="24"/>
          <w:szCs w:val="24"/>
        </w:rPr>
        <w:t>рисков. В частности, возрастает вероятность возникновения мягких бюджетных ограничений, нарушаются условия конкурентоспособности банков в части получения доступа к льготному кредитовани</w:t>
      </w:r>
      <w:r w:rsidR="00DE70D5">
        <w:rPr>
          <w:rFonts w:ascii="Times New Roman" w:hAnsi="Times New Roman" w:cs="Times New Roman"/>
          <w:sz w:val="24"/>
          <w:szCs w:val="24"/>
        </w:rPr>
        <w:t>ю</w:t>
      </w:r>
      <w:r w:rsidR="00DE70D5" w:rsidRPr="00DE70D5">
        <w:rPr>
          <w:rFonts w:ascii="Times New Roman" w:hAnsi="Times New Roman" w:cs="Times New Roman"/>
          <w:sz w:val="24"/>
          <w:szCs w:val="24"/>
        </w:rPr>
        <w:t>.</w:t>
      </w:r>
    </w:p>
    <w:p w14:paraId="09711F51" w14:textId="5DA1CDF6" w:rsidR="00771821" w:rsidRDefault="00DE70D5" w:rsidP="00DE70D5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ab/>
        <w:t xml:space="preserve">Во-вторых, </w:t>
      </w:r>
      <w:r w:rsidRPr="00DE70D5">
        <w:rPr>
          <w:rFonts w:ascii="Times New Roman" w:hAnsi="Times New Roman" w:cs="Times New Roman"/>
          <w:sz w:val="24"/>
          <w:szCs w:val="24"/>
        </w:rPr>
        <w:t xml:space="preserve">предоставление кредита </w:t>
      </w:r>
      <w:r w:rsidR="000B3F24">
        <w:rPr>
          <w:rFonts w:ascii="Times New Roman" w:hAnsi="Times New Roman" w:cs="Times New Roman"/>
          <w:sz w:val="24"/>
          <w:szCs w:val="24"/>
        </w:rPr>
        <w:t xml:space="preserve">по </w:t>
      </w:r>
      <w:r>
        <w:rPr>
          <w:rFonts w:ascii="Times New Roman" w:hAnsi="Times New Roman" w:cs="Times New Roman"/>
          <w:sz w:val="24"/>
          <w:szCs w:val="24"/>
        </w:rPr>
        <w:t>ставке, ниже ключевой</w:t>
      </w:r>
      <w:r w:rsidRPr="00DE70D5">
        <w:rPr>
          <w:rFonts w:ascii="Times New Roman" w:hAnsi="Times New Roman" w:cs="Times New Roman"/>
          <w:sz w:val="24"/>
          <w:szCs w:val="24"/>
        </w:rPr>
        <w:t xml:space="preserve"> оказывает негативное воздействие на </w:t>
      </w:r>
      <w:r>
        <w:rPr>
          <w:rFonts w:ascii="Times New Roman" w:hAnsi="Times New Roman" w:cs="Times New Roman"/>
          <w:sz w:val="24"/>
          <w:szCs w:val="24"/>
        </w:rPr>
        <w:t xml:space="preserve">достижение стратегических ориентиров в рамках </w:t>
      </w:r>
      <w:r w:rsidRPr="00DE70D5">
        <w:rPr>
          <w:rFonts w:ascii="Times New Roman" w:hAnsi="Times New Roman" w:cs="Times New Roman"/>
          <w:sz w:val="24"/>
          <w:szCs w:val="24"/>
        </w:rPr>
        <w:t>политик</w:t>
      </w:r>
      <w:r>
        <w:rPr>
          <w:rFonts w:ascii="Times New Roman" w:hAnsi="Times New Roman" w:cs="Times New Roman"/>
          <w:sz w:val="24"/>
          <w:szCs w:val="24"/>
        </w:rPr>
        <w:t>и</w:t>
      </w:r>
      <w:r w:rsidRPr="00DE70D5">
        <w:rPr>
          <w:rFonts w:ascii="Times New Roman" w:hAnsi="Times New Roman" w:cs="Times New Roman"/>
          <w:sz w:val="24"/>
          <w:szCs w:val="24"/>
        </w:rPr>
        <w:t xml:space="preserve"> таргетирования инфляции.</w:t>
      </w:r>
      <w:r>
        <w:rPr>
          <w:rFonts w:ascii="Times New Roman" w:hAnsi="Times New Roman" w:cs="Times New Roman"/>
          <w:sz w:val="24"/>
          <w:szCs w:val="24"/>
        </w:rPr>
        <w:t xml:space="preserve"> Предоставление кредитов по льготной процентной ставке определяет предоставление более дешевых кредитов. Для компенсации негативных эффектов при реализации политики таргетирования инфляции, Банк России, вероятно, вынужден увеличивать </w:t>
      </w:r>
      <w:r w:rsidR="009B03C3">
        <w:rPr>
          <w:rFonts w:ascii="Times New Roman" w:hAnsi="Times New Roman" w:cs="Times New Roman"/>
          <w:sz w:val="24"/>
          <w:szCs w:val="24"/>
        </w:rPr>
        <w:t>размер</w:t>
      </w:r>
      <w:r>
        <w:rPr>
          <w:rFonts w:ascii="Times New Roman" w:hAnsi="Times New Roman" w:cs="Times New Roman"/>
          <w:sz w:val="24"/>
          <w:szCs w:val="24"/>
        </w:rPr>
        <w:t xml:space="preserve"> ключевой ставки. За счет этого происходит перенос издержек при предоставлении льготных кредитов на всю экономику. Данный аспект объясняет ограниченное применение специализированных инструментов рефинансирования со стороны Банка России.</w:t>
      </w:r>
      <w:r w:rsidRPr="00DE70D5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2BF679AE" w14:textId="19E60DE4" w:rsidR="00DE70D5" w:rsidRDefault="00DE70D5" w:rsidP="00DE70D5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В-третьих, </w:t>
      </w:r>
      <w:r w:rsidR="00387843">
        <w:rPr>
          <w:rFonts w:ascii="Times New Roman" w:hAnsi="Times New Roman" w:cs="Times New Roman"/>
          <w:sz w:val="24"/>
          <w:szCs w:val="24"/>
        </w:rPr>
        <w:t>спрос на кредиты определя</w:t>
      </w:r>
      <w:r w:rsidR="009B03C3">
        <w:rPr>
          <w:rFonts w:ascii="Times New Roman" w:hAnsi="Times New Roman" w:cs="Times New Roman"/>
          <w:sz w:val="24"/>
          <w:szCs w:val="24"/>
        </w:rPr>
        <w:t>ется</w:t>
      </w:r>
      <w:r w:rsidR="00387843">
        <w:rPr>
          <w:rFonts w:ascii="Times New Roman" w:hAnsi="Times New Roman" w:cs="Times New Roman"/>
          <w:sz w:val="24"/>
          <w:szCs w:val="24"/>
        </w:rPr>
        <w:t xml:space="preserve"> различны</w:t>
      </w:r>
      <w:r w:rsidR="009B03C3">
        <w:rPr>
          <w:rFonts w:ascii="Times New Roman" w:hAnsi="Times New Roman" w:cs="Times New Roman"/>
          <w:sz w:val="24"/>
          <w:szCs w:val="24"/>
        </w:rPr>
        <w:t>ми</w:t>
      </w:r>
      <w:r w:rsidR="00387843">
        <w:rPr>
          <w:rFonts w:ascii="Times New Roman" w:hAnsi="Times New Roman" w:cs="Times New Roman"/>
          <w:sz w:val="24"/>
          <w:szCs w:val="24"/>
        </w:rPr>
        <w:t xml:space="preserve"> параметр</w:t>
      </w:r>
      <w:r w:rsidR="009B03C3">
        <w:rPr>
          <w:rFonts w:ascii="Times New Roman" w:hAnsi="Times New Roman" w:cs="Times New Roman"/>
          <w:sz w:val="24"/>
          <w:szCs w:val="24"/>
        </w:rPr>
        <w:t>ами</w:t>
      </w:r>
      <w:r w:rsidR="00387843">
        <w:rPr>
          <w:rFonts w:ascii="Times New Roman" w:hAnsi="Times New Roman" w:cs="Times New Roman"/>
          <w:sz w:val="24"/>
          <w:szCs w:val="24"/>
        </w:rPr>
        <w:t>, включая размер процентной ставки, требования к обеспечению, сроки кредитования, тип заемщика, лимит кредитования</w:t>
      </w:r>
      <w:r w:rsidR="00B4705D" w:rsidRPr="00B4705D">
        <w:rPr>
          <w:rFonts w:ascii="Times New Roman" w:hAnsi="Times New Roman" w:cs="Times New Roman"/>
          <w:sz w:val="24"/>
          <w:szCs w:val="24"/>
        </w:rPr>
        <w:t xml:space="preserve"> [4]</w:t>
      </w:r>
      <w:r w:rsidR="00387843">
        <w:rPr>
          <w:rFonts w:ascii="Times New Roman" w:hAnsi="Times New Roman" w:cs="Times New Roman"/>
          <w:sz w:val="24"/>
          <w:szCs w:val="24"/>
        </w:rPr>
        <w:t>. Параметры специализированных инструментов рефинансирования возможно корректировать не только по параметру процентной ставки, но и по иным параметрам кредитования. В частности, возможно значительно увеличить сроки рефинансирования (к примеру, до 10 лет), увеличить доступный лимит кредитования и т.д. Улучшение условий кредитования за счет изменения иных параметров будет способствовать повышению результативности применения специализированных инструментов рефинансирования.</w:t>
      </w:r>
    </w:p>
    <w:p w14:paraId="1760A85A" w14:textId="09D4F6F5" w:rsidR="00387843" w:rsidRDefault="00387843" w:rsidP="00DE70D5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В конечном счете, представляется целесообразным расширить практику применения специализированных инструментов рефинансирования. В частности, возможно добавить специализированный инструмент рефинансирования, направленный на покрытие нехватки оборотных средств. Подобный инструмент рефинансирования позволит повысить финансовую стабильность субъектов экономики</w:t>
      </w:r>
      <w:r w:rsidR="00DA1150">
        <w:rPr>
          <w:rFonts w:ascii="Times New Roman" w:hAnsi="Times New Roman" w:cs="Times New Roman"/>
          <w:sz w:val="24"/>
          <w:szCs w:val="24"/>
        </w:rPr>
        <w:t>, поддержать требуемый уровень экономической безопасности</w:t>
      </w:r>
      <w:r>
        <w:rPr>
          <w:rFonts w:ascii="Times New Roman" w:hAnsi="Times New Roman" w:cs="Times New Roman"/>
          <w:sz w:val="24"/>
          <w:szCs w:val="24"/>
        </w:rPr>
        <w:t>.</w:t>
      </w:r>
      <w:r w:rsidR="00BB1146">
        <w:rPr>
          <w:rFonts w:ascii="Times New Roman" w:hAnsi="Times New Roman" w:cs="Times New Roman"/>
          <w:sz w:val="24"/>
          <w:szCs w:val="24"/>
        </w:rPr>
        <w:t xml:space="preserve"> Применение данного инструмента рефинансирования возможно при условии возникновения кризисных ситуаций в экономике. Дальнейшие исследования должны быть направлены на проработку перечня специализированных инструментов рефинансирования, а также параметров их применения.</w:t>
      </w:r>
    </w:p>
    <w:p w14:paraId="5369EBD4" w14:textId="77777777" w:rsidR="009B03C3" w:rsidRDefault="009B03C3" w:rsidP="00DE70D5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0162DE2F" w14:textId="3C6F1CA2" w:rsidR="00BB1146" w:rsidRDefault="008C2C72" w:rsidP="008C2C72">
      <w:pPr>
        <w:spacing w:after="0"/>
        <w:jc w:val="center"/>
        <w:rPr>
          <w:sz w:val="23"/>
          <w:szCs w:val="23"/>
        </w:rPr>
      </w:pPr>
      <w:r w:rsidRPr="008C2C72">
        <w:rPr>
          <w:rFonts w:ascii="Times New Roman" w:hAnsi="Times New Roman" w:cs="Times New Roman"/>
          <w:b/>
          <w:bCs/>
          <w:sz w:val="24"/>
          <w:szCs w:val="24"/>
        </w:rPr>
        <w:t>Библиографический список на русском языке</w:t>
      </w:r>
    </w:p>
    <w:p w14:paraId="1380142B" w14:textId="374B3FEB" w:rsidR="009B03C3" w:rsidRPr="009B03C3" w:rsidRDefault="009B03C3" w:rsidP="00B4705D">
      <w:pPr>
        <w:spacing w:after="0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B4705D">
        <w:rPr>
          <w:rFonts w:ascii="Times New Roman" w:hAnsi="Times New Roman" w:cs="Times New Roman"/>
          <w:sz w:val="24"/>
          <w:szCs w:val="24"/>
        </w:rPr>
        <w:tab/>
        <w:t>1. Родичева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B4705D">
        <w:rPr>
          <w:rFonts w:ascii="Times New Roman" w:hAnsi="Times New Roman" w:cs="Times New Roman"/>
          <w:sz w:val="24"/>
          <w:szCs w:val="24"/>
        </w:rPr>
        <w:t xml:space="preserve">В.Б. Перспективы развития действующей системы рефинансирования Центрального Банка Российской Федерации // Инновационное развитие экономики. </w:t>
      </w:r>
      <w:r w:rsidRPr="009B03C3">
        <w:rPr>
          <w:rFonts w:ascii="Times New Roman" w:hAnsi="Times New Roman" w:cs="Times New Roman"/>
          <w:sz w:val="24"/>
          <w:szCs w:val="24"/>
          <w:lang w:val="en-US"/>
        </w:rPr>
        <w:t xml:space="preserve">2017. № 6(42). </w:t>
      </w:r>
      <w:r w:rsidRPr="00B4705D">
        <w:rPr>
          <w:rFonts w:ascii="Times New Roman" w:hAnsi="Times New Roman" w:cs="Times New Roman"/>
          <w:sz w:val="24"/>
          <w:szCs w:val="24"/>
        </w:rPr>
        <w:t>С</w:t>
      </w:r>
      <w:r w:rsidRPr="009B03C3">
        <w:rPr>
          <w:rFonts w:ascii="Times New Roman" w:hAnsi="Times New Roman" w:cs="Times New Roman"/>
          <w:sz w:val="24"/>
          <w:szCs w:val="24"/>
          <w:lang w:val="en-US"/>
        </w:rPr>
        <w:t xml:space="preserve">. 245-261. </w:t>
      </w:r>
    </w:p>
    <w:p w14:paraId="33927396" w14:textId="7CF00069" w:rsidR="009B03C3" w:rsidRPr="009B03C3" w:rsidRDefault="009B03C3" w:rsidP="00B4705D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9B03C3">
        <w:rPr>
          <w:rFonts w:ascii="Times New Roman" w:hAnsi="Times New Roman" w:cs="Times New Roman"/>
          <w:sz w:val="24"/>
          <w:szCs w:val="24"/>
          <w:lang w:val="en-US"/>
        </w:rPr>
        <w:tab/>
      </w:r>
      <w:r w:rsidRPr="00B4705D">
        <w:rPr>
          <w:rFonts w:ascii="Times New Roman" w:hAnsi="Times New Roman" w:cs="Times New Roman"/>
          <w:sz w:val="24"/>
          <w:szCs w:val="24"/>
          <w:lang w:val="en-US"/>
        </w:rPr>
        <w:t>2. Jannik Jäger, Theocharis Grigoriadis</w:t>
      </w:r>
      <w:r w:rsidRPr="009B03C3">
        <w:rPr>
          <w:rFonts w:ascii="Times New Roman" w:hAnsi="Times New Roman" w:cs="Times New Roman"/>
          <w:sz w:val="24"/>
          <w:szCs w:val="24"/>
          <w:lang w:val="en-US"/>
        </w:rPr>
        <w:t>.</w:t>
      </w:r>
      <w:r w:rsidRPr="00B4705D">
        <w:rPr>
          <w:rFonts w:ascii="Times New Roman" w:hAnsi="Times New Roman" w:cs="Times New Roman"/>
          <w:sz w:val="24"/>
          <w:szCs w:val="24"/>
          <w:lang w:val="en-US"/>
        </w:rPr>
        <w:t xml:space="preserve"> The effectiveness of the ECB’s unconventional monetary policy: Comparative evidence from crisis and non-crisis Euro-area countries</w:t>
      </w:r>
      <w:r w:rsidRPr="009B03C3">
        <w:rPr>
          <w:rFonts w:ascii="Times New Roman" w:hAnsi="Times New Roman" w:cs="Times New Roman"/>
          <w:sz w:val="24"/>
          <w:szCs w:val="24"/>
          <w:lang w:val="en-US"/>
        </w:rPr>
        <w:t xml:space="preserve"> //</w:t>
      </w:r>
      <w:r w:rsidRPr="00B4705D">
        <w:rPr>
          <w:rFonts w:ascii="Times New Roman" w:hAnsi="Times New Roman" w:cs="Times New Roman"/>
          <w:sz w:val="24"/>
          <w:szCs w:val="24"/>
          <w:lang w:val="en-US"/>
        </w:rPr>
        <w:t xml:space="preserve"> Journal of International Money and Finance</w:t>
      </w:r>
      <w:r w:rsidRPr="009B03C3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r>
        <w:rPr>
          <w:rFonts w:ascii="Times New Roman" w:hAnsi="Times New Roman" w:cs="Times New Roman"/>
          <w:sz w:val="24"/>
          <w:szCs w:val="24"/>
        </w:rPr>
        <w:t xml:space="preserve">2017. </w:t>
      </w:r>
      <w:r w:rsidRPr="00B4705D">
        <w:rPr>
          <w:rFonts w:ascii="Times New Roman" w:hAnsi="Times New Roman" w:cs="Times New Roman"/>
          <w:sz w:val="24"/>
          <w:szCs w:val="24"/>
          <w:lang w:val="en-US"/>
        </w:rPr>
        <w:t>Vol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B4705D">
        <w:rPr>
          <w:rFonts w:ascii="Times New Roman" w:hAnsi="Times New Roman" w:cs="Times New Roman"/>
          <w:sz w:val="24"/>
          <w:szCs w:val="24"/>
          <w:lang w:val="en-US"/>
        </w:rPr>
        <w:t xml:space="preserve"> 78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  <w:r w:rsidRPr="00B4705D">
        <w:rPr>
          <w:rFonts w:ascii="Times New Roman" w:hAnsi="Times New Roman" w:cs="Times New Roman"/>
          <w:sz w:val="24"/>
          <w:szCs w:val="24"/>
          <w:lang w:val="en-US"/>
        </w:rPr>
        <w:t>P</w:t>
      </w:r>
      <w:r>
        <w:rPr>
          <w:rFonts w:ascii="Times New Roman" w:hAnsi="Times New Roman" w:cs="Times New Roman"/>
          <w:sz w:val="24"/>
          <w:szCs w:val="24"/>
        </w:rPr>
        <w:t xml:space="preserve">р. </w:t>
      </w:r>
      <w:r w:rsidRPr="00B4705D">
        <w:rPr>
          <w:rFonts w:ascii="Times New Roman" w:hAnsi="Times New Roman" w:cs="Times New Roman"/>
          <w:sz w:val="24"/>
          <w:szCs w:val="24"/>
          <w:lang w:val="en-US"/>
        </w:rPr>
        <w:t>21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en-US"/>
        </w:rPr>
        <w:t>–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B4705D">
        <w:rPr>
          <w:rFonts w:ascii="Times New Roman" w:hAnsi="Times New Roman" w:cs="Times New Roman"/>
          <w:sz w:val="24"/>
          <w:szCs w:val="24"/>
          <w:lang w:val="en-US"/>
        </w:rPr>
        <w:t>43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B4705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DOI: </w:t>
      </w:r>
      <w:r w:rsidRPr="009B03C3">
        <w:rPr>
          <w:rFonts w:ascii="Times New Roman" w:hAnsi="Times New Roman" w:cs="Times New Roman"/>
          <w:sz w:val="24"/>
          <w:szCs w:val="24"/>
          <w:lang w:val="en-US"/>
        </w:rPr>
        <w:t>10.1016/j.jimonfin.2017.07.021</w:t>
      </w:r>
      <w:r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14:paraId="146923A7" w14:textId="6D843B4C" w:rsidR="009B03C3" w:rsidRPr="000B3F24" w:rsidRDefault="009B03C3" w:rsidP="00B4705D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B4705D">
        <w:rPr>
          <w:rFonts w:ascii="Times New Roman" w:hAnsi="Times New Roman" w:cs="Times New Roman"/>
          <w:sz w:val="24"/>
          <w:szCs w:val="24"/>
          <w:lang w:val="en-US"/>
        </w:rPr>
        <w:tab/>
      </w:r>
      <w:r w:rsidRPr="00B4705D">
        <w:rPr>
          <w:rFonts w:ascii="Times New Roman" w:hAnsi="Times New Roman" w:cs="Times New Roman"/>
          <w:sz w:val="24"/>
          <w:szCs w:val="24"/>
        </w:rPr>
        <w:t xml:space="preserve">3. Ларионов А.В. Об особенностях использования в КНР специализированного механизма </w:t>
      </w:r>
      <w:r>
        <w:rPr>
          <w:rFonts w:ascii="Times New Roman" w:hAnsi="Times New Roman" w:cs="Times New Roman"/>
          <w:sz w:val="24"/>
          <w:szCs w:val="24"/>
        </w:rPr>
        <w:t>«</w:t>
      </w:r>
      <w:r w:rsidRPr="00B4705D">
        <w:rPr>
          <w:rFonts w:ascii="Times New Roman" w:hAnsi="Times New Roman" w:cs="Times New Roman"/>
          <w:sz w:val="24"/>
          <w:szCs w:val="24"/>
        </w:rPr>
        <w:t>Дополнительное кредитование под залог</w:t>
      </w:r>
      <w:r>
        <w:rPr>
          <w:rFonts w:ascii="Times New Roman" w:hAnsi="Times New Roman" w:cs="Times New Roman"/>
          <w:sz w:val="24"/>
          <w:szCs w:val="24"/>
        </w:rPr>
        <w:t>»</w:t>
      </w:r>
      <w:r w:rsidRPr="00B4705D">
        <w:rPr>
          <w:rFonts w:ascii="Times New Roman" w:hAnsi="Times New Roman" w:cs="Times New Roman"/>
          <w:sz w:val="24"/>
          <w:szCs w:val="24"/>
        </w:rPr>
        <w:t xml:space="preserve"> // Деньги и кредит. </w:t>
      </w:r>
      <w:r w:rsidRPr="000B3F24">
        <w:rPr>
          <w:rFonts w:ascii="Times New Roman" w:hAnsi="Times New Roman" w:cs="Times New Roman"/>
          <w:sz w:val="24"/>
          <w:szCs w:val="24"/>
        </w:rPr>
        <w:t>2016. № 4. С. 70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0B3F24">
        <w:rPr>
          <w:rFonts w:ascii="Times New Roman" w:hAnsi="Times New Roman" w:cs="Times New Roman"/>
          <w:sz w:val="24"/>
          <w:szCs w:val="24"/>
        </w:rPr>
        <w:t>–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0B3F24">
        <w:rPr>
          <w:rFonts w:ascii="Times New Roman" w:hAnsi="Times New Roman" w:cs="Times New Roman"/>
          <w:sz w:val="24"/>
          <w:szCs w:val="24"/>
        </w:rPr>
        <w:t>71;</w:t>
      </w:r>
    </w:p>
    <w:p w14:paraId="20896F33" w14:textId="4DEAB5F4" w:rsidR="009B03C3" w:rsidRPr="009B03C3" w:rsidRDefault="009B03C3" w:rsidP="00B4705D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B3F24">
        <w:rPr>
          <w:rFonts w:ascii="Times New Roman" w:hAnsi="Times New Roman" w:cs="Times New Roman"/>
          <w:sz w:val="24"/>
          <w:szCs w:val="24"/>
        </w:rPr>
        <w:tab/>
      </w:r>
      <w:r w:rsidRPr="00B4705D">
        <w:rPr>
          <w:rFonts w:ascii="Times New Roman" w:hAnsi="Times New Roman" w:cs="Times New Roman"/>
          <w:sz w:val="24"/>
          <w:szCs w:val="24"/>
        </w:rPr>
        <w:t>4. Ларионов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B4705D">
        <w:rPr>
          <w:rFonts w:ascii="Times New Roman" w:hAnsi="Times New Roman" w:cs="Times New Roman"/>
          <w:sz w:val="24"/>
          <w:szCs w:val="24"/>
        </w:rPr>
        <w:t xml:space="preserve">А.В. Кредитное поведение граждан России в период пандемии </w:t>
      </w:r>
      <w:r w:rsidRPr="00B4705D">
        <w:rPr>
          <w:rFonts w:ascii="Times New Roman" w:hAnsi="Times New Roman" w:cs="Times New Roman"/>
          <w:sz w:val="24"/>
          <w:szCs w:val="24"/>
          <w:lang w:val="en-US"/>
        </w:rPr>
        <w:t>COVID</w:t>
      </w:r>
      <w:r w:rsidRPr="00B4705D">
        <w:rPr>
          <w:rFonts w:ascii="Times New Roman" w:hAnsi="Times New Roman" w:cs="Times New Roman"/>
          <w:sz w:val="24"/>
          <w:szCs w:val="24"/>
        </w:rPr>
        <w:t xml:space="preserve">-19 // Мониторинг общественного мнения: экономические и социальные перемены. 2024. № 4(182). С. 219-242. </w:t>
      </w:r>
      <w:r w:rsidRPr="00B4705D">
        <w:rPr>
          <w:rFonts w:ascii="Times New Roman" w:hAnsi="Times New Roman" w:cs="Times New Roman"/>
          <w:sz w:val="24"/>
          <w:szCs w:val="24"/>
          <w:lang w:val="en-US"/>
        </w:rPr>
        <w:t>DOI</w:t>
      </w:r>
      <w:r w:rsidRPr="00B4705D">
        <w:rPr>
          <w:rFonts w:ascii="Times New Roman" w:hAnsi="Times New Roman" w:cs="Times New Roman"/>
          <w:sz w:val="24"/>
          <w:szCs w:val="24"/>
        </w:rPr>
        <w:t xml:space="preserve"> 10.14515/</w:t>
      </w:r>
      <w:r w:rsidRPr="00B4705D">
        <w:rPr>
          <w:rFonts w:ascii="Times New Roman" w:hAnsi="Times New Roman" w:cs="Times New Roman"/>
          <w:sz w:val="24"/>
          <w:szCs w:val="24"/>
          <w:lang w:val="en-US"/>
        </w:rPr>
        <w:t>monitoring</w:t>
      </w:r>
      <w:r w:rsidRPr="00B4705D">
        <w:rPr>
          <w:rFonts w:ascii="Times New Roman" w:hAnsi="Times New Roman" w:cs="Times New Roman"/>
          <w:sz w:val="24"/>
          <w:szCs w:val="24"/>
        </w:rPr>
        <w:t xml:space="preserve">.2024.4.2503. </w:t>
      </w:r>
    </w:p>
    <w:p w14:paraId="6B91335D" w14:textId="5B817D7E" w:rsidR="00A469EC" w:rsidRDefault="00A469EC" w:rsidP="00BB1146">
      <w:pPr>
        <w:rPr>
          <w:sz w:val="23"/>
          <w:szCs w:val="23"/>
        </w:rPr>
      </w:pPr>
      <w:r w:rsidRPr="00B4705D">
        <w:rPr>
          <w:sz w:val="23"/>
          <w:szCs w:val="23"/>
        </w:rPr>
        <w:tab/>
      </w:r>
    </w:p>
    <w:p w14:paraId="70977040" w14:textId="0309C47D" w:rsidR="009B03C3" w:rsidRPr="008C2C72" w:rsidRDefault="008C2C72" w:rsidP="008C2C72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8C2C72">
        <w:rPr>
          <w:rFonts w:ascii="Times New Roman" w:hAnsi="Times New Roman" w:cs="Times New Roman"/>
          <w:b/>
          <w:bCs/>
          <w:sz w:val="24"/>
          <w:szCs w:val="24"/>
        </w:rPr>
        <w:t>Информация об авторе</w:t>
      </w:r>
    </w:p>
    <w:p w14:paraId="44068AD4" w14:textId="61842C79" w:rsidR="008C2C72" w:rsidRPr="008C2C72" w:rsidRDefault="008C2C72" w:rsidP="008C2C72">
      <w:pPr>
        <w:widowControl w:val="0"/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8C2C72">
        <w:rPr>
          <w:rFonts w:ascii="Times New Roman" w:hAnsi="Times New Roman" w:cs="Times New Roman"/>
          <w:sz w:val="24"/>
          <w:szCs w:val="24"/>
        </w:rPr>
        <w:t xml:space="preserve">Ларионов Александр Витальевич </w:t>
      </w:r>
      <w:r>
        <w:rPr>
          <w:rFonts w:ascii="Times New Roman" w:hAnsi="Times New Roman" w:cs="Times New Roman"/>
          <w:sz w:val="24"/>
          <w:szCs w:val="24"/>
        </w:rPr>
        <w:t xml:space="preserve">(Москва, Россия) </w:t>
      </w:r>
      <w:r w:rsidRPr="008C2C72">
        <w:rPr>
          <w:rFonts w:ascii="Times New Roman" w:hAnsi="Times New Roman" w:cs="Times New Roman"/>
          <w:sz w:val="24"/>
          <w:szCs w:val="24"/>
        </w:rPr>
        <w:t xml:space="preserve">- к.э.н., к.н.гму, доцент, старший научный сотрудник, Лаборатория прогнозирования качества окружающей среды и здоровья населения, Институт народнохозяйственного прогнозирования РАН, larionov.av.hse@yandex.ru, ORCID: 0000-0001-8657-6809, адрес организации: 117418, г. Москва Нахимовский проспект, д. 47, телефон: +7-499-129-36-33. </w:t>
      </w:r>
    </w:p>
    <w:p w14:paraId="0E577838" w14:textId="086F9918" w:rsidR="009B03C3" w:rsidRPr="008C2C72" w:rsidRDefault="009B03C3" w:rsidP="00BB1146">
      <w:pPr>
        <w:rPr>
          <w:sz w:val="23"/>
          <w:szCs w:val="23"/>
        </w:rPr>
      </w:pPr>
    </w:p>
    <w:p w14:paraId="7367C73B" w14:textId="5770DDD2" w:rsidR="009B03C3" w:rsidRPr="00B2454C" w:rsidRDefault="009B03C3" w:rsidP="008C2C72">
      <w:pPr>
        <w:jc w:val="right"/>
        <w:rPr>
          <w:rFonts w:ascii="Times New Roman" w:hAnsi="Times New Roman"/>
          <w:b/>
          <w:bCs/>
          <w:i/>
          <w:iCs/>
          <w:sz w:val="24"/>
          <w:szCs w:val="24"/>
          <w:lang w:val="en-US"/>
        </w:rPr>
      </w:pPr>
      <w:r w:rsidRPr="00B0745F">
        <w:rPr>
          <w:rFonts w:ascii="Times New Roman" w:hAnsi="Times New Roman"/>
          <w:b/>
          <w:bCs/>
          <w:i/>
          <w:iCs/>
          <w:sz w:val="24"/>
          <w:szCs w:val="24"/>
          <w:lang w:val="en-US"/>
        </w:rPr>
        <w:t>Larionov</w:t>
      </w:r>
      <w:r w:rsidRPr="008C2C72">
        <w:rPr>
          <w:rFonts w:ascii="Times New Roman" w:hAnsi="Times New Roman"/>
          <w:b/>
          <w:bCs/>
          <w:i/>
          <w:iCs/>
          <w:sz w:val="24"/>
          <w:szCs w:val="24"/>
          <w:lang w:val="en-US"/>
        </w:rPr>
        <w:t xml:space="preserve"> </w:t>
      </w:r>
      <w:r w:rsidRPr="00B0745F">
        <w:rPr>
          <w:rFonts w:ascii="Times New Roman" w:hAnsi="Times New Roman"/>
          <w:b/>
          <w:bCs/>
          <w:i/>
          <w:iCs/>
          <w:sz w:val="24"/>
          <w:szCs w:val="24"/>
          <w:lang w:val="en-US"/>
        </w:rPr>
        <w:t>A</w:t>
      </w:r>
      <w:r w:rsidR="008C2C72" w:rsidRPr="00B2454C">
        <w:rPr>
          <w:rFonts w:ascii="Times New Roman" w:hAnsi="Times New Roman"/>
          <w:b/>
          <w:bCs/>
          <w:i/>
          <w:iCs/>
          <w:sz w:val="24"/>
          <w:szCs w:val="24"/>
          <w:lang w:val="en-US"/>
        </w:rPr>
        <w:t>.</w:t>
      </w:r>
      <w:r w:rsidRPr="00B0745F">
        <w:rPr>
          <w:rFonts w:ascii="Times New Roman" w:hAnsi="Times New Roman"/>
          <w:b/>
          <w:bCs/>
          <w:i/>
          <w:iCs/>
          <w:sz w:val="24"/>
          <w:szCs w:val="24"/>
          <w:lang w:val="en-US"/>
        </w:rPr>
        <w:t>V</w:t>
      </w:r>
      <w:r w:rsidR="008C2C72" w:rsidRPr="00B2454C">
        <w:rPr>
          <w:rFonts w:ascii="Times New Roman" w:hAnsi="Times New Roman"/>
          <w:b/>
          <w:bCs/>
          <w:i/>
          <w:iCs/>
          <w:sz w:val="24"/>
          <w:szCs w:val="24"/>
          <w:lang w:val="en-US"/>
        </w:rPr>
        <w:t>.</w:t>
      </w:r>
    </w:p>
    <w:p w14:paraId="6F03A00A" w14:textId="77777777" w:rsidR="008C2C72" w:rsidRDefault="008C2C72" w:rsidP="008C2C72">
      <w:pPr>
        <w:jc w:val="center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r w:rsidRPr="00DA1150">
        <w:rPr>
          <w:rFonts w:ascii="Times New Roman" w:hAnsi="Times New Roman" w:cs="Times New Roman"/>
          <w:b/>
          <w:bCs/>
          <w:sz w:val="24"/>
          <w:szCs w:val="24"/>
          <w:lang w:val="en-US"/>
        </w:rPr>
        <w:t>Prospects for the development of specialized refinancing instruments of the Bank of Russia to ensure economic security</w:t>
      </w:r>
    </w:p>
    <w:p w14:paraId="134D638C" w14:textId="1462D063" w:rsidR="008C2C72" w:rsidRDefault="008C2C72" w:rsidP="008C2C72">
      <w:pPr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bCs/>
          <w:sz w:val="24"/>
          <w:szCs w:val="24"/>
          <w:lang w:val="en-US"/>
        </w:rPr>
        <w:t>Abstract</w:t>
      </w:r>
      <w:r w:rsidRPr="008C2C72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. </w:t>
      </w:r>
      <w:r w:rsidRPr="00D4329C">
        <w:rPr>
          <w:rFonts w:ascii="Times New Roman" w:hAnsi="Times New Roman" w:cs="Times New Roman"/>
          <w:sz w:val="24"/>
          <w:szCs w:val="24"/>
          <w:lang w:val="en-US"/>
        </w:rPr>
        <w:t>The Bank of Russia's specialized refinancing instruments involve providing liquidity at a preferential interest rate. The attractiveness of these instruments depends on other parameters, including collateral requirements, loan terms, borrower type, and lending limit.</w:t>
      </w:r>
    </w:p>
    <w:p w14:paraId="1DA49EAD" w14:textId="77777777" w:rsidR="008C2C72" w:rsidRPr="00B2454C" w:rsidRDefault="008C2C72" w:rsidP="008C2C72">
      <w:pPr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bCs/>
          <w:sz w:val="24"/>
          <w:szCs w:val="24"/>
          <w:lang w:val="en-US"/>
        </w:rPr>
        <w:t>Key</w:t>
      </w:r>
      <w:r w:rsidRPr="00DA1150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 </w:t>
      </w:r>
      <w:r>
        <w:rPr>
          <w:rFonts w:ascii="Times New Roman" w:hAnsi="Times New Roman" w:cs="Times New Roman"/>
          <w:b/>
          <w:bCs/>
          <w:sz w:val="24"/>
          <w:szCs w:val="24"/>
          <w:lang w:val="en-US"/>
        </w:rPr>
        <w:t>words</w:t>
      </w:r>
      <w:r w:rsidRPr="00DA1150">
        <w:rPr>
          <w:rFonts w:ascii="Times New Roman" w:hAnsi="Times New Roman" w:cs="Times New Roman"/>
          <w:b/>
          <w:bCs/>
          <w:sz w:val="24"/>
          <w:szCs w:val="24"/>
          <w:lang w:val="en-US"/>
        </w:rPr>
        <w:t>:</w:t>
      </w:r>
      <w:r w:rsidRPr="00DA1150">
        <w:rPr>
          <w:lang w:val="en-US"/>
        </w:rPr>
        <w:t xml:space="preserve"> </w:t>
      </w:r>
      <w:r w:rsidRPr="00DA1150">
        <w:rPr>
          <w:rFonts w:ascii="Times New Roman" w:hAnsi="Times New Roman" w:cs="Times New Roman"/>
          <w:sz w:val="24"/>
          <w:szCs w:val="24"/>
          <w:lang w:val="en-US"/>
        </w:rPr>
        <w:t>the Bank of Russia, monetary policy, specialized refinancing instruments, key rate, financial stability, economic security</w:t>
      </w:r>
    </w:p>
    <w:p w14:paraId="07F74194" w14:textId="77777777" w:rsidR="00DF5B17" w:rsidRPr="00B2454C" w:rsidRDefault="00DF5B17" w:rsidP="00DF5B17">
      <w:pPr>
        <w:spacing w:after="0"/>
        <w:jc w:val="center"/>
        <w:rPr>
          <w:rFonts w:ascii="Times New Roman" w:hAnsi="Times New Roman"/>
          <w:b/>
          <w:bCs/>
          <w:sz w:val="24"/>
          <w:szCs w:val="24"/>
          <w:lang w:val="en-US"/>
        </w:rPr>
      </w:pPr>
    </w:p>
    <w:p w14:paraId="59ABDD0F" w14:textId="120FECAC" w:rsidR="009B03C3" w:rsidRPr="00DF5B17" w:rsidRDefault="00DF5B17" w:rsidP="00DF5B17">
      <w:pPr>
        <w:spacing w:after="0"/>
        <w:jc w:val="center"/>
        <w:rPr>
          <w:rFonts w:ascii="Times New Roman" w:hAnsi="Times New Roman"/>
          <w:b/>
          <w:bCs/>
          <w:sz w:val="24"/>
          <w:szCs w:val="24"/>
        </w:rPr>
      </w:pPr>
      <w:r w:rsidRPr="00DF5B17">
        <w:rPr>
          <w:rFonts w:ascii="Times New Roman" w:hAnsi="Times New Roman"/>
          <w:b/>
          <w:bCs/>
          <w:sz w:val="24"/>
          <w:szCs w:val="24"/>
        </w:rPr>
        <w:t>Информация об авторе на английском языке</w:t>
      </w:r>
    </w:p>
    <w:p w14:paraId="0605BF37" w14:textId="681D9997" w:rsidR="009B03C3" w:rsidRDefault="008C2C72" w:rsidP="008C2C72">
      <w:pPr>
        <w:widowControl w:val="0"/>
        <w:spacing w:after="0" w:line="240" w:lineRule="auto"/>
        <w:ind w:firstLine="708"/>
        <w:jc w:val="both"/>
        <w:rPr>
          <w:rStyle w:val="a6"/>
          <w:rFonts w:ascii="Times New Roman" w:hAnsi="Times New Roman"/>
          <w:color w:val="auto"/>
          <w:sz w:val="24"/>
          <w:szCs w:val="24"/>
          <w:u w:val="none"/>
          <w:lang w:val="en-US"/>
        </w:rPr>
      </w:pPr>
      <w:r>
        <w:rPr>
          <w:rStyle w:val="a6"/>
          <w:rFonts w:ascii="Times New Roman" w:hAnsi="Times New Roman"/>
          <w:color w:val="auto"/>
          <w:sz w:val="24"/>
          <w:szCs w:val="24"/>
          <w:u w:val="none"/>
          <w:lang w:val="en-US"/>
        </w:rPr>
        <w:t>Larionov Alexsander Vitalievich (Moscow, Russia</w:t>
      </w:r>
      <w:r w:rsidRPr="008C2C72">
        <w:rPr>
          <w:rStyle w:val="a6"/>
          <w:rFonts w:ascii="Times New Roman" w:hAnsi="Times New Roman"/>
          <w:color w:val="auto"/>
          <w:sz w:val="24"/>
          <w:szCs w:val="24"/>
          <w:u w:val="none"/>
          <w:lang w:val="en-US"/>
        </w:rPr>
        <w:t>)</w:t>
      </w:r>
      <w:r>
        <w:rPr>
          <w:rStyle w:val="a6"/>
          <w:rFonts w:ascii="Times New Roman" w:hAnsi="Times New Roman"/>
          <w:color w:val="auto"/>
          <w:sz w:val="24"/>
          <w:szCs w:val="24"/>
          <w:u w:val="none"/>
          <w:lang w:val="en-US"/>
        </w:rPr>
        <w:t xml:space="preserve"> - </w:t>
      </w:r>
      <w:r w:rsidR="009B03C3" w:rsidRPr="00B0745F">
        <w:rPr>
          <w:rStyle w:val="a6"/>
          <w:rFonts w:ascii="Times New Roman" w:hAnsi="Times New Roman"/>
          <w:color w:val="auto"/>
          <w:sz w:val="24"/>
          <w:szCs w:val="24"/>
          <w:u w:val="none"/>
          <w:lang w:val="en-US"/>
        </w:rPr>
        <w:t>Doctor of Philosophy (Ph.D) in Economic Sciences, Doctor of Philosophy in Public Administration, Associate Professor, Senior Researcher, Institute of Economic Forecasting RAS, Moscow, Russia, larionov.av.hse@yandex.ru, ORCID: 0000-0001-8657-6809</w:t>
      </w:r>
      <w:r w:rsidR="009B03C3" w:rsidRPr="00B4705D">
        <w:rPr>
          <w:rStyle w:val="a6"/>
          <w:rFonts w:ascii="Times New Roman" w:hAnsi="Times New Roman"/>
          <w:color w:val="auto"/>
          <w:sz w:val="24"/>
          <w:szCs w:val="24"/>
          <w:u w:val="none"/>
          <w:lang w:val="en-US"/>
        </w:rPr>
        <w:t>, organization address: 117418, Moscow, Nakhimovsky Prospekt, 47, phone: +7-499-129-36-33</w:t>
      </w:r>
    </w:p>
    <w:p w14:paraId="7F2D253B" w14:textId="77777777" w:rsidR="008C2C72" w:rsidRDefault="008C2C72" w:rsidP="008C2C72">
      <w:pPr>
        <w:widowControl w:val="0"/>
        <w:spacing w:after="0" w:line="240" w:lineRule="auto"/>
        <w:ind w:firstLine="708"/>
        <w:jc w:val="both"/>
        <w:rPr>
          <w:rStyle w:val="a6"/>
          <w:rFonts w:ascii="Times New Roman" w:hAnsi="Times New Roman"/>
          <w:color w:val="auto"/>
          <w:sz w:val="24"/>
          <w:szCs w:val="24"/>
          <w:u w:val="none"/>
          <w:lang w:val="en-US"/>
        </w:rPr>
      </w:pPr>
    </w:p>
    <w:p w14:paraId="7BCF6F5E" w14:textId="3A5DBFBF" w:rsidR="008C2C72" w:rsidRPr="008C2C72" w:rsidRDefault="008C2C72" w:rsidP="008C2C72">
      <w:pPr>
        <w:widowControl w:val="0"/>
        <w:spacing w:after="0" w:line="240" w:lineRule="auto"/>
        <w:jc w:val="center"/>
        <w:rPr>
          <w:rStyle w:val="a6"/>
          <w:rFonts w:ascii="Times New Roman" w:hAnsi="Times New Roman"/>
          <w:b/>
          <w:bCs/>
          <w:color w:val="auto"/>
          <w:sz w:val="24"/>
          <w:szCs w:val="24"/>
          <w:u w:val="none"/>
          <w:lang w:val="en-US"/>
        </w:rPr>
      </w:pPr>
      <w:r w:rsidRPr="008C2C72">
        <w:rPr>
          <w:rFonts w:ascii="Times New Roman" w:hAnsi="Times New Roman" w:cs="Times New Roman"/>
          <w:b/>
          <w:bCs/>
          <w:sz w:val="24"/>
          <w:szCs w:val="24"/>
        </w:rPr>
        <w:t>Библиографический</w:t>
      </w:r>
      <w:r w:rsidRPr="00B2454C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 </w:t>
      </w:r>
      <w:r w:rsidRPr="008C2C72">
        <w:rPr>
          <w:rFonts w:ascii="Times New Roman" w:hAnsi="Times New Roman" w:cs="Times New Roman"/>
          <w:b/>
          <w:bCs/>
          <w:sz w:val="24"/>
          <w:szCs w:val="24"/>
        </w:rPr>
        <w:t>список</w:t>
      </w:r>
      <w:r w:rsidRPr="00B2454C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 </w:t>
      </w:r>
      <w:r w:rsidRPr="008C2C72">
        <w:rPr>
          <w:rFonts w:ascii="Times New Roman" w:hAnsi="Times New Roman" w:cs="Times New Roman"/>
          <w:b/>
          <w:bCs/>
          <w:sz w:val="24"/>
          <w:szCs w:val="24"/>
        </w:rPr>
        <w:t>на</w:t>
      </w:r>
      <w:r w:rsidRPr="00B2454C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 </w:t>
      </w:r>
      <w:r w:rsidRPr="008C2C72">
        <w:rPr>
          <w:rFonts w:ascii="Times New Roman" w:hAnsi="Times New Roman" w:cs="Times New Roman"/>
          <w:b/>
          <w:bCs/>
          <w:sz w:val="24"/>
          <w:szCs w:val="24"/>
        </w:rPr>
        <w:t>английском</w:t>
      </w:r>
      <w:r w:rsidRPr="00B2454C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 </w:t>
      </w:r>
      <w:r w:rsidRPr="008C2C72">
        <w:rPr>
          <w:rFonts w:ascii="Times New Roman" w:hAnsi="Times New Roman" w:cs="Times New Roman"/>
          <w:b/>
          <w:bCs/>
          <w:sz w:val="24"/>
          <w:szCs w:val="24"/>
        </w:rPr>
        <w:t>языке</w:t>
      </w:r>
    </w:p>
    <w:p w14:paraId="6C65B7F6" w14:textId="77777777" w:rsidR="008C2C72" w:rsidRPr="008C2C72" w:rsidRDefault="008C2C72" w:rsidP="008C2C72">
      <w:pPr>
        <w:widowControl w:val="0"/>
        <w:spacing w:after="0" w:line="240" w:lineRule="auto"/>
        <w:ind w:firstLine="709"/>
        <w:jc w:val="both"/>
        <w:rPr>
          <w:rStyle w:val="a6"/>
          <w:rFonts w:ascii="Times New Roman" w:hAnsi="Times New Roman"/>
          <w:color w:val="auto"/>
          <w:sz w:val="24"/>
          <w:szCs w:val="24"/>
          <w:u w:val="none"/>
          <w:lang w:val="en-US"/>
        </w:rPr>
      </w:pPr>
      <w:r w:rsidRPr="008C2C72">
        <w:rPr>
          <w:rStyle w:val="a6"/>
          <w:rFonts w:ascii="Times New Roman" w:hAnsi="Times New Roman"/>
          <w:color w:val="auto"/>
          <w:sz w:val="24"/>
          <w:szCs w:val="24"/>
          <w:u w:val="none"/>
          <w:lang w:val="en-US"/>
        </w:rPr>
        <w:t>1. Rodicheva V.B. Development Prospects of the Current Refinancing System of the Central Bank of the Russian Federation // Innovative Development of the Economy. 2017. No. 6(42). P. 245-261.</w:t>
      </w:r>
    </w:p>
    <w:p w14:paraId="154F51FB" w14:textId="77777777" w:rsidR="008C2C72" w:rsidRPr="008C2C72" w:rsidRDefault="008C2C72" w:rsidP="008C2C72">
      <w:pPr>
        <w:widowControl w:val="0"/>
        <w:spacing w:after="0" w:line="240" w:lineRule="auto"/>
        <w:ind w:firstLine="709"/>
        <w:jc w:val="both"/>
        <w:rPr>
          <w:rStyle w:val="a6"/>
          <w:rFonts w:ascii="Times New Roman" w:hAnsi="Times New Roman"/>
          <w:color w:val="auto"/>
          <w:sz w:val="24"/>
          <w:szCs w:val="24"/>
          <w:u w:val="none"/>
          <w:lang w:val="en-US"/>
        </w:rPr>
      </w:pPr>
      <w:r w:rsidRPr="008C2C72">
        <w:rPr>
          <w:rStyle w:val="a6"/>
          <w:rFonts w:ascii="Times New Roman" w:hAnsi="Times New Roman"/>
          <w:color w:val="auto"/>
          <w:sz w:val="24"/>
          <w:szCs w:val="24"/>
          <w:u w:val="none"/>
          <w:lang w:val="en-US"/>
        </w:rPr>
        <w:t>2. Jannik Jäger, Theocharis Grigoriadis. The effectiveness of the ECB’s unconventional monetary policy: Comparative evidence from crisis and non-crisis Euro-area countries // Journal of International Money and Finance. 2017. Vol. 78. Pр. 21 – 43. DOI: 10.1016/j.jimonfin.2017.07.021.</w:t>
      </w:r>
    </w:p>
    <w:p w14:paraId="765E9BCE" w14:textId="77777777" w:rsidR="008C2C72" w:rsidRDefault="008C2C72" w:rsidP="008C2C72">
      <w:pPr>
        <w:widowControl w:val="0"/>
        <w:spacing w:after="0" w:line="240" w:lineRule="auto"/>
        <w:ind w:firstLine="709"/>
        <w:jc w:val="both"/>
        <w:rPr>
          <w:rStyle w:val="a6"/>
          <w:rFonts w:ascii="Times New Roman" w:hAnsi="Times New Roman"/>
          <w:color w:val="auto"/>
          <w:sz w:val="24"/>
          <w:szCs w:val="24"/>
          <w:u w:val="none"/>
          <w:lang w:val="en-US"/>
        </w:rPr>
      </w:pPr>
      <w:r w:rsidRPr="008C2C72">
        <w:rPr>
          <w:rStyle w:val="a6"/>
          <w:rFonts w:ascii="Times New Roman" w:hAnsi="Times New Roman"/>
          <w:color w:val="auto"/>
          <w:sz w:val="24"/>
          <w:szCs w:val="24"/>
          <w:u w:val="none"/>
          <w:lang w:val="en-US"/>
        </w:rPr>
        <w:t xml:space="preserve">3. Larionov A.V. On the Features of Using the Specialized Mechanism “Additional Lending on Collateral” in the PRC // Money and Credit. 2016. No. 4. P. 70 – 71; </w:t>
      </w:r>
    </w:p>
    <w:p w14:paraId="711DF7E2" w14:textId="4E8F9BF3" w:rsidR="008C2C72" w:rsidRPr="008C2C72" w:rsidRDefault="008C2C72" w:rsidP="008C2C72">
      <w:pPr>
        <w:widowControl w:val="0"/>
        <w:spacing w:after="0" w:line="240" w:lineRule="auto"/>
        <w:ind w:firstLine="709"/>
        <w:jc w:val="both"/>
        <w:rPr>
          <w:rStyle w:val="a6"/>
          <w:rFonts w:ascii="Times New Roman" w:hAnsi="Times New Roman"/>
          <w:color w:val="auto"/>
          <w:sz w:val="24"/>
          <w:szCs w:val="24"/>
          <w:u w:val="none"/>
          <w:lang w:val="en-US"/>
        </w:rPr>
      </w:pPr>
      <w:r w:rsidRPr="008C2C72">
        <w:rPr>
          <w:rStyle w:val="a6"/>
          <w:rFonts w:ascii="Times New Roman" w:hAnsi="Times New Roman"/>
          <w:color w:val="auto"/>
          <w:sz w:val="24"/>
          <w:szCs w:val="24"/>
          <w:u w:val="none"/>
          <w:lang w:val="en-US"/>
        </w:rPr>
        <w:t>4. Larionov A.V. Credit behavior of Russian citizens during the COVID-19 pandemic // Monitoring public opinion: economic and social changes. 2024. No. 4 (182). P. 219-242. DOI 10.14515/monitoring.2024.4.2503.</w:t>
      </w:r>
    </w:p>
    <w:p w14:paraId="29B5AE7F" w14:textId="77777777" w:rsidR="008C2C72" w:rsidRPr="008C2C72" w:rsidRDefault="008C2C72" w:rsidP="009B03C3">
      <w:pPr>
        <w:widowControl w:val="0"/>
        <w:spacing w:after="0" w:line="240" w:lineRule="auto"/>
        <w:jc w:val="both"/>
        <w:rPr>
          <w:rStyle w:val="a6"/>
          <w:rFonts w:ascii="Times New Roman" w:hAnsi="Times New Roman"/>
          <w:color w:val="auto"/>
          <w:sz w:val="24"/>
          <w:szCs w:val="24"/>
          <w:u w:val="none"/>
          <w:lang w:val="en-US"/>
        </w:rPr>
      </w:pPr>
    </w:p>
    <w:p w14:paraId="5D7FBEBB" w14:textId="77777777" w:rsidR="009B03C3" w:rsidRPr="009B03C3" w:rsidRDefault="009B03C3" w:rsidP="00BB1146">
      <w:pPr>
        <w:rPr>
          <w:lang w:val="en-US"/>
        </w:rPr>
      </w:pPr>
    </w:p>
    <w:sectPr w:rsidR="009B03C3" w:rsidRPr="009B03C3" w:rsidSect="009B03C3">
      <w:footerReference w:type="default" r:id="rId8"/>
      <w:pgSz w:w="11906" w:h="16838"/>
      <w:pgMar w:top="1134" w:right="1134" w:bottom="1134" w:left="1134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A52AB18" w14:textId="77777777" w:rsidR="00A03CC9" w:rsidRDefault="00A03CC9" w:rsidP="000C370B">
      <w:pPr>
        <w:spacing w:after="0" w:line="240" w:lineRule="auto"/>
      </w:pPr>
      <w:r>
        <w:separator/>
      </w:r>
    </w:p>
  </w:endnote>
  <w:endnote w:type="continuationSeparator" w:id="0">
    <w:p w14:paraId="0E0B94A0" w14:textId="77777777" w:rsidR="00A03CC9" w:rsidRDefault="00A03CC9" w:rsidP="000C370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DengXian Light">
    <w:altName w:val="等线 Light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837993739"/>
      <w:docPartObj>
        <w:docPartGallery w:val="Page Numbers (Bottom of Page)"/>
        <w:docPartUnique/>
      </w:docPartObj>
    </w:sdtPr>
    <w:sdtEndPr>
      <w:rPr>
        <w:rFonts w:ascii="Times New Roman" w:hAnsi="Times New Roman" w:cs="Times New Roman"/>
      </w:rPr>
    </w:sdtEndPr>
    <w:sdtContent>
      <w:p w14:paraId="47E533A9" w14:textId="79C40C28" w:rsidR="00B0745F" w:rsidRPr="008C2C72" w:rsidRDefault="00B0745F" w:rsidP="008C2C72">
        <w:pPr>
          <w:pStyle w:val="a9"/>
          <w:jc w:val="center"/>
          <w:rPr>
            <w:rFonts w:ascii="Times New Roman" w:hAnsi="Times New Roman" w:cs="Times New Roman"/>
          </w:rPr>
        </w:pPr>
        <w:r w:rsidRPr="008C2C72">
          <w:rPr>
            <w:rFonts w:ascii="Times New Roman" w:hAnsi="Times New Roman" w:cs="Times New Roman"/>
          </w:rPr>
          <w:fldChar w:fldCharType="begin"/>
        </w:r>
        <w:r w:rsidRPr="008C2C72">
          <w:rPr>
            <w:rFonts w:ascii="Times New Roman" w:hAnsi="Times New Roman" w:cs="Times New Roman"/>
          </w:rPr>
          <w:instrText>PAGE   \* MERGEFORMAT</w:instrText>
        </w:r>
        <w:r w:rsidRPr="008C2C72">
          <w:rPr>
            <w:rFonts w:ascii="Times New Roman" w:hAnsi="Times New Roman" w:cs="Times New Roman"/>
          </w:rPr>
          <w:fldChar w:fldCharType="separate"/>
        </w:r>
        <w:r w:rsidRPr="008C2C72">
          <w:rPr>
            <w:rFonts w:ascii="Times New Roman" w:hAnsi="Times New Roman" w:cs="Times New Roman"/>
          </w:rPr>
          <w:t>2</w:t>
        </w:r>
        <w:r w:rsidRPr="008C2C72">
          <w:rPr>
            <w:rFonts w:ascii="Times New Roman" w:hAnsi="Times New Roman" w:cs="Times New Roman"/>
          </w:rP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F658473" w14:textId="77777777" w:rsidR="00A03CC9" w:rsidRDefault="00A03CC9" w:rsidP="000C370B">
      <w:pPr>
        <w:spacing w:after="0" w:line="240" w:lineRule="auto"/>
      </w:pPr>
      <w:r>
        <w:separator/>
      </w:r>
    </w:p>
  </w:footnote>
  <w:footnote w:type="continuationSeparator" w:id="0">
    <w:p w14:paraId="7EA6E31B" w14:textId="77777777" w:rsidR="00A03CC9" w:rsidRDefault="00A03CC9" w:rsidP="000C370B">
      <w:pPr>
        <w:spacing w:after="0" w:line="240" w:lineRule="auto"/>
      </w:pPr>
      <w:r>
        <w:continuationSeparator/>
      </w:r>
    </w:p>
  </w:footnote>
  <w:footnote w:id="1">
    <w:p w14:paraId="6B94C332" w14:textId="31BDBD19" w:rsidR="001616DC" w:rsidRPr="00BB1146" w:rsidRDefault="00BB1146">
      <w:pPr>
        <w:pStyle w:val="a3"/>
        <w:rPr>
          <w:rFonts w:ascii="Times New Roman" w:hAnsi="Times New Roman" w:cs="Times New Roman"/>
        </w:rPr>
      </w:pPr>
      <w:r>
        <w:tab/>
      </w:r>
      <w:r w:rsidR="001616DC" w:rsidRPr="00BB1146">
        <w:rPr>
          <w:rStyle w:val="a5"/>
          <w:rFonts w:ascii="Times New Roman" w:hAnsi="Times New Roman" w:cs="Times New Roman"/>
        </w:rPr>
        <w:footnoteRef/>
      </w:r>
      <w:r w:rsidR="001616DC" w:rsidRPr="00BB1146">
        <w:rPr>
          <w:rFonts w:ascii="Times New Roman" w:hAnsi="Times New Roman" w:cs="Times New Roman"/>
        </w:rPr>
        <w:t xml:space="preserve"> </w:t>
      </w:r>
      <w:r w:rsidR="008C2C72" w:rsidRPr="008C2C72">
        <w:rPr>
          <w:rFonts w:ascii="Times New Roman" w:hAnsi="Times New Roman" w:cs="Times New Roman"/>
        </w:rPr>
        <w:t>Кредиты Банка России, направленные на поддержку кредитования субъектов малого и среднего предпринимательства</w:t>
      </w:r>
      <w:r w:rsidR="008C2C72">
        <w:rPr>
          <w:rFonts w:ascii="Times New Roman" w:hAnsi="Times New Roman" w:cs="Times New Roman"/>
        </w:rPr>
        <w:t xml:space="preserve"> // Официальный сайт Банка России, </w:t>
      </w:r>
      <w:r w:rsidR="008C2C72">
        <w:rPr>
          <w:rFonts w:ascii="Times New Roman" w:hAnsi="Times New Roman" w:cs="Times New Roman"/>
          <w:lang w:val="en-US"/>
        </w:rPr>
        <w:t>URL</w:t>
      </w:r>
      <w:r w:rsidR="008C2C72" w:rsidRPr="008C2C72">
        <w:rPr>
          <w:rFonts w:ascii="Times New Roman" w:hAnsi="Times New Roman" w:cs="Times New Roman"/>
        </w:rPr>
        <w:t>:</w:t>
      </w:r>
      <w:r w:rsidR="008C2C72">
        <w:rPr>
          <w:rFonts w:ascii="Times New Roman" w:hAnsi="Times New Roman" w:cs="Times New Roman"/>
        </w:rPr>
        <w:t xml:space="preserve"> </w:t>
      </w:r>
      <w:r w:rsidR="008C2C72" w:rsidRPr="008C2C72">
        <w:rPr>
          <w:rFonts w:ascii="Times New Roman" w:hAnsi="Times New Roman" w:cs="Times New Roman"/>
        </w:rPr>
        <w:t>https://www.cbr.ru/oper_br/t_odm/secured_loans/msp/</w:t>
      </w:r>
      <w:r w:rsidR="008C2C72">
        <w:rPr>
          <w:rFonts w:ascii="Times New Roman" w:hAnsi="Times New Roman" w:cs="Times New Roman"/>
        </w:rPr>
        <w:t xml:space="preserve"> (дата обращения 14.05.2025).</w:t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792C"/>
    <w:rsid w:val="000B3F24"/>
    <w:rsid w:val="000C370B"/>
    <w:rsid w:val="00116B85"/>
    <w:rsid w:val="001616DC"/>
    <w:rsid w:val="001864AD"/>
    <w:rsid w:val="001C2E4A"/>
    <w:rsid w:val="00387843"/>
    <w:rsid w:val="00431E42"/>
    <w:rsid w:val="004D03E4"/>
    <w:rsid w:val="0058792C"/>
    <w:rsid w:val="005962E5"/>
    <w:rsid w:val="005B0612"/>
    <w:rsid w:val="005B3EAF"/>
    <w:rsid w:val="00771821"/>
    <w:rsid w:val="00786FA7"/>
    <w:rsid w:val="007904E7"/>
    <w:rsid w:val="008C2C72"/>
    <w:rsid w:val="009205B7"/>
    <w:rsid w:val="0093167D"/>
    <w:rsid w:val="009B03C3"/>
    <w:rsid w:val="00A03CC9"/>
    <w:rsid w:val="00A25107"/>
    <w:rsid w:val="00A469EC"/>
    <w:rsid w:val="00B0745F"/>
    <w:rsid w:val="00B12B67"/>
    <w:rsid w:val="00B2454C"/>
    <w:rsid w:val="00B46A02"/>
    <w:rsid w:val="00B4705D"/>
    <w:rsid w:val="00B64664"/>
    <w:rsid w:val="00BB1146"/>
    <w:rsid w:val="00BB3D8C"/>
    <w:rsid w:val="00C630BA"/>
    <w:rsid w:val="00D4329C"/>
    <w:rsid w:val="00DA1150"/>
    <w:rsid w:val="00DB533C"/>
    <w:rsid w:val="00DD22D0"/>
    <w:rsid w:val="00DE70D5"/>
    <w:rsid w:val="00DF5B17"/>
    <w:rsid w:val="00E06949"/>
    <w:rsid w:val="00E16C8F"/>
    <w:rsid w:val="00E82ED6"/>
    <w:rsid w:val="00F548D2"/>
    <w:rsid w:val="00F86A3B"/>
    <w:rsid w:val="00FA53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C6E81A0"/>
  <w15:chartTrackingRefBased/>
  <w15:docId w15:val="{A51FF518-3C80-4514-BF15-F1DF6292A9E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ru-RU" w:eastAsia="zh-CN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note text"/>
    <w:basedOn w:val="a"/>
    <w:link w:val="a4"/>
    <w:uiPriority w:val="99"/>
    <w:semiHidden/>
    <w:unhideWhenUsed/>
    <w:rsid w:val="000C370B"/>
    <w:pPr>
      <w:spacing w:after="0" w:line="240" w:lineRule="auto"/>
    </w:pPr>
    <w:rPr>
      <w:sz w:val="20"/>
      <w:szCs w:val="20"/>
    </w:rPr>
  </w:style>
  <w:style w:type="character" w:customStyle="1" w:styleId="a4">
    <w:name w:val="Текст сноски Знак"/>
    <w:basedOn w:val="a0"/>
    <w:link w:val="a3"/>
    <w:uiPriority w:val="99"/>
    <w:semiHidden/>
    <w:rsid w:val="000C370B"/>
    <w:rPr>
      <w:sz w:val="20"/>
      <w:szCs w:val="20"/>
    </w:rPr>
  </w:style>
  <w:style w:type="character" w:styleId="a5">
    <w:name w:val="footnote reference"/>
    <w:basedOn w:val="a0"/>
    <w:uiPriority w:val="99"/>
    <w:semiHidden/>
    <w:unhideWhenUsed/>
    <w:rsid w:val="000C370B"/>
    <w:rPr>
      <w:vertAlign w:val="superscript"/>
    </w:rPr>
  </w:style>
  <w:style w:type="character" w:styleId="a6">
    <w:name w:val="Hyperlink"/>
    <w:rsid w:val="00B0745F"/>
    <w:rPr>
      <w:rFonts w:cs="Times New Roman"/>
      <w:color w:val="0563C1"/>
      <w:u w:val="single"/>
    </w:rPr>
  </w:style>
  <w:style w:type="paragraph" w:styleId="a7">
    <w:name w:val="header"/>
    <w:basedOn w:val="a"/>
    <w:link w:val="a8"/>
    <w:uiPriority w:val="99"/>
    <w:unhideWhenUsed/>
    <w:rsid w:val="00B0745F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Верхний колонтитул Знак"/>
    <w:basedOn w:val="a0"/>
    <w:link w:val="a7"/>
    <w:uiPriority w:val="99"/>
    <w:rsid w:val="00B0745F"/>
  </w:style>
  <w:style w:type="paragraph" w:styleId="a9">
    <w:name w:val="footer"/>
    <w:basedOn w:val="a"/>
    <w:link w:val="aa"/>
    <w:uiPriority w:val="99"/>
    <w:unhideWhenUsed/>
    <w:rsid w:val="00B0745F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a">
    <w:name w:val="Нижний колонтитул Знак"/>
    <w:basedOn w:val="a0"/>
    <w:link w:val="a9"/>
    <w:uiPriority w:val="99"/>
    <w:rsid w:val="00B0745F"/>
  </w:style>
  <w:style w:type="character" w:styleId="ab">
    <w:name w:val="Unresolved Mention"/>
    <w:basedOn w:val="a0"/>
    <w:uiPriority w:val="99"/>
    <w:semiHidden/>
    <w:unhideWhenUsed/>
    <w:rsid w:val="00B4705D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chart" Target="charts/chart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charts/_rels/chart1.xml.rels><?xml version="1.0" encoding="UTF-8" standalone="yes"?>
<Relationships xmlns="http://schemas.openxmlformats.org/package/2006/relationships"><Relationship Id="rId3" Type="http://schemas.openxmlformats.org/officeDocument/2006/relationships/oleObject" Target="file:///C:\Users\laran\Desktop\&#1052;&#1086;&#1080;%20&#1083;&#1080;&#1095;&#1085;&#1099;&#1077;%20&#1089;&#1090;&#1072;&#1090;&#1100;&#1080;\&#1050;&#1086;&#1085;&#1092;&#1077;&#1088;&#1077;&#1085;&#1094;&#1080;&#1080;\2.%20VII%20&#1052;&#1086;&#1089;&#1082;&#1086;&#1074;&#1089;&#1082;&#1080;&#1081;%20&#1072;&#1082;&#1072;&#1076;&#1077;&#1084;&#1080;&#1095;&#1077;&#1089;&#1082;&#1080;&#1081;\&#1057;&#1090;&#1072;&#1090;&#1080;&#1089;&#1090;&#1080;&#1082;&#1072;_&#1089;&#1090;&#1072;&#1074;&#1082;&#1080;.xlsx" TargetMode="External"/><Relationship Id="rId2" Type="http://schemas.microsoft.com/office/2011/relationships/chartColorStyle" Target="colors1.xml"/><Relationship Id="rId1" Type="http://schemas.microsoft.com/office/2011/relationships/chartStyle" Target="style1.xm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1"/>
    </mc:Choice>
    <mc:Fallback>
      <c:style val="1"/>
    </mc:Fallback>
  </mc:AlternateContent>
  <c:chart>
    <c:autoTitleDeleted val="1"/>
    <c:plotArea>
      <c:layout/>
      <c:lineChart>
        <c:grouping val="standard"/>
        <c:varyColors val="0"/>
        <c:ser>
          <c:idx val="0"/>
          <c:order val="0"/>
          <c:tx>
            <c:strRef>
              <c:f>Лист1!$P$2</c:f>
              <c:strCache>
                <c:ptCount val="1"/>
                <c:pt idx="0">
                  <c:v>Поддержка несырьевого экспорта (ЭКСАР)</c:v>
                </c:pt>
              </c:strCache>
            </c:strRef>
          </c:tx>
          <c:spPr>
            <a:ln w="28575" cap="rnd">
              <a:solidFill>
                <a:schemeClr val="dk1">
                  <a:tint val="88500"/>
                </a:schemeClr>
              </a:solidFill>
              <a:round/>
            </a:ln>
            <a:effectLst/>
          </c:spPr>
          <c:marker>
            <c:symbol val="none"/>
          </c:marker>
          <c:cat>
            <c:strRef>
              <c:f>Лист1!$O$3:$O$40</c:f>
              <c:strCache>
                <c:ptCount val="38"/>
                <c:pt idx="0">
                  <c:v>2022-03-31</c:v>
                </c:pt>
                <c:pt idx="1">
                  <c:v>2022-04-30</c:v>
                </c:pt>
                <c:pt idx="2">
                  <c:v>2022-05-31</c:v>
                </c:pt>
                <c:pt idx="3">
                  <c:v>2022-06-30</c:v>
                </c:pt>
                <c:pt idx="4">
                  <c:v>2022-07-31</c:v>
                </c:pt>
                <c:pt idx="5">
                  <c:v>2022-08-31</c:v>
                </c:pt>
                <c:pt idx="6">
                  <c:v>2022-09-30</c:v>
                </c:pt>
                <c:pt idx="7">
                  <c:v>2022-10-31</c:v>
                </c:pt>
                <c:pt idx="8">
                  <c:v>2022-11-30</c:v>
                </c:pt>
                <c:pt idx="9">
                  <c:v>2022-12-31</c:v>
                </c:pt>
                <c:pt idx="10">
                  <c:v>2023-01-31</c:v>
                </c:pt>
                <c:pt idx="11">
                  <c:v>2023-02-28</c:v>
                </c:pt>
                <c:pt idx="12">
                  <c:v>2023-03-31</c:v>
                </c:pt>
                <c:pt idx="13">
                  <c:v>2023-04-30</c:v>
                </c:pt>
                <c:pt idx="14">
                  <c:v>2023-05-31</c:v>
                </c:pt>
                <c:pt idx="15">
                  <c:v>2023-06-30</c:v>
                </c:pt>
                <c:pt idx="16">
                  <c:v>2023-07-31</c:v>
                </c:pt>
                <c:pt idx="17">
                  <c:v>2023-08-31</c:v>
                </c:pt>
                <c:pt idx="18">
                  <c:v>2023-09-30</c:v>
                </c:pt>
                <c:pt idx="19">
                  <c:v>2023-10-31</c:v>
                </c:pt>
                <c:pt idx="20">
                  <c:v>2023-11-30</c:v>
                </c:pt>
                <c:pt idx="21">
                  <c:v>2023-12-31</c:v>
                </c:pt>
                <c:pt idx="22">
                  <c:v>2024-01-31</c:v>
                </c:pt>
                <c:pt idx="23">
                  <c:v>2024-02-29</c:v>
                </c:pt>
                <c:pt idx="24">
                  <c:v>2024-03-31</c:v>
                </c:pt>
                <c:pt idx="25">
                  <c:v>2024-04-30</c:v>
                </c:pt>
                <c:pt idx="26">
                  <c:v>2024-05-31</c:v>
                </c:pt>
                <c:pt idx="27">
                  <c:v>2024-06-30</c:v>
                </c:pt>
                <c:pt idx="28">
                  <c:v>2024-07-31</c:v>
                </c:pt>
                <c:pt idx="29">
                  <c:v>2024-08-31</c:v>
                </c:pt>
                <c:pt idx="30">
                  <c:v>2024-09-30</c:v>
                </c:pt>
                <c:pt idx="31">
                  <c:v>2024-10-31</c:v>
                </c:pt>
                <c:pt idx="32">
                  <c:v>2024-11-30</c:v>
                </c:pt>
                <c:pt idx="33">
                  <c:v>2024-12-31</c:v>
                </c:pt>
                <c:pt idx="34">
                  <c:v>2025-01-31</c:v>
                </c:pt>
                <c:pt idx="35">
                  <c:v>2025-02-28</c:v>
                </c:pt>
                <c:pt idx="36">
                  <c:v>2025-03-31</c:v>
                </c:pt>
                <c:pt idx="37">
                  <c:v>2025-04-30</c:v>
                </c:pt>
              </c:strCache>
            </c:strRef>
          </c:cat>
          <c:val>
            <c:numRef>
              <c:f>Лист1!$P$3:$P$40</c:f>
              <c:numCache>
                <c:formatCode>General</c:formatCode>
                <c:ptCount val="38"/>
                <c:pt idx="0">
                  <c:v>6.5</c:v>
                </c:pt>
                <c:pt idx="1">
                  <c:v>6.5</c:v>
                </c:pt>
                <c:pt idx="2">
                  <c:v>6.5</c:v>
                </c:pt>
                <c:pt idx="3">
                  <c:v>6.5</c:v>
                </c:pt>
                <c:pt idx="4">
                  <c:v>6.5</c:v>
                </c:pt>
                <c:pt idx="5">
                  <c:v>6.5</c:v>
                </c:pt>
                <c:pt idx="6">
                  <c:v>6.5</c:v>
                </c:pt>
                <c:pt idx="7">
                  <c:v>6.5</c:v>
                </c:pt>
                <c:pt idx="8">
                  <c:v>6.5</c:v>
                </c:pt>
                <c:pt idx="9">
                  <c:v>6.5</c:v>
                </c:pt>
                <c:pt idx="10">
                  <c:v>6.5</c:v>
                </c:pt>
                <c:pt idx="11">
                  <c:v>6.5</c:v>
                </c:pt>
                <c:pt idx="12">
                  <c:v>6.5</c:v>
                </c:pt>
                <c:pt idx="13">
                  <c:v>6.5</c:v>
                </c:pt>
                <c:pt idx="14">
                  <c:v>6.5</c:v>
                </c:pt>
                <c:pt idx="15">
                  <c:v>6.5</c:v>
                </c:pt>
                <c:pt idx="16">
                  <c:v>6.5</c:v>
                </c:pt>
                <c:pt idx="17">
                  <c:v>6.5</c:v>
                </c:pt>
                <c:pt idx="18">
                  <c:v>6.5</c:v>
                </c:pt>
                <c:pt idx="19">
                  <c:v>6.5</c:v>
                </c:pt>
                <c:pt idx="20">
                  <c:v>6.5</c:v>
                </c:pt>
                <c:pt idx="21">
                  <c:v>6.5</c:v>
                </c:pt>
                <c:pt idx="22">
                  <c:v>6.5</c:v>
                </c:pt>
                <c:pt idx="23">
                  <c:v>6.5</c:v>
                </c:pt>
                <c:pt idx="24">
                  <c:v>14.5</c:v>
                </c:pt>
                <c:pt idx="25">
                  <c:v>14.5</c:v>
                </c:pt>
                <c:pt idx="26">
                  <c:v>14.5</c:v>
                </c:pt>
                <c:pt idx="27">
                  <c:v>14.5</c:v>
                </c:pt>
                <c:pt idx="28">
                  <c:v>14.5</c:v>
                </c:pt>
                <c:pt idx="29">
                  <c:v>16.5</c:v>
                </c:pt>
                <c:pt idx="30">
                  <c:v>16.5</c:v>
                </c:pt>
                <c:pt idx="31">
                  <c:v>17.5</c:v>
                </c:pt>
                <c:pt idx="32">
                  <c:v>19.5</c:v>
                </c:pt>
                <c:pt idx="33">
                  <c:v>19.5</c:v>
                </c:pt>
                <c:pt idx="34">
                  <c:v>19.5</c:v>
                </c:pt>
                <c:pt idx="35">
                  <c:v>19.5</c:v>
                </c:pt>
                <c:pt idx="36">
                  <c:v>19.5</c:v>
                </c:pt>
                <c:pt idx="37">
                  <c:v>19.5</c:v>
                </c:pt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00-E31E-4917-943B-DA6DEE33D5B9}"/>
            </c:ext>
          </c:extLst>
        </c:ser>
        <c:ser>
          <c:idx val="1"/>
          <c:order val="1"/>
          <c:tx>
            <c:strRef>
              <c:f>Лист1!$Q$2</c:f>
              <c:strCache>
                <c:ptCount val="1"/>
                <c:pt idx="0">
                  <c:v>Поддержка крупных инвестиционных проектов</c:v>
                </c:pt>
              </c:strCache>
            </c:strRef>
          </c:tx>
          <c:spPr>
            <a:ln w="28575" cap="rnd">
              <a:solidFill>
                <a:schemeClr val="dk1">
                  <a:tint val="55000"/>
                </a:schemeClr>
              </a:solidFill>
              <a:round/>
            </a:ln>
            <a:effectLst/>
          </c:spPr>
          <c:marker>
            <c:symbol val="none"/>
          </c:marker>
          <c:cat>
            <c:strRef>
              <c:f>Лист1!$O$3:$O$40</c:f>
              <c:strCache>
                <c:ptCount val="38"/>
                <c:pt idx="0">
                  <c:v>2022-03-31</c:v>
                </c:pt>
                <c:pt idx="1">
                  <c:v>2022-04-30</c:v>
                </c:pt>
                <c:pt idx="2">
                  <c:v>2022-05-31</c:v>
                </c:pt>
                <c:pt idx="3">
                  <c:v>2022-06-30</c:v>
                </c:pt>
                <c:pt idx="4">
                  <c:v>2022-07-31</c:v>
                </c:pt>
                <c:pt idx="5">
                  <c:v>2022-08-31</c:v>
                </c:pt>
                <c:pt idx="6">
                  <c:v>2022-09-30</c:v>
                </c:pt>
                <c:pt idx="7">
                  <c:v>2022-10-31</c:v>
                </c:pt>
                <c:pt idx="8">
                  <c:v>2022-11-30</c:v>
                </c:pt>
                <c:pt idx="9">
                  <c:v>2022-12-31</c:v>
                </c:pt>
                <c:pt idx="10">
                  <c:v>2023-01-31</c:v>
                </c:pt>
                <c:pt idx="11">
                  <c:v>2023-02-28</c:v>
                </c:pt>
                <c:pt idx="12">
                  <c:v>2023-03-31</c:v>
                </c:pt>
                <c:pt idx="13">
                  <c:v>2023-04-30</c:v>
                </c:pt>
                <c:pt idx="14">
                  <c:v>2023-05-31</c:v>
                </c:pt>
                <c:pt idx="15">
                  <c:v>2023-06-30</c:v>
                </c:pt>
                <c:pt idx="16">
                  <c:v>2023-07-31</c:v>
                </c:pt>
                <c:pt idx="17">
                  <c:v>2023-08-31</c:v>
                </c:pt>
                <c:pt idx="18">
                  <c:v>2023-09-30</c:v>
                </c:pt>
                <c:pt idx="19">
                  <c:v>2023-10-31</c:v>
                </c:pt>
                <c:pt idx="20">
                  <c:v>2023-11-30</c:v>
                </c:pt>
                <c:pt idx="21">
                  <c:v>2023-12-31</c:v>
                </c:pt>
                <c:pt idx="22">
                  <c:v>2024-01-31</c:v>
                </c:pt>
                <c:pt idx="23">
                  <c:v>2024-02-29</c:v>
                </c:pt>
                <c:pt idx="24">
                  <c:v>2024-03-31</c:v>
                </c:pt>
                <c:pt idx="25">
                  <c:v>2024-04-30</c:v>
                </c:pt>
                <c:pt idx="26">
                  <c:v>2024-05-31</c:v>
                </c:pt>
                <c:pt idx="27">
                  <c:v>2024-06-30</c:v>
                </c:pt>
                <c:pt idx="28">
                  <c:v>2024-07-31</c:v>
                </c:pt>
                <c:pt idx="29">
                  <c:v>2024-08-31</c:v>
                </c:pt>
                <c:pt idx="30">
                  <c:v>2024-09-30</c:v>
                </c:pt>
                <c:pt idx="31">
                  <c:v>2024-10-31</c:v>
                </c:pt>
                <c:pt idx="32">
                  <c:v>2024-11-30</c:v>
                </c:pt>
                <c:pt idx="33">
                  <c:v>2024-12-31</c:v>
                </c:pt>
                <c:pt idx="34">
                  <c:v>2025-01-31</c:v>
                </c:pt>
                <c:pt idx="35">
                  <c:v>2025-02-28</c:v>
                </c:pt>
                <c:pt idx="36">
                  <c:v>2025-03-31</c:v>
                </c:pt>
                <c:pt idx="37">
                  <c:v>2025-04-30</c:v>
                </c:pt>
              </c:strCache>
            </c:strRef>
          </c:cat>
          <c:val>
            <c:numRef>
              <c:f>Лист1!$Q$3:$Q$40</c:f>
              <c:numCache>
                <c:formatCode>General</c:formatCode>
                <c:ptCount val="38"/>
                <c:pt idx="0">
                  <c:v>9</c:v>
                </c:pt>
                <c:pt idx="1">
                  <c:v>9</c:v>
                </c:pt>
                <c:pt idx="2">
                  <c:v>9</c:v>
                </c:pt>
                <c:pt idx="3">
                  <c:v>9</c:v>
                </c:pt>
                <c:pt idx="4">
                  <c:v>8.5</c:v>
                </c:pt>
                <c:pt idx="5">
                  <c:v>7</c:v>
                </c:pt>
                <c:pt idx="6">
                  <c:v>7</c:v>
                </c:pt>
                <c:pt idx="7">
                  <c:v>6.5</c:v>
                </c:pt>
                <c:pt idx="8">
                  <c:v>6.5</c:v>
                </c:pt>
                <c:pt idx="9">
                  <c:v>6.5</c:v>
                </c:pt>
                <c:pt idx="10">
                  <c:v>6.5</c:v>
                </c:pt>
                <c:pt idx="11">
                  <c:v>6.5</c:v>
                </c:pt>
                <c:pt idx="12">
                  <c:v>6.5</c:v>
                </c:pt>
                <c:pt idx="13">
                  <c:v>6.5</c:v>
                </c:pt>
                <c:pt idx="14">
                  <c:v>6.5</c:v>
                </c:pt>
                <c:pt idx="15">
                  <c:v>6.5</c:v>
                </c:pt>
                <c:pt idx="16">
                  <c:v>6.5</c:v>
                </c:pt>
                <c:pt idx="17">
                  <c:v>7.5</c:v>
                </c:pt>
                <c:pt idx="18">
                  <c:v>9</c:v>
                </c:pt>
                <c:pt idx="19">
                  <c:v>9</c:v>
                </c:pt>
                <c:pt idx="20">
                  <c:v>9</c:v>
                </c:pt>
                <c:pt idx="21">
                  <c:v>9</c:v>
                </c:pt>
                <c:pt idx="22">
                  <c:v>9</c:v>
                </c:pt>
                <c:pt idx="23">
                  <c:v>9</c:v>
                </c:pt>
                <c:pt idx="24">
                  <c:v>9</c:v>
                </c:pt>
                <c:pt idx="25">
                  <c:v>9</c:v>
                </c:pt>
                <c:pt idx="26">
                  <c:v>9</c:v>
                </c:pt>
                <c:pt idx="27">
                  <c:v>9</c:v>
                </c:pt>
                <c:pt idx="28">
                  <c:v>9</c:v>
                </c:pt>
                <c:pt idx="29">
                  <c:v>9</c:v>
                </c:pt>
                <c:pt idx="30">
                  <c:v>9</c:v>
                </c:pt>
                <c:pt idx="31">
                  <c:v>9</c:v>
                </c:pt>
                <c:pt idx="32">
                  <c:v>9</c:v>
                </c:pt>
                <c:pt idx="33">
                  <c:v>9</c:v>
                </c:pt>
                <c:pt idx="34">
                  <c:v>9</c:v>
                </c:pt>
                <c:pt idx="35">
                  <c:v>9</c:v>
                </c:pt>
                <c:pt idx="36">
                  <c:v>9</c:v>
                </c:pt>
                <c:pt idx="37">
                  <c:v>9</c:v>
                </c:pt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01-E31E-4917-943B-DA6DEE33D5B9}"/>
            </c:ext>
          </c:extLst>
        </c:ser>
        <c:ser>
          <c:idx val="2"/>
          <c:order val="2"/>
          <c:tx>
            <c:strRef>
              <c:f>Лист1!$R$2</c:f>
              <c:strCache>
                <c:ptCount val="1"/>
                <c:pt idx="0">
                  <c:v>Поддержка инвестиционных проектов в отдельных субъектах РФ</c:v>
                </c:pt>
              </c:strCache>
            </c:strRef>
          </c:tx>
          <c:spPr>
            <a:ln w="28575" cap="rnd">
              <a:solidFill>
                <a:schemeClr val="dk1">
                  <a:tint val="75000"/>
                </a:schemeClr>
              </a:solidFill>
              <a:round/>
            </a:ln>
            <a:effectLst/>
          </c:spPr>
          <c:marker>
            <c:symbol val="none"/>
          </c:marker>
          <c:cat>
            <c:strRef>
              <c:f>Лист1!$O$3:$O$40</c:f>
              <c:strCache>
                <c:ptCount val="38"/>
                <c:pt idx="0">
                  <c:v>2022-03-31</c:v>
                </c:pt>
                <c:pt idx="1">
                  <c:v>2022-04-30</c:v>
                </c:pt>
                <c:pt idx="2">
                  <c:v>2022-05-31</c:v>
                </c:pt>
                <c:pt idx="3">
                  <c:v>2022-06-30</c:v>
                </c:pt>
                <c:pt idx="4">
                  <c:v>2022-07-31</c:v>
                </c:pt>
                <c:pt idx="5">
                  <c:v>2022-08-31</c:v>
                </c:pt>
                <c:pt idx="6">
                  <c:v>2022-09-30</c:v>
                </c:pt>
                <c:pt idx="7">
                  <c:v>2022-10-31</c:v>
                </c:pt>
                <c:pt idx="8">
                  <c:v>2022-11-30</c:v>
                </c:pt>
                <c:pt idx="9">
                  <c:v>2022-12-31</c:v>
                </c:pt>
                <c:pt idx="10">
                  <c:v>2023-01-31</c:v>
                </c:pt>
                <c:pt idx="11">
                  <c:v>2023-02-28</c:v>
                </c:pt>
                <c:pt idx="12">
                  <c:v>2023-03-31</c:v>
                </c:pt>
                <c:pt idx="13">
                  <c:v>2023-04-30</c:v>
                </c:pt>
                <c:pt idx="14">
                  <c:v>2023-05-31</c:v>
                </c:pt>
                <c:pt idx="15">
                  <c:v>2023-06-30</c:v>
                </c:pt>
                <c:pt idx="16">
                  <c:v>2023-07-31</c:v>
                </c:pt>
                <c:pt idx="17">
                  <c:v>2023-08-31</c:v>
                </c:pt>
                <c:pt idx="18">
                  <c:v>2023-09-30</c:v>
                </c:pt>
                <c:pt idx="19">
                  <c:v>2023-10-31</c:v>
                </c:pt>
                <c:pt idx="20">
                  <c:v>2023-11-30</c:v>
                </c:pt>
                <c:pt idx="21">
                  <c:v>2023-12-31</c:v>
                </c:pt>
                <c:pt idx="22">
                  <c:v>2024-01-31</c:v>
                </c:pt>
                <c:pt idx="23">
                  <c:v>2024-02-29</c:v>
                </c:pt>
                <c:pt idx="24">
                  <c:v>2024-03-31</c:v>
                </c:pt>
                <c:pt idx="25">
                  <c:v>2024-04-30</c:v>
                </c:pt>
                <c:pt idx="26">
                  <c:v>2024-05-31</c:v>
                </c:pt>
                <c:pt idx="27">
                  <c:v>2024-06-30</c:v>
                </c:pt>
                <c:pt idx="28">
                  <c:v>2024-07-31</c:v>
                </c:pt>
                <c:pt idx="29">
                  <c:v>2024-08-31</c:v>
                </c:pt>
                <c:pt idx="30">
                  <c:v>2024-09-30</c:v>
                </c:pt>
                <c:pt idx="31">
                  <c:v>2024-10-31</c:v>
                </c:pt>
                <c:pt idx="32">
                  <c:v>2024-11-30</c:v>
                </c:pt>
                <c:pt idx="33">
                  <c:v>2024-12-31</c:v>
                </c:pt>
                <c:pt idx="34">
                  <c:v>2025-01-31</c:v>
                </c:pt>
                <c:pt idx="35">
                  <c:v>2025-02-28</c:v>
                </c:pt>
                <c:pt idx="36">
                  <c:v>2025-03-31</c:v>
                </c:pt>
                <c:pt idx="37">
                  <c:v>2025-04-30</c:v>
                </c:pt>
              </c:strCache>
            </c:strRef>
          </c:cat>
          <c:val>
            <c:numRef>
              <c:f>Лист1!$R$3:$R$40</c:f>
              <c:numCache>
                <c:formatCode>General</c:formatCode>
                <c:ptCount val="38"/>
                <c:pt idx="0">
                  <c:v>20.25</c:v>
                </c:pt>
                <c:pt idx="1">
                  <c:v>20.25</c:v>
                </c:pt>
                <c:pt idx="2">
                  <c:v>14.25</c:v>
                </c:pt>
                <c:pt idx="3">
                  <c:v>11.25</c:v>
                </c:pt>
                <c:pt idx="4">
                  <c:v>9.75</c:v>
                </c:pt>
                <c:pt idx="5">
                  <c:v>8.25</c:v>
                </c:pt>
                <c:pt idx="6">
                  <c:v>8.25</c:v>
                </c:pt>
                <c:pt idx="7">
                  <c:v>7.75</c:v>
                </c:pt>
                <c:pt idx="8">
                  <c:v>7.75</c:v>
                </c:pt>
                <c:pt idx="9">
                  <c:v>7.75</c:v>
                </c:pt>
                <c:pt idx="10">
                  <c:v>7.75</c:v>
                </c:pt>
                <c:pt idx="11">
                  <c:v>7.75</c:v>
                </c:pt>
                <c:pt idx="12">
                  <c:v>7.75</c:v>
                </c:pt>
                <c:pt idx="13">
                  <c:v>7.75</c:v>
                </c:pt>
                <c:pt idx="14">
                  <c:v>7.75</c:v>
                </c:pt>
                <c:pt idx="15">
                  <c:v>7.75</c:v>
                </c:pt>
                <c:pt idx="16">
                  <c:v>7.75</c:v>
                </c:pt>
                <c:pt idx="17">
                  <c:v>8.75</c:v>
                </c:pt>
                <c:pt idx="18">
                  <c:v>12.25</c:v>
                </c:pt>
                <c:pt idx="19">
                  <c:v>13.25</c:v>
                </c:pt>
                <c:pt idx="20">
                  <c:v>15.25</c:v>
                </c:pt>
                <c:pt idx="21">
                  <c:v>15.25</c:v>
                </c:pt>
                <c:pt idx="22">
                  <c:v>16.25</c:v>
                </c:pt>
                <c:pt idx="23">
                  <c:v>16.25</c:v>
                </c:pt>
                <c:pt idx="24">
                  <c:v>16.25</c:v>
                </c:pt>
                <c:pt idx="25">
                  <c:v>16.25</c:v>
                </c:pt>
                <c:pt idx="26">
                  <c:v>16.25</c:v>
                </c:pt>
                <c:pt idx="27">
                  <c:v>16.25</c:v>
                </c:pt>
                <c:pt idx="28">
                  <c:v>16.25</c:v>
                </c:pt>
                <c:pt idx="29">
                  <c:v>18.25</c:v>
                </c:pt>
                <c:pt idx="30">
                  <c:v>18.25</c:v>
                </c:pt>
                <c:pt idx="31">
                  <c:v>19.25</c:v>
                </c:pt>
                <c:pt idx="32">
                  <c:v>21.25</c:v>
                </c:pt>
                <c:pt idx="33">
                  <c:v>21.25</c:v>
                </c:pt>
                <c:pt idx="34">
                  <c:v>21.25</c:v>
                </c:pt>
                <c:pt idx="35">
                  <c:v>21.25</c:v>
                </c:pt>
                <c:pt idx="36">
                  <c:v>21.25</c:v>
                </c:pt>
                <c:pt idx="37">
                  <c:v>21.25</c:v>
                </c:pt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02-E31E-4917-943B-DA6DEE33D5B9}"/>
            </c:ext>
          </c:extLst>
        </c:ser>
        <c:ser>
          <c:idx val="3"/>
          <c:order val="3"/>
          <c:tx>
            <c:strRef>
              <c:f>Лист1!$S$2</c:f>
              <c:strCache>
                <c:ptCount val="1"/>
                <c:pt idx="0">
                  <c:v>Поддержка МСП</c:v>
                </c:pt>
              </c:strCache>
            </c:strRef>
          </c:tx>
          <c:spPr>
            <a:ln w="28575" cap="rnd">
              <a:solidFill>
                <a:schemeClr val="dk1">
                  <a:tint val="98500"/>
                </a:schemeClr>
              </a:solidFill>
              <a:round/>
            </a:ln>
            <a:effectLst/>
          </c:spPr>
          <c:marker>
            <c:symbol val="none"/>
          </c:marker>
          <c:cat>
            <c:strRef>
              <c:f>Лист1!$O$3:$O$40</c:f>
              <c:strCache>
                <c:ptCount val="38"/>
                <c:pt idx="0">
                  <c:v>2022-03-31</c:v>
                </c:pt>
                <c:pt idx="1">
                  <c:v>2022-04-30</c:v>
                </c:pt>
                <c:pt idx="2">
                  <c:v>2022-05-31</c:v>
                </c:pt>
                <c:pt idx="3">
                  <c:v>2022-06-30</c:v>
                </c:pt>
                <c:pt idx="4">
                  <c:v>2022-07-31</c:v>
                </c:pt>
                <c:pt idx="5">
                  <c:v>2022-08-31</c:v>
                </c:pt>
                <c:pt idx="6">
                  <c:v>2022-09-30</c:v>
                </c:pt>
                <c:pt idx="7">
                  <c:v>2022-10-31</c:v>
                </c:pt>
                <c:pt idx="8">
                  <c:v>2022-11-30</c:v>
                </c:pt>
                <c:pt idx="9">
                  <c:v>2022-12-31</c:v>
                </c:pt>
                <c:pt idx="10">
                  <c:v>2023-01-31</c:v>
                </c:pt>
                <c:pt idx="11">
                  <c:v>2023-02-28</c:v>
                </c:pt>
                <c:pt idx="12">
                  <c:v>2023-03-31</c:v>
                </c:pt>
                <c:pt idx="13">
                  <c:v>2023-04-30</c:v>
                </c:pt>
                <c:pt idx="14">
                  <c:v>2023-05-31</c:v>
                </c:pt>
                <c:pt idx="15">
                  <c:v>2023-06-30</c:v>
                </c:pt>
                <c:pt idx="16">
                  <c:v>2023-07-31</c:v>
                </c:pt>
                <c:pt idx="17">
                  <c:v>2023-08-31</c:v>
                </c:pt>
                <c:pt idx="18">
                  <c:v>2023-09-30</c:v>
                </c:pt>
                <c:pt idx="19">
                  <c:v>2023-10-31</c:v>
                </c:pt>
                <c:pt idx="20">
                  <c:v>2023-11-30</c:v>
                </c:pt>
                <c:pt idx="21">
                  <c:v>2023-12-31</c:v>
                </c:pt>
                <c:pt idx="22">
                  <c:v>2024-01-31</c:v>
                </c:pt>
                <c:pt idx="23">
                  <c:v>2024-02-29</c:v>
                </c:pt>
                <c:pt idx="24">
                  <c:v>2024-03-31</c:v>
                </c:pt>
                <c:pt idx="25">
                  <c:v>2024-04-30</c:v>
                </c:pt>
                <c:pt idx="26">
                  <c:v>2024-05-31</c:v>
                </c:pt>
                <c:pt idx="27">
                  <c:v>2024-06-30</c:v>
                </c:pt>
                <c:pt idx="28">
                  <c:v>2024-07-31</c:v>
                </c:pt>
                <c:pt idx="29">
                  <c:v>2024-08-31</c:v>
                </c:pt>
                <c:pt idx="30">
                  <c:v>2024-09-30</c:v>
                </c:pt>
                <c:pt idx="31">
                  <c:v>2024-10-31</c:v>
                </c:pt>
                <c:pt idx="32">
                  <c:v>2024-11-30</c:v>
                </c:pt>
                <c:pt idx="33">
                  <c:v>2024-12-31</c:v>
                </c:pt>
                <c:pt idx="34">
                  <c:v>2025-01-31</c:v>
                </c:pt>
                <c:pt idx="35">
                  <c:v>2025-02-28</c:v>
                </c:pt>
                <c:pt idx="36">
                  <c:v>2025-03-31</c:v>
                </c:pt>
                <c:pt idx="37">
                  <c:v>2025-04-30</c:v>
                </c:pt>
              </c:strCache>
            </c:strRef>
          </c:cat>
          <c:val>
            <c:numRef>
              <c:f>Лист1!$S$3:$S$40</c:f>
              <c:numCache>
                <c:formatCode>General</c:formatCode>
                <c:ptCount val="38"/>
                <c:pt idx="0">
                  <c:v>18.5</c:v>
                </c:pt>
                <c:pt idx="1">
                  <c:v>9.5</c:v>
                </c:pt>
                <c:pt idx="2">
                  <c:v>9.5</c:v>
                </c:pt>
                <c:pt idx="3">
                  <c:v>9.5</c:v>
                </c:pt>
                <c:pt idx="4">
                  <c:v>9.5</c:v>
                </c:pt>
                <c:pt idx="5">
                  <c:v>6.5</c:v>
                </c:pt>
                <c:pt idx="6">
                  <c:v>6.5</c:v>
                </c:pt>
                <c:pt idx="7">
                  <c:v>6</c:v>
                </c:pt>
                <c:pt idx="8">
                  <c:v>6</c:v>
                </c:pt>
                <c:pt idx="9">
                  <c:v>6</c:v>
                </c:pt>
                <c:pt idx="10">
                  <c:v>6</c:v>
                </c:pt>
                <c:pt idx="11">
                  <c:v>6</c:v>
                </c:pt>
                <c:pt idx="12">
                  <c:v>6</c:v>
                </c:pt>
                <c:pt idx="13">
                  <c:v>6</c:v>
                </c:pt>
                <c:pt idx="14">
                  <c:v>6</c:v>
                </c:pt>
                <c:pt idx="15">
                  <c:v>6</c:v>
                </c:pt>
                <c:pt idx="16">
                  <c:v>6</c:v>
                </c:pt>
                <c:pt idx="17">
                  <c:v>7</c:v>
                </c:pt>
                <c:pt idx="18">
                  <c:v>10.5</c:v>
                </c:pt>
                <c:pt idx="19">
                  <c:v>11.5</c:v>
                </c:pt>
                <c:pt idx="20">
                  <c:v>13.5</c:v>
                </c:pt>
                <c:pt idx="21">
                  <c:v>13.5</c:v>
                </c:pt>
                <c:pt idx="22">
                  <c:v>14.5</c:v>
                </c:pt>
                <c:pt idx="23">
                  <c:v>14.5</c:v>
                </c:pt>
                <c:pt idx="24">
                  <c:v>14.5</c:v>
                </c:pt>
                <c:pt idx="25">
                  <c:v>14.5</c:v>
                </c:pt>
                <c:pt idx="26">
                  <c:v>14.5</c:v>
                </c:pt>
                <c:pt idx="27">
                  <c:v>14.5</c:v>
                </c:pt>
                <c:pt idx="28">
                  <c:v>14.5</c:v>
                </c:pt>
                <c:pt idx="29">
                  <c:v>16.5</c:v>
                </c:pt>
                <c:pt idx="30">
                  <c:v>16.5</c:v>
                </c:pt>
                <c:pt idx="31">
                  <c:v>17.5</c:v>
                </c:pt>
                <c:pt idx="32">
                  <c:v>19.5</c:v>
                </c:pt>
                <c:pt idx="33">
                  <c:v>19.5</c:v>
                </c:pt>
                <c:pt idx="34">
                  <c:v>19.5</c:v>
                </c:pt>
                <c:pt idx="35">
                  <c:v>19.5</c:v>
                </c:pt>
                <c:pt idx="36">
                  <c:v>19.5</c:v>
                </c:pt>
                <c:pt idx="37">
                  <c:v>19.5</c:v>
                </c:pt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03-E31E-4917-943B-DA6DEE33D5B9}"/>
            </c:ext>
          </c:extLst>
        </c:ser>
        <c:ser>
          <c:idx val="4"/>
          <c:order val="4"/>
          <c:tx>
            <c:strRef>
              <c:f>Лист1!$T$2</c:f>
              <c:strCache>
                <c:ptCount val="1"/>
                <c:pt idx="0">
                  <c:v>Ключевая ставка</c:v>
                </c:pt>
              </c:strCache>
            </c:strRef>
          </c:tx>
          <c:spPr>
            <a:ln w="28575" cap="rnd">
              <a:solidFill>
                <a:schemeClr val="dk1">
                  <a:tint val="30000"/>
                </a:schemeClr>
              </a:solidFill>
              <a:round/>
            </a:ln>
            <a:effectLst/>
          </c:spPr>
          <c:marker>
            <c:symbol val="none"/>
          </c:marker>
          <c:cat>
            <c:strRef>
              <c:f>Лист1!$O$3:$O$40</c:f>
              <c:strCache>
                <c:ptCount val="38"/>
                <c:pt idx="0">
                  <c:v>2022-03-31</c:v>
                </c:pt>
                <c:pt idx="1">
                  <c:v>2022-04-30</c:v>
                </c:pt>
                <c:pt idx="2">
                  <c:v>2022-05-31</c:v>
                </c:pt>
                <c:pt idx="3">
                  <c:v>2022-06-30</c:v>
                </c:pt>
                <c:pt idx="4">
                  <c:v>2022-07-31</c:v>
                </c:pt>
                <c:pt idx="5">
                  <c:v>2022-08-31</c:v>
                </c:pt>
                <c:pt idx="6">
                  <c:v>2022-09-30</c:v>
                </c:pt>
                <c:pt idx="7">
                  <c:v>2022-10-31</c:v>
                </c:pt>
                <c:pt idx="8">
                  <c:v>2022-11-30</c:v>
                </c:pt>
                <c:pt idx="9">
                  <c:v>2022-12-31</c:v>
                </c:pt>
                <c:pt idx="10">
                  <c:v>2023-01-31</c:v>
                </c:pt>
                <c:pt idx="11">
                  <c:v>2023-02-28</c:v>
                </c:pt>
                <c:pt idx="12">
                  <c:v>2023-03-31</c:v>
                </c:pt>
                <c:pt idx="13">
                  <c:v>2023-04-30</c:v>
                </c:pt>
                <c:pt idx="14">
                  <c:v>2023-05-31</c:v>
                </c:pt>
                <c:pt idx="15">
                  <c:v>2023-06-30</c:v>
                </c:pt>
                <c:pt idx="16">
                  <c:v>2023-07-31</c:v>
                </c:pt>
                <c:pt idx="17">
                  <c:v>2023-08-31</c:v>
                </c:pt>
                <c:pt idx="18">
                  <c:v>2023-09-30</c:v>
                </c:pt>
                <c:pt idx="19">
                  <c:v>2023-10-31</c:v>
                </c:pt>
                <c:pt idx="20">
                  <c:v>2023-11-30</c:v>
                </c:pt>
                <c:pt idx="21">
                  <c:v>2023-12-31</c:v>
                </c:pt>
                <c:pt idx="22">
                  <c:v>2024-01-31</c:v>
                </c:pt>
                <c:pt idx="23">
                  <c:v>2024-02-29</c:v>
                </c:pt>
                <c:pt idx="24">
                  <c:v>2024-03-31</c:v>
                </c:pt>
                <c:pt idx="25">
                  <c:v>2024-04-30</c:v>
                </c:pt>
                <c:pt idx="26">
                  <c:v>2024-05-31</c:v>
                </c:pt>
                <c:pt idx="27">
                  <c:v>2024-06-30</c:v>
                </c:pt>
                <c:pt idx="28">
                  <c:v>2024-07-31</c:v>
                </c:pt>
                <c:pt idx="29">
                  <c:v>2024-08-31</c:v>
                </c:pt>
                <c:pt idx="30">
                  <c:v>2024-09-30</c:v>
                </c:pt>
                <c:pt idx="31">
                  <c:v>2024-10-31</c:v>
                </c:pt>
                <c:pt idx="32">
                  <c:v>2024-11-30</c:v>
                </c:pt>
                <c:pt idx="33">
                  <c:v>2024-12-31</c:v>
                </c:pt>
                <c:pt idx="34">
                  <c:v>2025-01-31</c:v>
                </c:pt>
                <c:pt idx="35">
                  <c:v>2025-02-28</c:v>
                </c:pt>
                <c:pt idx="36">
                  <c:v>2025-03-31</c:v>
                </c:pt>
                <c:pt idx="37">
                  <c:v>2025-04-30</c:v>
                </c:pt>
              </c:strCache>
            </c:strRef>
          </c:cat>
          <c:val>
            <c:numRef>
              <c:f>Лист1!$T$3:$T$40</c:f>
              <c:numCache>
                <c:formatCode>General</c:formatCode>
                <c:ptCount val="38"/>
                <c:pt idx="0">
                  <c:v>20</c:v>
                </c:pt>
                <c:pt idx="1">
                  <c:v>17</c:v>
                </c:pt>
                <c:pt idx="2">
                  <c:v>11</c:v>
                </c:pt>
                <c:pt idx="3">
                  <c:v>9.5</c:v>
                </c:pt>
                <c:pt idx="4">
                  <c:v>8</c:v>
                </c:pt>
                <c:pt idx="5">
                  <c:v>8</c:v>
                </c:pt>
                <c:pt idx="6">
                  <c:v>7.5</c:v>
                </c:pt>
                <c:pt idx="7">
                  <c:v>7.5</c:v>
                </c:pt>
                <c:pt idx="8">
                  <c:v>7.5</c:v>
                </c:pt>
                <c:pt idx="9">
                  <c:v>7.5</c:v>
                </c:pt>
                <c:pt idx="10">
                  <c:v>7.5</c:v>
                </c:pt>
                <c:pt idx="11">
                  <c:v>7.5</c:v>
                </c:pt>
                <c:pt idx="12">
                  <c:v>7.5</c:v>
                </c:pt>
                <c:pt idx="13">
                  <c:v>7.5</c:v>
                </c:pt>
                <c:pt idx="14">
                  <c:v>7.5</c:v>
                </c:pt>
                <c:pt idx="15">
                  <c:v>7.5</c:v>
                </c:pt>
                <c:pt idx="16">
                  <c:v>8.5</c:v>
                </c:pt>
                <c:pt idx="17">
                  <c:v>12</c:v>
                </c:pt>
                <c:pt idx="18">
                  <c:v>13</c:v>
                </c:pt>
                <c:pt idx="19">
                  <c:v>15</c:v>
                </c:pt>
                <c:pt idx="20">
                  <c:v>15</c:v>
                </c:pt>
                <c:pt idx="21">
                  <c:v>16</c:v>
                </c:pt>
                <c:pt idx="22">
                  <c:v>16</c:v>
                </c:pt>
                <c:pt idx="23">
                  <c:v>16</c:v>
                </c:pt>
                <c:pt idx="24">
                  <c:v>16</c:v>
                </c:pt>
                <c:pt idx="25">
                  <c:v>16</c:v>
                </c:pt>
                <c:pt idx="26">
                  <c:v>16</c:v>
                </c:pt>
                <c:pt idx="27">
                  <c:v>16</c:v>
                </c:pt>
                <c:pt idx="28">
                  <c:v>18</c:v>
                </c:pt>
                <c:pt idx="29">
                  <c:v>18</c:v>
                </c:pt>
                <c:pt idx="30">
                  <c:v>19</c:v>
                </c:pt>
                <c:pt idx="31">
                  <c:v>21</c:v>
                </c:pt>
                <c:pt idx="32">
                  <c:v>21</c:v>
                </c:pt>
                <c:pt idx="33">
                  <c:v>21</c:v>
                </c:pt>
                <c:pt idx="34">
                  <c:v>21</c:v>
                </c:pt>
                <c:pt idx="35">
                  <c:v>21</c:v>
                </c:pt>
                <c:pt idx="36">
                  <c:v>21</c:v>
                </c:pt>
                <c:pt idx="37">
                  <c:v>21</c:v>
                </c:pt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04-E31E-4917-943B-DA6DEE33D5B9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smooth val="0"/>
        <c:axId val="1248830207"/>
        <c:axId val="1329190703"/>
      </c:lineChart>
      <c:catAx>
        <c:axId val="1248830207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ru-RU"/>
          </a:p>
        </c:txPr>
        <c:crossAx val="1329190703"/>
        <c:crosses val="autoZero"/>
        <c:auto val="1"/>
        <c:lblAlgn val="ctr"/>
        <c:lblOffset val="100"/>
        <c:noMultiLvlLbl val="0"/>
      </c:catAx>
      <c:valAx>
        <c:axId val="1329190703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General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ru-RU"/>
          </a:p>
        </c:txPr>
        <c:crossAx val="1248830207"/>
        <c:crosses val="autoZero"/>
        <c:crossBetween val="between"/>
      </c:valAx>
      <c:spPr>
        <a:noFill/>
        <a:ln>
          <a:noFill/>
        </a:ln>
        <a:effectLst/>
      </c:spPr>
    </c:plotArea>
    <c:legend>
      <c:legendPos val="b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ru-RU"/>
        </a:p>
      </c:txPr>
    </c:legend>
    <c:plotVisOnly val="1"/>
    <c:dispBlanksAs val="gap"/>
    <c:extLst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ru-RU"/>
    </a:p>
  </c:txPr>
  <c:externalData r:id="rId3">
    <c:autoUpdate val="0"/>
  </c:externalData>
</c:chartSpace>
</file>

<file path=word/charts/colors1.xml><?xml version="1.0" encoding="utf-8"?>
<cs:colorStyle xmlns:cs="http://schemas.microsoft.com/office/drawing/2012/chartStyle" xmlns:a="http://schemas.openxmlformats.org/drawingml/2006/main" meth="cycle" id="20">
  <a:schemeClr val="dk1"/>
  <cs:variation>
    <a:tint val="88500"/>
  </cs:variation>
  <cs:variation>
    <a:tint val="55000"/>
  </cs:variation>
  <cs:variation>
    <a:tint val="75000"/>
  </cs:variation>
  <cs:variation>
    <a:tint val="98500"/>
  </cs:variation>
  <cs:variation>
    <a:tint val="30000"/>
  </cs:variation>
  <cs:variation>
    <a:tint val="60000"/>
  </cs:variation>
  <cs:variation>
    <a:tint val="80000"/>
  </cs:variation>
</cs:colorStyle>
</file>

<file path=word/charts/style1.xml><?xml version="1.0" encoding="utf-8"?>
<cs:chartStyle xmlns:cs="http://schemas.microsoft.com/office/drawing/2012/chartStyle" xmlns:a="http://schemas.openxmlformats.org/drawingml/2006/main" id="227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  <cs:spPr>
      <a:solidFill>
        <a:schemeClr val="phClr"/>
      </a:solidFill>
    </cs:spPr>
  </cs:dataPoint>
  <cs:dataPoint3D>
    <cs:lnRef idx="0"/>
    <cs:fillRef idx="1">
      <cs:styleClr val="auto"/>
    </cs:fillRef>
    <cs:effectRef idx="0"/>
    <cs:fontRef idx="minor">
      <a:schemeClr val="tx1"/>
    </cs:fontRef>
    <cs:spPr>
      <a:solidFill>
        <a:schemeClr val="phClr"/>
      </a:solidFill>
    </cs:spPr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solidFill>
        <a:schemeClr val="phClr"/>
      </a:solidFill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65000"/>
          <a:lumOff val="35000"/>
        </a:schemeClr>
      </a:solidFill>
      <a:ln w="9525">
        <a:solidFill>
          <a:schemeClr val="tx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75000"/>
            <a:lumOff val="25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15000"/>
            <a:lumOff val="85000"/>
          </a:schemeClr>
        </a:solidFill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B328083-A0C8-4359-9CD2-749E236D28A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1424</Words>
  <Characters>8118</Characters>
  <Application>Microsoft Office Word</Application>
  <DocSecurity>0</DocSecurity>
  <Lines>67</Lines>
  <Paragraphs>19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9523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Ларионов Александр Витальевич</dc:creator>
  <cp:keywords/>
  <dc:description/>
  <cp:lastModifiedBy>Ларионов Александр Витальевич</cp:lastModifiedBy>
  <cp:revision>2</cp:revision>
  <dcterms:created xsi:type="dcterms:W3CDTF">2025-05-14T20:42:00Z</dcterms:created>
  <dcterms:modified xsi:type="dcterms:W3CDTF">2025-05-14T20:42:00Z</dcterms:modified>
</cp:coreProperties>
</file>