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27FDDB" w14:textId="1226924E" w:rsidR="00BD23EB" w:rsidRDefault="003A34F6" w:rsidP="005842F6">
      <w:pPr>
        <w:spacing w:line="240" w:lineRule="auto"/>
        <w:ind w:firstLine="709"/>
        <w:rPr>
          <w:rFonts w:ascii="Times New Roman" w:hAnsi="Times New Roman" w:cs="Times New Roman"/>
          <w:b/>
          <w:bCs/>
          <w:sz w:val="24"/>
          <w:szCs w:val="24"/>
        </w:rPr>
      </w:pPr>
      <w:r>
        <w:rPr>
          <w:rFonts w:ascii="Times New Roman" w:hAnsi="Times New Roman" w:cs="Times New Roman"/>
          <w:b/>
          <w:bCs/>
          <w:sz w:val="24"/>
          <w:szCs w:val="24"/>
        </w:rPr>
        <w:t xml:space="preserve">УДК </w:t>
      </w:r>
      <w:r w:rsidR="00BD23EB">
        <w:rPr>
          <w:rFonts w:ascii="Times New Roman" w:hAnsi="Times New Roman" w:cs="Times New Roman"/>
          <w:b/>
          <w:bCs/>
          <w:sz w:val="24"/>
          <w:szCs w:val="24"/>
        </w:rPr>
        <w:t>336.3</w:t>
      </w:r>
    </w:p>
    <w:p w14:paraId="342095D3" w14:textId="32578F7A" w:rsidR="001059C0" w:rsidRDefault="00000000" w:rsidP="005842F6">
      <w:pPr>
        <w:spacing w:line="240" w:lineRule="auto"/>
        <w:ind w:firstLine="709"/>
        <w:jc w:val="right"/>
        <w:rPr>
          <w:rFonts w:ascii="Times New Roman" w:hAnsi="Times New Roman" w:cs="Times New Roman"/>
          <w:b/>
          <w:bCs/>
          <w:sz w:val="24"/>
          <w:szCs w:val="24"/>
        </w:rPr>
      </w:pPr>
      <w:r w:rsidRPr="00BD23EB">
        <w:rPr>
          <w:rFonts w:ascii="Times New Roman" w:hAnsi="Times New Roman" w:cs="Times New Roman"/>
          <w:b/>
          <w:bCs/>
          <w:sz w:val="24"/>
          <w:szCs w:val="24"/>
        </w:rPr>
        <w:t>Веселова В</w:t>
      </w:r>
      <w:r w:rsidR="005D307B" w:rsidRPr="00BD23EB">
        <w:rPr>
          <w:rFonts w:ascii="Times New Roman" w:hAnsi="Times New Roman" w:cs="Times New Roman"/>
          <w:b/>
          <w:bCs/>
          <w:sz w:val="24"/>
          <w:szCs w:val="24"/>
        </w:rPr>
        <w:t>. В.</w:t>
      </w:r>
      <w:r w:rsidRPr="00BD23EB">
        <w:rPr>
          <w:rFonts w:ascii="Times New Roman" w:hAnsi="Times New Roman" w:cs="Times New Roman"/>
          <w:b/>
          <w:bCs/>
          <w:sz w:val="24"/>
          <w:szCs w:val="24"/>
        </w:rPr>
        <w:t xml:space="preserve">, Самойленко </w:t>
      </w:r>
      <w:r w:rsidR="005D307B" w:rsidRPr="00BD23EB">
        <w:rPr>
          <w:rFonts w:ascii="Times New Roman" w:hAnsi="Times New Roman" w:cs="Times New Roman"/>
          <w:b/>
          <w:bCs/>
          <w:sz w:val="24"/>
          <w:szCs w:val="24"/>
        </w:rPr>
        <w:t>В.</w:t>
      </w:r>
      <w:r w:rsidRPr="00BD23EB">
        <w:rPr>
          <w:rFonts w:ascii="Times New Roman" w:hAnsi="Times New Roman" w:cs="Times New Roman"/>
          <w:b/>
          <w:bCs/>
          <w:sz w:val="24"/>
          <w:szCs w:val="24"/>
        </w:rPr>
        <w:t xml:space="preserve"> </w:t>
      </w:r>
      <w:r w:rsidR="005D307B" w:rsidRPr="00BD23EB">
        <w:rPr>
          <w:rFonts w:ascii="Times New Roman" w:hAnsi="Times New Roman" w:cs="Times New Roman"/>
          <w:b/>
          <w:bCs/>
          <w:sz w:val="24"/>
          <w:szCs w:val="24"/>
        </w:rPr>
        <w:t>С.</w:t>
      </w:r>
    </w:p>
    <w:p w14:paraId="01A22A3F" w14:textId="113FC6C8" w:rsidR="005842F6" w:rsidRDefault="00D864EB" w:rsidP="005842F6">
      <w:pPr>
        <w:spacing w:line="240" w:lineRule="auto"/>
        <w:ind w:firstLine="709"/>
        <w:jc w:val="center"/>
        <w:rPr>
          <w:rFonts w:ascii="Times New Roman" w:hAnsi="Times New Roman" w:cs="Times New Roman"/>
          <w:b/>
          <w:bCs/>
          <w:sz w:val="24"/>
          <w:szCs w:val="24"/>
        </w:rPr>
      </w:pPr>
      <w:r w:rsidRPr="00D864EB">
        <w:rPr>
          <w:rFonts w:ascii="Times New Roman" w:hAnsi="Times New Roman" w:cs="Times New Roman"/>
          <w:b/>
          <w:bCs/>
          <w:sz w:val="24"/>
          <w:szCs w:val="24"/>
        </w:rPr>
        <w:t>ГОСУДАРСТВЕННЫЙ ДОЛГ РОССИИ В УСЛОВИЯХ НЕОПРЕДЕЛЕННОСТИ</w:t>
      </w:r>
    </w:p>
    <w:p w14:paraId="27D6CD7C" w14:textId="77777777" w:rsidR="005842F6" w:rsidRDefault="005842F6" w:rsidP="005842F6">
      <w:pPr>
        <w:spacing w:line="240" w:lineRule="auto"/>
        <w:ind w:firstLine="709"/>
        <w:jc w:val="center"/>
        <w:rPr>
          <w:rFonts w:ascii="Times New Roman" w:hAnsi="Times New Roman" w:cs="Times New Roman"/>
          <w:b/>
          <w:bCs/>
          <w:sz w:val="24"/>
          <w:szCs w:val="24"/>
        </w:rPr>
      </w:pPr>
    </w:p>
    <w:p w14:paraId="769F48C9" w14:textId="0F044C4B" w:rsidR="005842F6" w:rsidRDefault="005842F6" w:rsidP="00A0627C">
      <w:pPr>
        <w:spacing w:line="240" w:lineRule="auto"/>
        <w:ind w:firstLine="709"/>
        <w:jc w:val="both"/>
        <w:rPr>
          <w:rFonts w:ascii="Times New Roman" w:hAnsi="Times New Roman" w:cs="Times New Roman"/>
          <w:sz w:val="24"/>
          <w:szCs w:val="24"/>
        </w:rPr>
      </w:pPr>
      <w:r w:rsidRPr="005842F6">
        <w:rPr>
          <w:rFonts w:ascii="Times New Roman" w:hAnsi="Times New Roman" w:cs="Times New Roman"/>
          <w:sz w:val="24"/>
          <w:szCs w:val="24"/>
        </w:rPr>
        <w:t>В статье исследуется проблема роста государственного долга РФ. Анализируются следующие факторы: большие расходы на обслуживание государственного долга, высокая ключевая ставка, зависимость от внутренних заимствований. Особое внимание уделяется мерам оптимизации государственного долга: реструктуризация долга</w:t>
      </w:r>
      <w:r w:rsidR="006120BC">
        <w:rPr>
          <w:rFonts w:ascii="Times New Roman" w:hAnsi="Times New Roman" w:cs="Times New Roman"/>
          <w:sz w:val="24"/>
          <w:szCs w:val="24"/>
        </w:rPr>
        <w:t xml:space="preserve"> и </w:t>
      </w:r>
      <w:r w:rsidRPr="005842F6">
        <w:rPr>
          <w:rFonts w:ascii="Times New Roman" w:hAnsi="Times New Roman" w:cs="Times New Roman"/>
          <w:sz w:val="24"/>
          <w:szCs w:val="24"/>
        </w:rPr>
        <w:t>сокращение неэффективных расходов</w:t>
      </w:r>
      <w:r w:rsidR="006120BC">
        <w:rPr>
          <w:rFonts w:ascii="Times New Roman" w:hAnsi="Times New Roman" w:cs="Times New Roman"/>
          <w:sz w:val="24"/>
          <w:szCs w:val="24"/>
        </w:rPr>
        <w:t>.</w:t>
      </w:r>
    </w:p>
    <w:p w14:paraId="66D462FD" w14:textId="77777777" w:rsidR="005842F6" w:rsidRPr="005842F6" w:rsidRDefault="005842F6" w:rsidP="00A0627C">
      <w:pPr>
        <w:spacing w:line="240" w:lineRule="auto"/>
        <w:ind w:firstLine="709"/>
        <w:jc w:val="both"/>
        <w:rPr>
          <w:rFonts w:ascii="Times New Roman" w:hAnsi="Times New Roman" w:cs="Times New Roman"/>
          <w:sz w:val="24"/>
          <w:szCs w:val="24"/>
        </w:rPr>
      </w:pPr>
      <w:r w:rsidRPr="005842F6">
        <w:rPr>
          <w:rFonts w:ascii="Times New Roman" w:hAnsi="Times New Roman" w:cs="Times New Roman"/>
          <w:i/>
          <w:iCs/>
          <w:sz w:val="24"/>
          <w:szCs w:val="24"/>
        </w:rPr>
        <w:t>Ключевые слова</w:t>
      </w:r>
      <w:r w:rsidRPr="005842F6">
        <w:rPr>
          <w:rFonts w:ascii="Times New Roman" w:hAnsi="Times New Roman" w:cs="Times New Roman"/>
          <w:sz w:val="24"/>
          <w:szCs w:val="24"/>
        </w:rPr>
        <w:t>: государственный внутренний долг, государственный внешний долг, ключевая ставка процента, методы оптимизации, иностранные заимствования.</w:t>
      </w:r>
    </w:p>
    <w:p w14:paraId="3CE15F29" w14:textId="77777777" w:rsidR="005842F6" w:rsidRDefault="005842F6" w:rsidP="00A0627C">
      <w:pPr>
        <w:spacing w:line="240" w:lineRule="auto"/>
        <w:jc w:val="both"/>
        <w:rPr>
          <w:rFonts w:ascii="Times New Roman" w:hAnsi="Times New Roman" w:cs="Times New Roman"/>
          <w:sz w:val="24"/>
          <w:szCs w:val="24"/>
        </w:rPr>
      </w:pPr>
    </w:p>
    <w:p w14:paraId="20E76351" w14:textId="77777777" w:rsidR="00A0627C" w:rsidRPr="00A0627C" w:rsidRDefault="00A0627C" w:rsidP="00A0627C">
      <w:pPr>
        <w:spacing w:line="240" w:lineRule="auto"/>
        <w:ind w:firstLine="709"/>
        <w:jc w:val="both"/>
        <w:rPr>
          <w:rFonts w:ascii="Times New Roman" w:hAnsi="Times New Roman" w:cs="Times New Roman"/>
          <w:sz w:val="24"/>
          <w:szCs w:val="24"/>
        </w:rPr>
      </w:pPr>
      <w:r w:rsidRPr="00A0627C">
        <w:rPr>
          <w:rFonts w:ascii="Times New Roman" w:hAnsi="Times New Roman" w:cs="Times New Roman"/>
          <w:sz w:val="24"/>
          <w:szCs w:val="24"/>
        </w:rPr>
        <w:t>В условиях неопределенности России особо важно оценивать последствия роста гос. долга и оптимизировать ресурсы страны. 1 января 2025 года размер государственного долга РФ составил 29,041 триллиона рублей. Это 14,5% ВВП по первой оценке Росстата.  Для сравнения: за 2005–2023 годы расходы на обслуживание составили 10 трлн рублей [</w:t>
      </w:r>
      <w:r w:rsidRPr="00A0627C">
        <w:rPr>
          <w:rFonts w:ascii="Times New Roman" w:hAnsi="Times New Roman" w:cs="Times New Roman"/>
          <w:sz w:val="24"/>
          <w:szCs w:val="24"/>
        </w:rPr>
        <w:fldChar w:fldCharType="begin"/>
      </w:r>
      <w:r w:rsidRPr="00A0627C">
        <w:rPr>
          <w:rFonts w:ascii="Times New Roman" w:hAnsi="Times New Roman" w:cs="Times New Roman"/>
          <w:sz w:val="24"/>
          <w:szCs w:val="24"/>
        </w:rPr>
        <w:instrText xml:space="preserve"> REF _Ref197456772 \r \h  \* MERGEFORMAT </w:instrText>
      </w:r>
      <w:r w:rsidRPr="00A0627C">
        <w:rPr>
          <w:rFonts w:ascii="Times New Roman" w:hAnsi="Times New Roman" w:cs="Times New Roman"/>
          <w:sz w:val="24"/>
          <w:szCs w:val="24"/>
        </w:rPr>
      </w:r>
      <w:r w:rsidRPr="00A0627C">
        <w:rPr>
          <w:rFonts w:ascii="Times New Roman" w:hAnsi="Times New Roman" w:cs="Times New Roman"/>
          <w:sz w:val="24"/>
          <w:szCs w:val="24"/>
        </w:rPr>
        <w:fldChar w:fldCharType="separate"/>
      </w:r>
      <w:r w:rsidRPr="00A0627C">
        <w:rPr>
          <w:rFonts w:ascii="Times New Roman" w:hAnsi="Times New Roman" w:cs="Times New Roman"/>
          <w:sz w:val="24"/>
          <w:szCs w:val="24"/>
        </w:rPr>
        <w:t>1</w:t>
      </w:r>
      <w:r w:rsidRPr="00A0627C">
        <w:rPr>
          <w:rFonts w:ascii="Times New Roman" w:hAnsi="Times New Roman" w:cs="Times New Roman"/>
          <w:sz w:val="24"/>
          <w:szCs w:val="24"/>
        </w:rPr>
        <w:fldChar w:fldCharType="end"/>
      </w:r>
      <w:r w:rsidRPr="00A0627C">
        <w:rPr>
          <w:rFonts w:ascii="Times New Roman" w:hAnsi="Times New Roman" w:cs="Times New Roman"/>
          <w:sz w:val="24"/>
          <w:szCs w:val="24"/>
        </w:rPr>
        <w:t xml:space="preserve">, с. 40]. Впервые за последние 13 лет власти РФ потратили на обслуживание госдолга рекордные 2,3 трлн по данным Счетной палаты. Разберем структуру гос. долга и его особенности в нашей стране и оценим эффективность уже принятых мер. </w:t>
      </w:r>
    </w:p>
    <w:p w14:paraId="67D9E667" w14:textId="77777777" w:rsidR="00A0627C" w:rsidRPr="00A0627C" w:rsidRDefault="00A0627C" w:rsidP="00A0627C">
      <w:pPr>
        <w:spacing w:line="240" w:lineRule="auto"/>
        <w:ind w:firstLine="709"/>
        <w:jc w:val="both"/>
        <w:rPr>
          <w:rFonts w:ascii="Times New Roman" w:hAnsi="Times New Roman" w:cs="Times New Roman"/>
          <w:sz w:val="24"/>
          <w:szCs w:val="24"/>
        </w:rPr>
      </w:pPr>
      <w:r w:rsidRPr="00A0627C">
        <w:rPr>
          <w:rFonts w:ascii="Times New Roman" w:hAnsi="Times New Roman" w:cs="Times New Roman"/>
          <w:sz w:val="24"/>
          <w:szCs w:val="24"/>
        </w:rPr>
        <w:t>Государственный долг по источникам финансирования делится на внутренний и внешний. Рассмотрим динамику обоих видов гос. долга в РФ.</w:t>
      </w:r>
    </w:p>
    <w:p w14:paraId="2D68DE4D" w14:textId="6A94D2C7" w:rsidR="00A0627C" w:rsidRPr="00A0627C" w:rsidRDefault="00A0627C" w:rsidP="00A0627C">
      <w:pPr>
        <w:spacing w:line="240" w:lineRule="auto"/>
        <w:ind w:firstLine="709"/>
        <w:jc w:val="both"/>
        <w:rPr>
          <w:rFonts w:ascii="Times New Roman" w:hAnsi="Times New Roman" w:cs="Times New Roman"/>
          <w:sz w:val="24"/>
          <w:szCs w:val="24"/>
        </w:rPr>
      </w:pPr>
      <w:r w:rsidRPr="00A0627C">
        <w:rPr>
          <w:rFonts w:ascii="Times New Roman" w:hAnsi="Times New Roman" w:cs="Times New Roman"/>
          <w:sz w:val="24"/>
          <w:szCs w:val="24"/>
        </w:rPr>
        <w:t>Внутренний долг – обязательства, возникающие в валюте РФ, включая социальные и пенсионные обязательства перед гражданами, организациями, а также обязательства субъектов Российской Федерации и муниципальных образований перед Российской Федерацией, возникающие в иностранной валюте в рамках использования целевых иностранных кредитов (заимствований) [</w:t>
      </w:r>
      <w:r w:rsidR="004B6C2B">
        <w:rPr>
          <w:rFonts w:ascii="Times New Roman" w:hAnsi="Times New Roman" w:cs="Times New Roman"/>
          <w:sz w:val="24"/>
          <w:szCs w:val="24"/>
        </w:rPr>
        <w:t>5</w:t>
      </w:r>
      <w:r w:rsidRPr="00A0627C">
        <w:rPr>
          <w:rFonts w:ascii="Times New Roman" w:hAnsi="Times New Roman" w:cs="Times New Roman"/>
          <w:sz w:val="24"/>
          <w:szCs w:val="24"/>
        </w:rPr>
        <w:t>, с. 58] Актуальная в большей мере проблема для российской экономики – величина внутреннего государственного долга (рис.1). Важность данной проблемы обусловлена размером ключевой ставки – 21%.</w:t>
      </w:r>
    </w:p>
    <w:p w14:paraId="2B25047E" w14:textId="77777777" w:rsidR="00A0627C" w:rsidRPr="00A0627C" w:rsidRDefault="00A0627C" w:rsidP="00A0627C">
      <w:pPr>
        <w:spacing w:line="240" w:lineRule="auto"/>
        <w:ind w:firstLine="709"/>
        <w:jc w:val="both"/>
        <w:rPr>
          <w:rFonts w:ascii="Times New Roman" w:hAnsi="Times New Roman" w:cs="Times New Roman"/>
          <w:sz w:val="24"/>
          <w:szCs w:val="24"/>
        </w:rPr>
      </w:pPr>
      <w:r w:rsidRPr="00A0627C">
        <w:rPr>
          <w:rFonts w:ascii="Times New Roman" w:hAnsi="Times New Roman" w:cs="Times New Roman"/>
          <w:noProof/>
          <w:sz w:val="24"/>
          <w:szCs w:val="24"/>
        </w:rPr>
        <w:drawing>
          <wp:inline distT="0" distB="0" distL="0" distR="0" wp14:anchorId="201FFAA1" wp14:editId="45558163">
            <wp:extent cx="4954905" cy="2166620"/>
            <wp:effectExtent l="0" t="0" r="0" b="0"/>
            <wp:docPr id="1" name="Объект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1D8355F4" w14:textId="77777777" w:rsidR="00E92286" w:rsidRDefault="00A0627C" w:rsidP="00E92286">
      <w:pPr>
        <w:spacing w:line="240" w:lineRule="auto"/>
        <w:ind w:firstLine="709"/>
        <w:jc w:val="center"/>
        <w:rPr>
          <w:rFonts w:ascii="Times New Roman" w:hAnsi="Times New Roman" w:cs="Times New Roman"/>
          <w:sz w:val="24"/>
          <w:szCs w:val="24"/>
        </w:rPr>
      </w:pPr>
      <w:r w:rsidRPr="00A0627C">
        <w:rPr>
          <w:rFonts w:ascii="Times New Roman" w:hAnsi="Times New Roman" w:cs="Times New Roman"/>
          <w:sz w:val="24"/>
          <w:szCs w:val="24"/>
        </w:rPr>
        <w:t>Рис</w:t>
      </w:r>
      <w:r w:rsidR="00E92286">
        <w:rPr>
          <w:rFonts w:ascii="Times New Roman" w:hAnsi="Times New Roman" w:cs="Times New Roman"/>
          <w:sz w:val="24"/>
          <w:szCs w:val="24"/>
        </w:rPr>
        <w:t>унок</w:t>
      </w:r>
      <w:r w:rsidRPr="00A0627C">
        <w:rPr>
          <w:rFonts w:ascii="Times New Roman" w:hAnsi="Times New Roman" w:cs="Times New Roman"/>
          <w:sz w:val="24"/>
          <w:szCs w:val="24"/>
        </w:rPr>
        <w:t xml:space="preserve"> 1</w:t>
      </w:r>
      <w:r w:rsidR="00E92286">
        <w:rPr>
          <w:rFonts w:ascii="Times New Roman" w:hAnsi="Times New Roman" w:cs="Times New Roman"/>
          <w:sz w:val="24"/>
          <w:szCs w:val="24"/>
        </w:rPr>
        <w:t xml:space="preserve">. </w:t>
      </w:r>
      <w:r w:rsidRPr="00A0627C">
        <w:rPr>
          <w:rFonts w:ascii="Times New Roman" w:hAnsi="Times New Roman" w:cs="Times New Roman"/>
          <w:sz w:val="24"/>
          <w:szCs w:val="24"/>
        </w:rPr>
        <w:t>Объём государственного внутреннего долга РФ с 2009 по 2025 год</w:t>
      </w:r>
    </w:p>
    <w:p w14:paraId="0EFB8C08" w14:textId="1C651C5B" w:rsidR="00E92286" w:rsidRPr="003A34F6" w:rsidRDefault="00E92286" w:rsidP="00E92286">
      <w:pPr>
        <w:spacing w:line="240" w:lineRule="auto"/>
        <w:ind w:firstLine="709"/>
        <w:jc w:val="center"/>
        <w:rPr>
          <w:rFonts w:ascii="Times New Roman" w:hAnsi="Times New Roman" w:cs="Times New Roman"/>
          <w:sz w:val="20"/>
          <w:szCs w:val="20"/>
        </w:rPr>
      </w:pPr>
      <w:r w:rsidRPr="00E92286">
        <w:rPr>
          <w:rFonts w:ascii="Times New Roman" w:hAnsi="Times New Roman" w:cs="Times New Roman"/>
          <w:sz w:val="20"/>
          <w:szCs w:val="20"/>
        </w:rPr>
        <w:t xml:space="preserve">Таблицы ежемесячных значений объема государственного внутреннего долга Российской Федерации/ [Электронный ресурс] // Министерство Финансов РФ [сайт] – </w:t>
      </w:r>
      <w:r w:rsidRPr="00E92286">
        <w:rPr>
          <w:rFonts w:ascii="Times New Roman" w:hAnsi="Times New Roman" w:cs="Times New Roman"/>
          <w:sz w:val="20"/>
          <w:szCs w:val="20"/>
          <w:lang w:val="en-US"/>
        </w:rPr>
        <w:t>URL</w:t>
      </w:r>
      <w:r w:rsidRPr="00E92286">
        <w:rPr>
          <w:rFonts w:ascii="Times New Roman" w:hAnsi="Times New Roman" w:cs="Times New Roman"/>
          <w:sz w:val="20"/>
          <w:szCs w:val="20"/>
        </w:rPr>
        <w:t xml:space="preserve">: </w:t>
      </w:r>
      <w:hyperlink r:id="rId9" w:history="1">
        <w:r w:rsidRPr="00E92286">
          <w:rPr>
            <w:rStyle w:val="afa"/>
            <w:rFonts w:ascii="Times New Roman" w:hAnsi="Times New Roman" w:cs="Times New Roman"/>
            <w:sz w:val="20"/>
            <w:szCs w:val="20"/>
          </w:rPr>
          <w:t>Таблицы ежемесячных значений объема государственного внутреннего долга Российской Федерации</w:t>
        </w:r>
      </w:hyperlink>
      <w:r w:rsidRPr="00E92286">
        <w:rPr>
          <w:rFonts w:ascii="Times New Roman" w:hAnsi="Times New Roman" w:cs="Times New Roman"/>
          <w:sz w:val="20"/>
          <w:szCs w:val="20"/>
        </w:rPr>
        <w:t xml:space="preserve"> (дата обращения 1.04.2025</w:t>
      </w:r>
      <w:r>
        <w:rPr>
          <w:rFonts w:ascii="Times New Roman" w:hAnsi="Times New Roman" w:cs="Times New Roman"/>
          <w:sz w:val="20"/>
          <w:szCs w:val="20"/>
        </w:rPr>
        <w:t>).</w:t>
      </w:r>
      <w:r w:rsidR="00001FA2" w:rsidRPr="00001FA2">
        <w:rPr>
          <w:rFonts w:ascii="Times New Roman" w:hAnsi="Times New Roman" w:cs="Times New Roman"/>
          <w:sz w:val="20"/>
          <w:szCs w:val="20"/>
        </w:rPr>
        <w:t xml:space="preserve"> </w:t>
      </w:r>
      <w:r w:rsidR="00001FA2" w:rsidRPr="003A34F6">
        <w:rPr>
          <w:rFonts w:ascii="Times New Roman" w:hAnsi="Times New Roman" w:cs="Times New Roman"/>
          <w:sz w:val="20"/>
          <w:szCs w:val="20"/>
        </w:rPr>
        <w:t>[</w:t>
      </w:r>
      <w:r w:rsidR="00001FA2">
        <w:rPr>
          <w:rFonts w:ascii="Times New Roman" w:hAnsi="Times New Roman" w:cs="Times New Roman"/>
          <w:sz w:val="20"/>
          <w:szCs w:val="20"/>
          <w:lang w:val="en-US"/>
        </w:rPr>
        <w:fldChar w:fldCharType="begin"/>
      </w:r>
      <w:r w:rsidR="00001FA2" w:rsidRPr="003A34F6">
        <w:rPr>
          <w:rFonts w:ascii="Times New Roman" w:hAnsi="Times New Roman" w:cs="Times New Roman"/>
          <w:sz w:val="20"/>
          <w:szCs w:val="20"/>
        </w:rPr>
        <w:instrText xml:space="preserve"> </w:instrText>
      </w:r>
      <w:r w:rsidR="00001FA2">
        <w:rPr>
          <w:rFonts w:ascii="Times New Roman" w:hAnsi="Times New Roman" w:cs="Times New Roman"/>
          <w:sz w:val="20"/>
          <w:szCs w:val="20"/>
          <w:lang w:val="en-US"/>
        </w:rPr>
        <w:instrText>REF</w:instrText>
      </w:r>
      <w:r w:rsidR="00001FA2" w:rsidRPr="003A34F6">
        <w:rPr>
          <w:rFonts w:ascii="Times New Roman" w:hAnsi="Times New Roman" w:cs="Times New Roman"/>
          <w:sz w:val="20"/>
          <w:szCs w:val="20"/>
        </w:rPr>
        <w:instrText xml:space="preserve"> _</w:instrText>
      </w:r>
      <w:r w:rsidR="00001FA2">
        <w:rPr>
          <w:rFonts w:ascii="Times New Roman" w:hAnsi="Times New Roman" w:cs="Times New Roman"/>
          <w:sz w:val="20"/>
          <w:szCs w:val="20"/>
          <w:lang w:val="en-US"/>
        </w:rPr>
        <w:instrText>Ref</w:instrText>
      </w:r>
      <w:r w:rsidR="00001FA2" w:rsidRPr="003A34F6">
        <w:rPr>
          <w:rFonts w:ascii="Times New Roman" w:hAnsi="Times New Roman" w:cs="Times New Roman"/>
          <w:sz w:val="20"/>
          <w:szCs w:val="20"/>
        </w:rPr>
        <w:instrText>197809230 \</w:instrText>
      </w:r>
      <w:r w:rsidR="00001FA2">
        <w:rPr>
          <w:rFonts w:ascii="Times New Roman" w:hAnsi="Times New Roman" w:cs="Times New Roman"/>
          <w:sz w:val="20"/>
          <w:szCs w:val="20"/>
          <w:lang w:val="en-US"/>
        </w:rPr>
        <w:instrText>r</w:instrText>
      </w:r>
      <w:r w:rsidR="00001FA2" w:rsidRPr="003A34F6">
        <w:rPr>
          <w:rFonts w:ascii="Times New Roman" w:hAnsi="Times New Roman" w:cs="Times New Roman"/>
          <w:sz w:val="20"/>
          <w:szCs w:val="20"/>
        </w:rPr>
        <w:instrText xml:space="preserve"> \</w:instrText>
      </w:r>
      <w:r w:rsidR="00001FA2">
        <w:rPr>
          <w:rFonts w:ascii="Times New Roman" w:hAnsi="Times New Roman" w:cs="Times New Roman"/>
          <w:sz w:val="20"/>
          <w:szCs w:val="20"/>
          <w:lang w:val="en-US"/>
        </w:rPr>
        <w:instrText>h</w:instrText>
      </w:r>
      <w:r w:rsidR="00001FA2" w:rsidRPr="003A34F6">
        <w:rPr>
          <w:rFonts w:ascii="Times New Roman" w:hAnsi="Times New Roman" w:cs="Times New Roman"/>
          <w:sz w:val="20"/>
          <w:szCs w:val="20"/>
        </w:rPr>
        <w:instrText xml:space="preserve"> </w:instrText>
      </w:r>
      <w:r w:rsidR="00001FA2">
        <w:rPr>
          <w:rFonts w:ascii="Times New Roman" w:hAnsi="Times New Roman" w:cs="Times New Roman"/>
          <w:sz w:val="20"/>
          <w:szCs w:val="20"/>
          <w:lang w:val="en-US"/>
        </w:rPr>
      </w:r>
      <w:r w:rsidR="00001FA2">
        <w:rPr>
          <w:rFonts w:ascii="Times New Roman" w:hAnsi="Times New Roman" w:cs="Times New Roman"/>
          <w:sz w:val="20"/>
          <w:szCs w:val="20"/>
          <w:lang w:val="en-US"/>
        </w:rPr>
        <w:fldChar w:fldCharType="separate"/>
      </w:r>
      <w:r w:rsidR="00001FA2" w:rsidRPr="003A34F6">
        <w:rPr>
          <w:rFonts w:ascii="Times New Roman" w:hAnsi="Times New Roman" w:cs="Times New Roman"/>
          <w:sz w:val="20"/>
          <w:szCs w:val="20"/>
        </w:rPr>
        <w:t>6</w:t>
      </w:r>
      <w:r w:rsidR="00001FA2">
        <w:rPr>
          <w:rFonts w:ascii="Times New Roman" w:hAnsi="Times New Roman" w:cs="Times New Roman"/>
          <w:sz w:val="20"/>
          <w:szCs w:val="20"/>
          <w:lang w:val="en-US"/>
        </w:rPr>
        <w:fldChar w:fldCharType="end"/>
      </w:r>
      <w:r w:rsidR="00001FA2" w:rsidRPr="003A34F6">
        <w:rPr>
          <w:rFonts w:ascii="Times New Roman" w:hAnsi="Times New Roman" w:cs="Times New Roman"/>
          <w:sz w:val="20"/>
          <w:szCs w:val="20"/>
        </w:rPr>
        <w:t>]</w:t>
      </w:r>
    </w:p>
    <w:p w14:paraId="5AD072F3" w14:textId="77777777" w:rsidR="00A0627C" w:rsidRPr="00A0627C" w:rsidRDefault="00A0627C" w:rsidP="00A0627C">
      <w:pPr>
        <w:spacing w:line="240" w:lineRule="auto"/>
        <w:ind w:firstLine="709"/>
        <w:jc w:val="both"/>
        <w:rPr>
          <w:rFonts w:ascii="Times New Roman" w:hAnsi="Times New Roman" w:cs="Times New Roman"/>
          <w:sz w:val="24"/>
          <w:szCs w:val="24"/>
        </w:rPr>
      </w:pPr>
    </w:p>
    <w:p w14:paraId="09D6AE45" w14:textId="77777777" w:rsidR="00A0627C" w:rsidRPr="00A0627C" w:rsidRDefault="00A0627C" w:rsidP="00A0627C">
      <w:pPr>
        <w:spacing w:line="240" w:lineRule="auto"/>
        <w:ind w:firstLine="709"/>
        <w:jc w:val="both"/>
        <w:rPr>
          <w:rFonts w:ascii="Times New Roman" w:hAnsi="Times New Roman" w:cs="Times New Roman"/>
          <w:sz w:val="24"/>
          <w:szCs w:val="24"/>
        </w:rPr>
      </w:pPr>
      <w:r w:rsidRPr="00A0627C">
        <w:rPr>
          <w:rFonts w:ascii="Times New Roman" w:hAnsi="Times New Roman" w:cs="Times New Roman"/>
          <w:sz w:val="24"/>
          <w:szCs w:val="24"/>
        </w:rPr>
        <w:t xml:space="preserve">Внешний долг – обязательства перед другими странами, зарубежными инвесторами и компаниями, возникающие в иностранной валюте, за исключением обязательств субъектов Российской Федерации и муниципальных образований перед Российской Федерацией, возникающих в иностранной валюте в рамках использования целевых иностранных кредитов (заимствований) (рис.2). </w:t>
      </w:r>
    </w:p>
    <w:p w14:paraId="0BE84651" w14:textId="77777777" w:rsidR="00A0627C" w:rsidRPr="00A0627C" w:rsidRDefault="00A0627C" w:rsidP="00A0627C">
      <w:pPr>
        <w:spacing w:line="240" w:lineRule="auto"/>
        <w:ind w:firstLine="709"/>
        <w:jc w:val="both"/>
        <w:rPr>
          <w:rFonts w:ascii="Times New Roman" w:hAnsi="Times New Roman" w:cs="Times New Roman"/>
          <w:sz w:val="24"/>
          <w:szCs w:val="24"/>
        </w:rPr>
      </w:pPr>
      <w:r w:rsidRPr="00A0627C">
        <w:rPr>
          <w:rFonts w:ascii="Times New Roman" w:hAnsi="Times New Roman" w:cs="Times New Roman"/>
          <w:noProof/>
          <w:sz w:val="24"/>
          <w:szCs w:val="24"/>
        </w:rPr>
        <w:drawing>
          <wp:inline distT="0" distB="0" distL="0" distR="0" wp14:anchorId="4E23B1C4" wp14:editId="40B15F35">
            <wp:extent cx="5562600" cy="2741930"/>
            <wp:effectExtent l="0" t="0" r="0" b="0"/>
            <wp:docPr id="2" name="Объект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8DE3C35" w14:textId="5B7613B1" w:rsidR="00A0627C" w:rsidRDefault="00A0627C" w:rsidP="00A0627C">
      <w:pPr>
        <w:spacing w:line="240" w:lineRule="auto"/>
        <w:ind w:firstLine="709"/>
        <w:jc w:val="center"/>
        <w:rPr>
          <w:rFonts w:ascii="Times New Roman" w:hAnsi="Times New Roman" w:cs="Times New Roman"/>
          <w:sz w:val="24"/>
          <w:szCs w:val="24"/>
        </w:rPr>
      </w:pPr>
      <w:r w:rsidRPr="00A0627C">
        <w:rPr>
          <w:rFonts w:ascii="Times New Roman" w:hAnsi="Times New Roman" w:cs="Times New Roman"/>
          <w:sz w:val="24"/>
          <w:szCs w:val="24"/>
        </w:rPr>
        <w:t>Рис</w:t>
      </w:r>
      <w:r w:rsidR="00E92286">
        <w:rPr>
          <w:rFonts w:ascii="Times New Roman" w:hAnsi="Times New Roman" w:cs="Times New Roman"/>
          <w:sz w:val="24"/>
          <w:szCs w:val="24"/>
        </w:rPr>
        <w:t xml:space="preserve">унок 2. </w:t>
      </w:r>
      <w:r w:rsidRPr="00A0627C">
        <w:rPr>
          <w:rFonts w:ascii="Times New Roman" w:hAnsi="Times New Roman" w:cs="Times New Roman"/>
          <w:sz w:val="24"/>
          <w:szCs w:val="24"/>
        </w:rPr>
        <w:t>Объём государственного внешнего долга РФ с 2011 по 2025 год</w:t>
      </w:r>
    </w:p>
    <w:p w14:paraId="25CDCFE9" w14:textId="0D97F756" w:rsidR="002917CE" w:rsidRPr="003A34F6" w:rsidRDefault="00E92286" w:rsidP="00E92286">
      <w:pPr>
        <w:widowControl w:val="0"/>
        <w:tabs>
          <w:tab w:val="left" w:pos="993"/>
        </w:tabs>
        <w:spacing w:after="0" w:line="240" w:lineRule="auto"/>
        <w:jc w:val="both"/>
        <w:rPr>
          <w:rFonts w:ascii="Times New Roman" w:hAnsi="Times New Roman" w:cs="Times New Roman"/>
          <w:sz w:val="20"/>
          <w:szCs w:val="20"/>
        </w:rPr>
      </w:pPr>
      <w:r w:rsidRPr="00E92286">
        <w:rPr>
          <w:rFonts w:ascii="Times New Roman" w:hAnsi="Times New Roman" w:cs="Times New Roman"/>
          <w:sz w:val="20"/>
          <w:szCs w:val="20"/>
        </w:rPr>
        <w:t xml:space="preserve">Государственный внешний долг Российской Федерации (2011–2025 гг.)/ [Электронный ресурс] // Министерство Финансов РФ [сайт] – </w:t>
      </w:r>
      <w:r w:rsidRPr="00E92286">
        <w:rPr>
          <w:rFonts w:ascii="Times New Roman" w:hAnsi="Times New Roman" w:cs="Times New Roman"/>
          <w:sz w:val="20"/>
          <w:szCs w:val="20"/>
          <w:lang w:val="en-US"/>
        </w:rPr>
        <w:t>URL</w:t>
      </w:r>
      <w:r w:rsidRPr="00E92286">
        <w:rPr>
          <w:rFonts w:ascii="Times New Roman" w:hAnsi="Times New Roman" w:cs="Times New Roman"/>
          <w:sz w:val="20"/>
          <w:szCs w:val="20"/>
        </w:rPr>
        <w:t xml:space="preserve">: </w:t>
      </w:r>
      <w:hyperlink r:id="rId11" w:history="1">
        <w:r w:rsidRPr="00E92286">
          <w:rPr>
            <w:rStyle w:val="afa"/>
            <w:rFonts w:ascii="Times New Roman" w:hAnsi="Times New Roman" w:cs="Times New Roman"/>
            <w:sz w:val="20"/>
            <w:szCs w:val="20"/>
          </w:rPr>
          <w:t>Государственный внешний долг Российской Федерации (2011-2025 гг.)</w:t>
        </w:r>
      </w:hyperlink>
      <w:r w:rsidRPr="00E92286">
        <w:rPr>
          <w:rFonts w:ascii="Times New Roman" w:hAnsi="Times New Roman" w:cs="Times New Roman"/>
          <w:sz w:val="20"/>
          <w:szCs w:val="20"/>
        </w:rPr>
        <w:t xml:space="preserve"> (дата обращения 1.04.2025). </w:t>
      </w:r>
      <w:r w:rsidR="00001FA2" w:rsidRPr="003A34F6">
        <w:rPr>
          <w:rFonts w:ascii="Times New Roman" w:hAnsi="Times New Roman" w:cs="Times New Roman"/>
          <w:sz w:val="20"/>
          <w:szCs w:val="20"/>
        </w:rPr>
        <w:t>[</w:t>
      </w:r>
      <w:r w:rsidR="00001FA2">
        <w:rPr>
          <w:rFonts w:ascii="Times New Roman" w:hAnsi="Times New Roman" w:cs="Times New Roman"/>
          <w:sz w:val="20"/>
          <w:szCs w:val="20"/>
        </w:rPr>
        <w:fldChar w:fldCharType="begin"/>
      </w:r>
      <w:r w:rsidR="00001FA2">
        <w:rPr>
          <w:rFonts w:ascii="Times New Roman" w:hAnsi="Times New Roman" w:cs="Times New Roman"/>
          <w:sz w:val="20"/>
          <w:szCs w:val="20"/>
        </w:rPr>
        <w:instrText xml:space="preserve"> REF _Ref197809268 \r \h </w:instrText>
      </w:r>
      <w:r w:rsidR="00001FA2">
        <w:rPr>
          <w:rFonts w:ascii="Times New Roman" w:hAnsi="Times New Roman" w:cs="Times New Roman"/>
          <w:sz w:val="20"/>
          <w:szCs w:val="20"/>
        </w:rPr>
      </w:r>
      <w:r w:rsidR="00001FA2">
        <w:rPr>
          <w:rFonts w:ascii="Times New Roman" w:hAnsi="Times New Roman" w:cs="Times New Roman"/>
          <w:sz w:val="20"/>
          <w:szCs w:val="20"/>
        </w:rPr>
        <w:fldChar w:fldCharType="separate"/>
      </w:r>
      <w:r w:rsidR="00001FA2">
        <w:rPr>
          <w:rFonts w:ascii="Times New Roman" w:hAnsi="Times New Roman" w:cs="Times New Roman"/>
          <w:sz w:val="20"/>
          <w:szCs w:val="20"/>
        </w:rPr>
        <w:t>2</w:t>
      </w:r>
      <w:r w:rsidR="00001FA2">
        <w:rPr>
          <w:rFonts w:ascii="Times New Roman" w:hAnsi="Times New Roman" w:cs="Times New Roman"/>
          <w:sz w:val="20"/>
          <w:szCs w:val="20"/>
        </w:rPr>
        <w:fldChar w:fldCharType="end"/>
      </w:r>
      <w:r w:rsidR="00001FA2" w:rsidRPr="003A34F6">
        <w:rPr>
          <w:rFonts w:ascii="Times New Roman" w:hAnsi="Times New Roman" w:cs="Times New Roman"/>
          <w:sz w:val="20"/>
          <w:szCs w:val="20"/>
        </w:rPr>
        <w:t>]</w:t>
      </w:r>
    </w:p>
    <w:p w14:paraId="5ECD2950" w14:textId="77777777" w:rsidR="00E92286" w:rsidRPr="00E92286" w:rsidRDefault="00E92286" w:rsidP="00E92286">
      <w:pPr>
        <w:widowControl w:val="0"/>
        <w:tabs>
          <w:tab w:val="left" w:pos="993"/>
        </w:tabs>
        <w:spacing w:after="0" w:line="240" w:lineRule="auto"/>
        <w:jc w:val="both"/>
        <w:rPr>
          <w:rFonts w:ascii="Times New Roman" w:eastAsia="Times New Roman" w:hAnsi="Times New Roman" w:cs="Times New Roman"/>
          <w:kern w:val="0"/>
          <w:sz w:val="24"/>
          <w:lang w:eastAsia="ru-RU"/>
          <w14:ligatures w14:val="none"/>
        </w:rPr>
      </w:pPr>
    </w:p>
    <w:p w14:paraId="30B8B298" w14:textId="77777777" w:rsidR="00A0627C" w:rsidRPr="00A0627C" w:rsidRDefault="00A0627C" w:rsidP="00A0627C">
      <w:pPr>
        <w:spacing w:line="240" w:lineRule="auto"/>
        <w:ind w:firstLine="709"/>
        <w:jc w:val="both"/>
        <w:rPr>
          <w:rFonts w:ascii="Times New Roman" w:hAnsi="Times New Roman" w:cs="Times New Roman"/>
          <w:sz w:val="24"/>
          <w:szCs w:val="24"/>
        </w:rPr>
      </w:pPr>
      <w:r w:rsidRPr="00A0627C">
        <w:rPr>
          <w:rFonts w:ascii="Times New Roman" w:hAnsi="Times New Roman" w:cs="Times New Roman"/>
          <w:sz w:val="24"/>
          <w:szCs w:val="24"/>
        </w:rPr>
        <w:t xml:space="preserve">Анализ динамики изменения размера государственного долга РФ показывает общую тенденцию к стабильности внутреннего и внешнего долга. </w:t>
      </w:r>
    </w:p>
    <w:p w14:paraId="38A835EE" w14:textId="68702C5B" w:rsidR="00A0627C" w:rsidRPr="00A0627C" w:rsidRDefault="00A0627C" w:rsidP="00A0627C">
      <w:pPr>
        <w:spacing w:line="240" w:lineRule="auto"/>
        <w:ind w:firstLine="709"/>
        <w:jc w:val="both"/>
        <w:rPr>
          <w:rFonts w:ascii="Times New Roman" w:hAnsi="Times New Roman" w:cs="Times New Roman"/>
          <w:b/>
          <w:bCs/>
          <w:sz w:val="24"/>
          <w:szCs w:val="24"/>
        </w:rPr>
      </w:pPr>
      <w:r w:rsidRPr="00A0627C">
        <w:rPr>
          <w:rFonts w:ascii="Times New Roman" w:hAnsi="Times New Roman" w:cs="Times New Roman"/>
          <w:sz w:val="24"/>
          <w:szCs w:val="24"/>
        </w:rPr>
        <w:t>Говоря о проблеме внутреннего гос. долга, настоящую ситуацию на российском рынке эксперты называют «выплатой ренты своим банкам». Хотя гос. долг составляет 15% от ВВП, на его обслуживание уходит 9% доходной части бюджета, что трактуется как «фантастически дорого» [</w:t>
      </w:r>
      <w:r w:rsidR="004B6C2B">
        <w:rPr>
          <w:rFonts w:ascii="Times New Roman" w:hAnsi="Times New Roman" w:cs="Times New Roman"/>
          <w:sz w:val="24"/>
          <w:szCs w:val="24"/>
        </w:rPr>
        <w:t>4</w:t>
      </w:r>
      <w:r w:rsidRPr="00A0627C">
        <w:rPr>
          <w:rFonts w:ascii="Times New Roman" w:hAnsi="Times New Roman" w:cs="Times New Roman"/>
          <w:sz w:val="24"/>
          <w:szCs w:val="24"/>
        </w:rPr>
        <w:t>, с. 359]. Виной всему – ключевая ставка размером в 21% за облигации федерального займа. Власти объясняют необходимость этих действий негативными последствиями санкций и отхода от «токсичных валют».</w:t>
      </w:r>
    </w:p>
    <w:p w14:paraId="2829B498" w14:textId="77777777" w:rsidR="00A0627C" w:rsidRPr="00A0627C" w:rsidRDefault="00A0627C" w:rsidP="00A0627C">
      <w:pPr>
        <w:spacing w:line="240" w:lineRule="auto"/>
        <w:ind w:firstLine="709"/>
        <w:jc w:val="both"/>
        <w:rPr>
          <w:rFonts w:ascii="Times New Roman" w:hAnsi="Times New Roman" w:cs="Times New Roman"/>
          <w:sz w:val="24"/>
          <w:szCs w:val="24"/>
        </w:rPr>
      </w:pPr>
      <w:r w:rsidRPr="00A0627C">
        <w:rPr>
          <w:rFonts w:ascii="Times New Roman" w:hAnsi="Times New Roman" w:cs="Times New Roman"/>
          <w:sz w:val="24"/>
          <w:szCs w:val="24"/>
        </w:rPr>
        <w:t xml:space="preserve">Известна ситуация положительного влияния внутреннего гос. долга на наше государство. Например, после дефолта мы кредитовали сами себя для покрытия долгов СССР. ЦБ поднимал процентные ставки, чтобы привлекать инвесторов для поддержания рубля, меняли налоговые ставки, производилась реструктуризация долгов на более длительные обязательства, вводили новые облигации (ГКО и ОФЗ) для привлечения иностранных средств и упрощали гос. аппарат. Все эти методы действенны, однако, чем больше гос. заимствований, тем больше расходов гос. бюджета на его обслуживание, а если учитывать размер ключевой ставки сейчас – нужно избавляться от внутреннего гос. долга как можно скорее, либо искать альтернативный источник заемных средств. </w:t>
      </w:r>
    </w:p>
    <w:p w14:paraId="6301E97B" w14:textId="77777777" w:rsidR="00A0627C" w:rsidRPr="00A0627C" w:rsidRDefault="00A0627C" w:rsidP="00A0627C">
      <w:pPr>
        <w:spacing w:line="240" w:lineRule="auto"/>
        <w:ind w:firstLine="709"/>
        <w:jc w:val="both"/>
        <w:rPr>
          <w:rFonts w:ascii="Times New Roman" w:hAnsi="Times New Roman" w:cs="Times New Roman"/>
          <w:sz w:val="24"/>
          <w:szCs w:val="24"/>
        </w:rPr>
      </w:pPr>
      <w:r w:rsidRPr="00A0627C">
        <w:rPr>
          <w:rFonts w:ascii="Times New Roman" w:hAnsi="Times New Roman" w:cs="Times New Roman"/>
          <w:sz w:val="24"/>
          <w:szCs w:val="24"/>
        </w:rPr>
        <w:t xml:space="preserve">Если говорить о характере внешнего долга РФ, то основные кредиторы РФ – МВФ, Всемирный банк, Китай, Индия и др. страны БРИКС и страны СНГ. Для финансовой независимости РФ должна быть свободна от чужой валюты, иначе государство подвергается ее колебаниям. Снижение внешнего гос. долга – показатель кредитного рейтинга, который делает наше государство привлекательным для иностранных инвесторов. Внутри государства </w:t>
      </w:r>
      <w:r w:rsidRPr="00A0627C">
        <w:rPr>
          <w:rFonts w:ascii="Times New Roman" w:hAnsi="Times New Roman" w:cs="Times New Roman"/>
          <w:sz w:val="24"/>
          <w:szCs w:val="24"/>
        </w:rPr>
        <w:lastRenderedPageBreak/>
        <w:t>после погашения внешнего гос. долга возрастает вероятность бюджетной стабильности и финансовой устойчивости от мировых кризисов.</w:t>
      </w:r>
    </w:p>
    <w:p w14:paraId="5B6711B6" w14:textId="77777777" w:rsidR="00A0627C" w:rsidRPr="00A0627C" w:rsidRDefault="00A0627C" w:rsidP="00A0627C">
      <w:pPr>
        <w:spacing w:line="240" w:lineRule="auto"/>
        <w:ind w:firstLine="709"/>
        <w:jc w:val="both"/>
        <w:rPr>
          <w:rFonts w:ascii="Times New Roman" w:hAnsi="Times New Roman" w:cs="Times New Roman"/>
          <w:sz w:val="24"/>
          <w:szCs w:val="24"/>
        </w:rPr>
      </w:pPr>
      <w:r w:rsidRPr="00A0627C">
        <w:rPr>
          <w:rFonts w:ascii="Times New Roman" w:hAnsi="Times New Roman" w:cs="Times New Roman"/>
          <w:sz w:val="24"/>
          <w:szCs w:val="24"/>
        </w:rPr>
        <w:t xml:space="preserve">Анализируя структуру государственного долга России, несложно определить, что основная проблема – размер и динамка внутреннего долга. </w:t>
      </w:r>
    </w:p>
    <w:p w14:paraId="1C1F60E4" w14:textId="77777777" w:rsidR="00A0627C" w:rsidRPr="00A0627C" w:rsidRDefault="00A0627C" w:rsidP="00A0627C">
      <w:pPr>
        <w:spacing w:line="240" w:lineRule="auto"/>
        <w:ind w:firstLine="709"/>
        <w:jc w:val="both"/>
        <w:rPr>
          <w:rFonts w:ascii="Times New Roman" w:hAnsi="Times New Roman" w:cs="Times New Roman"/>
          <w:sz w:val="24"/>
          <w:szCs w:val="24"/>
        </w:rPr>
      </w:pPr>
      <w:r w:rsidRPr="00A0627C">
        <w:rPr>
          <w:rFonts w:ascii="Times New Roman" w:hAnsi="Times New Roman" w:cs="Times New Roman"/>
          <w:sz w:val="24"/>
          <w:szCs w:val="24"/>
        </w:rPr>
        <w:t>Классически РФ использует для понижения расходов на обслуживание государственного долга следующие методы оптимизации:</w:t>
      </w:r>
    </w:p>
    <w:p w14:paraId="7AD4C246" w14:textId="77777777" w:rsidR="00A0627C" w:rsidRPr="00A0627C" w:rsidRDefault="00A0627C" w:rsidP="00A0627C">
      <w:pPr>
        <w:numPr>
          <w:ilvl w:val="0"/>
          <w:numId w:val="2"/>
        </w:numPr>
        <w:spacing w:line="240" w:lineRule="auto"/>
        <w:jc w:val="both"/>
        <w:rPr>
          <w:rFonts w:ascii="Times New Roman" w:hAnsi="Times New Roman" w:cs="Times New Roman"/>
          <w:sz w:val="24"/>
          <w:szCs w:val="24"/>
        </w:rPr>
      </w:pPr>
      <w:r w:rsidRPr="00A0627C">
        <w:rPr>
          <w:rFonts w:ascii="Times New Roman" w:hAnsi="Times New Roman" w:cs="Times New Roman"/>
          <w:sz w:val="24"/>
          <w:szCs w:val="24"/>
        </w:rPr>
        <w:t>Унификация государственных займов (сокращение одновременно обращающихся ценных бумаг, что приведет к уменьшению затрат государства по системе государственного кредита);</w:t>
      </w:r>
    </w:p>
    <w:p w14:paraId="4F2DE127" w14:textId="77777777" w:rsidR="00A0627C" w:rsidRPr="00A0627C" w:rsidRDefault="00A0627C" w:rsidP="00A0627C">
      <w:pPr>
        <w:numPr>
          <w:ilvl w:val="0"/>
          <w:numId w:val="2"/>
        </w:numPr>
        <w:spacing w:line="240" w:lineRule="auto"/>
        <w:jc w:val="both"/>
        <w:rPr>
          <w:rFonts w:ascii="Times New Roman" w:hAnsi="Times New Roman" w:cs="Times New Roman"/>
          <w:sz w:val="24"/>
          <w:szCs w:val="24"/>
        </w:rPr>
      </w:pPr>
      <w:r w:rsidRPr="00A0627C">
        <w:rPr>
          <w:rFonts w:ascii="Times New Roman" w:hAnsi="Times New Roman" w:cs="Times New Roman"/>
          <w:sz w:val="24"/>
          <w:szCs w:val="24"/>
        </w:rPr>
        <w:t xml:space="preserve">Конверсия государственного долга (замена внешнего долга на другие виды обязательств (финансово-правовые, гражданско-правовые и др. Например, путем выплаты внешнего долга векселями и акциями, оцененными в национальной валюте. Это дает возможность инвестировать в более выгодные отрасли хозяйствования); </w:t>
      </w:r>
    </w:p>
    <w:p w14:paraId="2E237A66" w14:textId="0A28FA2C" w:rsidR="00A0627C" w:rsidRPr="00A0627C" w:rsidRDefault="00A0627C" w:rsidP="00A0627C">
      <w:pPr>
        <w:numPr>
          <w:ilvl w:val="0"/>
          <w:numId w:val="2"/>
        </w:numPr>
        <w:spacing w:line="240" w:lineRule="auto"/>
        <w:jc w:val="both"/>
        <w:rPr>
          <w:rFonts w:ascii="Times New Roman" w:hAnsi="Times New Roman" w:cs="Times New Roman"/>
          <w:sz w:val="24"/>
          <w:szCs w:val="24"/>
        </w:rPr>
      </w:pPr>
      <w:r w:rsidRPr="00A0627C">
        <w:rPr>
          <w:rFonts w:ascii="Times New Roman" w:hAnsi="Times New Roman" w:cs="Times New Roman"/>
          <w:sz w:val="24"/>
          <w:szCs w:val="24"/>
        </w:rPr>
        <w:t xml:space="preserve"> Консолидация (изменение срока действия ранее выпущенных займов для легальной отсрочки платежа). </w:t>
      </w:r>
      <w:r w:rsidRPr="00A0627C">
        <w:rPr>
          <w:rFonts w:ascii="Times New Roman" w:hAnsi="Times New Roman" w:cs="Times New Roman"/>
          <w:sz w:val="24"/>
          <w:szCs w:val="24"/>
          <w:lang w:val="en-US"/>
        </w:rPr>
        <w:t>[</w:t>
      </w:r>
      <w:r w:rsidR="004B6C2B">
        <w:rPr>
          <w:rFonts w:ascii="Times New Roman" w:hAnsi="Times New Roman" w:cs="Times New Roman"/>
          <w:sz w:val="24"/>
          <w:szCs w:val="24"/>
        </w:rPr>
        <w:t>3</w:t>
      </w:r>
      <w:r w:rsidRPr="00A0627C">
        <w:rPr>
          <w:rFonts w:ascii="Times New Roman" w:hAnsi="Times New Roman" w:cs="Times New Roman"/>
          <w:sz w:val="24"/>
          <w:szCs w:val="24"/>
          <w:lang w:val="en-US"/>
        </w:rPr>
        <w:t xml:space="preserve">, </w:t>
      </w:r>
      <w:r w:rsidRPr="00A0627C">
        <w:rPr>
          <w:rFonts w:ascii="Times New Roman" w:hAnsi="Times New Roman" w:cs="Times New Roman"/>
          <w:sz w:val="24"/>
          <w:szCs w:val="24"/>
        </w:rPr>
        <w:t>с. 306</w:t>
      </w:r>
      <w:r w:rsidRPr="00A0627C">
        <w:rPr>
          <w:rFonts w:ascii="Times New Roman" w:hAnsi="Times New Roman" w:cs="Times New Roman"/>
          <w:sz w:val="24"/>
          <w:szCs w:val="24"/>
          <w:lang w:val="en-US"/>
        </w:rPr>
        <w:t>]</w:t>
      </w:r>
    </w:p>
    <w:p w14:paraId="221B5DBE" w14:textId="77777777" w:rsidR="00A0627C" w:rsidRPr="00A0627C" w:rsidRDefault="00A0627C" w:rsidP="00A0627C">
      <w:pPr>
        <w:spacing w:line="240" w:lineRule="auto"/>
        <w:ind w:firstLine="709"/>
        <w:jc w:val="both"/>
        <w:rPr>
          <w:rFonts w:ascii="Times New Roman" w:hAnsi="Times New Roman" w:cs="Times New Roman"/>
          <w:sz w:val="24"/>
          <w:szCs w:val="24"/>
        </w:rPr>
      </w:pPr>
      <w:r w:rsidRPr="00A0627C">
        <w:rPr>
          <w:rFonts w:ascii="Times New Roman" w:hAnsi="Times New Roman" w:cs="Times New Roman"/>
          <w:sz w:val="24"/>
          <w:szCs w:val="24"/>
        </w:rPr>
        <w:t xml:space="preserve">Эти пути верные, но мы хотели бы предложить еще несколько аспектов для достижения оптимального обслуживания гос. долга, т. к. основной упор нужно делать на снижение именно внутренней его части. </w:t>
      </w:r>
    </w:p>
    <w:p w14:paraId="0EE80ED4" w14:textId="77777777" w:rsidR="00A0627C" w:rsidRPr="00A0627C" w:rsidRDefault="00A0627C" w:rsidP="00A0627C">
      <w:pPr>
        <w:spacing w:line="240" w:lineRule="auto"/>
        <w:ind w:firstLine="709"/>
        <w:jc w:val="both"/>
        <w:rPr>
          <w:rFonts w:ascii="Times New Roman" w:hAnsi="Times New Roman" w:cs="Times New Roman"/>
          <w:sz w:val="24"/>
          <w:szCs w:val="24"/>
        </w:rPr>
      </w:pPr>
      <w:r w:rsidRPr="00A0627C">
        <w:rPr>
          <w:rFonts w:ascii="Times New Roman" w:hAnsi="Times New Roman" w:cs="Times New Roman"/>
          <w:sz w:val="24"/>
          <w:szCs w:val="24"/>
        </w:rPr>
        <w:t xml:space="preserve">Во-первых, держателям гос. облигаций можно было бы предложить условия с меньшей ставкой, например, 10–12%. Этот метод показал себя как действенный после дефолта. </w:t>
      </w:r>
    </w:p>
    <w:p w14:paraId="778D9575" w14:textId="77777777" w:rsidR="00A0627C" w:rsidRPr="00A0627C" w:rsidRDefault="00A0627C" w:rsidP="00A0627C">
      <w:pPr>
        <w:spacing w:line="240" w:lineRule="auto"/>
        <w:ind w:firstLine="709"/>
        <w:jc w:val="both"/>
        <w:rPr>
          <w:rFonts w:ascii="Times New Roman" w:hAnsi="Times New Roman" w:cs="Times New Roman"/>
          <w:sz w:val="24"/>
          <w:szCs w:val="24"/>
        </w:rPr>
      </w:pPr>
      <w:r w:rsidRPr="00A0627C">
        <w:rPr>
          <w:rFonts w:ascii="Times New Roman" w:hAnsi="Times New Roman" w:cs="Times New Roman"/>
          <w:sz w:val="24"/>
          <w:szCs w:val="24"/>
        </w:rPr>
        <w:t xml:space="preserve">Во-вторых, можно реструктуризировать долги: увеличить государству срок выплаты кредита (10–15 лет). Возникает вопрос: чем такие условия могут быть интересны кредиторам? Тем, что, пойдя на такие уступки, они снизят риск дефолта и получат долгосрочную стабильность. То есть, вероятность невыплаты долга снизится. Кроме того, долгосрочные облигации способствуют длительному планированию своих расходов и доходов. </w:t>
      </w:r>
    </w:p>
    <w:p w14:paraId="0DAB9D6C" w14:textId="77777777" w:rsidR="00A0627C" w:rsidRPr="00A0627C" w:rsidRDefault="00A0627C" w:rsidP="00A0627C">
      <w:pPr>
        <w:spacing w:line="240" w:lineRule="auto"/>
        <w:ind w:firstLine="709"/>
        <w:jc w:val="both"/>
        <w:rPr>
          <w:rFonts w:ascii="Times New Roman" w:hAnsi="Times New Roman" w:cs="Times New Roman"/>
          <w:sz w:val="24"/>
          <w:szCs w:val="24"/>
        </w:rPr>
      </w:pPr>
      <w:r w:rsidRPr="00A0627C">
        <w:rPr>
          <w:rFonts w:ascii="Times New Roman" w:hAnsi="Times New Roman" w:cs="Times New Roman"/>
          <w:sz w:val="24"/>
          <w:szCs w:val="24"/>
        </w:rPr>
        <w:t xml:space="preserve"> Хороший инструмент для быстрого погашения долга – экономия. Ее можно достичь выявлением неэффективных гос. программ и ведомств и снижением расходов на них. Наше государство уже сделало некоторые шаги. Например, сократило количество бюджетных мест в ВУЗы. Очевидно, что сокращение проще производить в социальной сфере, в частности, в культурной. На данный момент неэффективность показывает программа Пушкинской карты для молодежи: она ограничивает выбор мероприятий и демонстрирует безынициативность молодежи из-за неосведомленности. В 2025 г. на эту программу ушло 12 млрд руб., в следующем уже планируется 23 млрд руб. Также неэффективной признана программа «Доступная среда», направленная на обеспечение свободного пользования инфраструктурой для людей с ограниченными возможностями. Финансирования часто не хватает для того, чтобы довести дело до конца, и работы выполняются с нарушениями требуемых норм. В 2025 г. на данную программу заложено 112 млрд руб. </w:t>
      </w:r>
    </w:p>
    <w:p w14:paraId="0BC2EBB7" w14:textId="77777777" w:rsidR="00A0627C" w:rsidRPr="00A0627C" w:rsidRDefault="00A0627C" w:rsidP="00A0627C">
      <w:pPr>
        <w:spacing w:line="240" w:lineRule="auto"/>
        <w:ind w:firstLine="709"/>
        <w:jc w:val="both"/>
        <w:rPr>
          <w:rFonts w:ascii="Times New Roman" w:hAnsi="Times New Roman" w:cs="Times New Roman"/>
          <w:sz w:val="24"/>
          <w:szCs w:val="24"/>
        </w:rPr>
      </w:pPr>
      <w:r w:rsidRPr="00A0627C">
        <w:rPr>
          <w:rFonts w:ascii="Times New Roman" w:hAnsi="Times New Roman" w:cs="Times New Roman"/>
          <w:sz w:val="24"/>
          <w:szCs w:val="24"/>
        </w:rPr>
        <w:t xml:space="preserve">Для увеличения доходной базы бюджета можно увеличить налоговую ставку на 2–3% для крупных компаний с прибылью 1+ млрд руб. В 2022 г таких компаний было примерно 4 тыс. Налог для таких предприятий можно подразумевать в размере 27%. Тогда государство может сэкономить около 1,08 млрд руб. </w:t>
      </w:r>
    </w:p>
    <w:p w14:paraId="4FD976CA" w14:textId="77777777" w:rsidR="00A0627C" w:rsidRPr="00A0627C" w:rsidRDefault="00A0627C" w:rsidP="00A0627C">
      <w:pPr>
        <w:spacing w:line="240" w:lineRule="auto"/>
        <w:ind w:firstLine="709"/>
        <w:jc w:val="both"/>
        <w:rPr>
          <w:rFonts w:ascii="Times New Roman" w:hAnsi="Times New Roman" w:cs="Times New Roman"/>
          <w:sz w:val="24"/>
          <w:szCs w:val="24"/>
        </w:rPr>
      </w:pPr>
      <w:r w:rsidRPr="00A0627C">
        <w:rPr>
          <w:rFonts w:ascii="Times New Roman" w:hAnsi="Times New Roman" w:cs="Times New Roman"/>
          <w:sz w:val="24"/>
          <w:szCs w:val="24"/>
        </w:rPr>
        <w:t xml:space="preserve">Для снижения долговой нагрузки эффективен и метод ГЧП. Сбережению гос. бюджета может способствовать привлечение частных инвесторов для улучшения инфраструктуры. Желательно, чтобы такие проекты были для государства инвестицией в будущее и окупились </w:t>
      </w:r>
      <w:r w:rsidRPr="00A0627C">
        <w:rPr>
          <w:rFonts w:ascii="Times New Roman" w:hAnsi="Times New Roman" w:cs="Times New Roman"/>
          <w:sz w:val="24"/>
          <w:szCs w:val="24"/>
        </w:rPr>
        <w:lastRenderedPageBreak/>
        <w:t>со временем. Таким проектом может стать строительство платных автодорог или развитие экотуризма.</w:t>
      </w:r>
    </w:p>
    <w:p w14:paraId="64AEFCC5" w14:textId="77777777" w:rsidR="00A0627C" w:rsidRDefault="00A0627C" w:rsidP="00A0627C">
      <w:pPr>
        <w:spacing w:line="240" w:lineRule="auto"/>
        <w:ind w:firstLine="709"/>
        <w:jc w:val="both"/>
        <w:rPr>
          <w:rFonts w:ascii="Times New Roman" w:hAnsi="Times New Roman" w:cs="Times New Roman"/>
          <w:sz w:val="24"/>
          <w:szCs w:val="24"/>
        </w:rPr>
      </w:pPr>
      <w:r w:rsidRPr="00A0627C">
        <w:rPr>
          <w:rFonts w:ascii="Times New Roman" w:hAnsi="Times New Roman" w:cs="Times New Roman"/>
          <w:sz w:val="24"/>
          <w:szCs w:val="24"/>
        </w:rPr>
        <w:t xml:space="preserve">Мы рассмотрели некоторые предложения, в рамках которых можно работать на оптимизацию обслуживания гос. долга и его погашения. Если брать во внимание только те проекты, которые были затронуты и выявлены, то погасить внутренний гос. долг полностью возможно за 29 лет. С каждым выявленным неэффективным проектом, привлечением частных инвестиций и повышением налогов, срок выплаты будет значительно сокращаться. Идеальный вариант такой: экономия от неэффективных программ - 2 трлн руб. в год, результаты ГЧП - 3 трлн руб. в год, общий доход от повышенных налогов: 5 трлн рублей в год. Тогда РФ станет финансово свободным внутри себя за 6 лет. </w:t>
      </w:r>
    </w:p>
    <w:p w14:paraId="1A1C5EA7" w14:textId="77777777" w:rsidR="007E070F" w:rsidRDefault="007E070F" w:rsidP="00A0627C">
      <w:pPr>
        <w:spacing w:line="240" w:lineRule="auto"/>
        <w:ind w:firstLine="709"/>
        <w:jc w:val="both"/>
        <w:rPr>
          <w:rFonts w:ascii="Times New Roman" w:hAnsi="Times New Roman" w:cs="Times New Roman"/>
          <w:sz w:val="24"/>
          <w:szCs w:val="24"/>
        </w:rPr>
      </w:pPr>
    </w:p>
    <w:p w14:paraId="53D0528C" w14:textId="46AAB98F" w:rsidR="00E92286" w:rsidRPr="00E92286" w:rsidRDefault="007E070F" w:rsidP="00E92286">
      <w:pPr>
        <w:spacing w:line="240" w:lineRule="auto"/>
        <w:ind w:firstLine="709"/>
        <w:jc w:val="center"/>
        <w:rPr>
          <w:rFonts w:ascii="Times New Roman" w:hAnsi="Times New Roman" w:cs="Times New Roman"/>
          <w:b/>
          <w:sz w:val="24"/>
          <w:szCs w:val="24"/>
        </w:rPr>
      </w:pPr>
      <w:r w:rsidRPr="007E070F">
        <w:rPr>
          <w:rFonts w:ascii="Times New Roman" w:hAnsi="Times New Roman" w:cs="Times New Roman"/>
          <w:b/>
          <w:sz w:val="24"/>
          <w:szCs w:val="24"/>
        </w:rPr>
        <w:t>Библиографический списо</w:t>
      </w:r>
      <w:r w:rsidR="00E92286">
        <w:rPr>
          <w:rFonts w:ascii="Times New Roman" w:hAnsi="Times New Roman" w:cs="Times New Roman"/>
          <w:b/>
          <w:sz w:val="24"/>
          <w:szCs w:val="24"/>
        </w:rPr>
        <w:t>к</w:t>
      </w:r>
    </w:p>
    <w:p w14:paraId="3F04A6CC" w14:textId="77777777" w:rsidR="00E92286" w:rsidRDefault="007D6822" w:rsidP="00E92286">
      <w:pPr>
        <w:pStyle w:val="af4"/>
        <w:widowControl w:val="0"/>
        <w:numPr>
          <w:ilvl w:val="0"/>
          <w:numId w:val="6"/>
        </w:numPr>
        <w:tabs>
          <w:tab w:val="left" w:pos="993"/>
        </w:tabs>
        <w:spacing w:after="0" w:line="240" w:lineRule="auto"/>
        <w:jc w:val="both"/>
        <w:rPr>
          <w:rFonts w:ascii="Times New Roman" w:eastAsia="Times New Roman" w:hAnsi="Times New Roman" w:cs="Times New Roman"/>
          <w:kern w:val="0"/>
          <w:sz w:val="24"/>
          <w:lang w:eastAsia="ru-RU"/>
          <w14:ligatures w14:val="none"/>
        </w:rPr>
      </w:pPr>
      <w:r w:rsidRPr="00E92286">
        <w:rPr>
          <w:rFonts w:ascii="Times New Roman" w:eastAsia="Times New Roman" w:hAnsi="Times New Roman" w:cs="Times New Roman"/>
          <w:kern w:val="0"/>
          <w:sz w:val="24"/>
          <w:lang w:eastAsia="ru-RU"/>
          <w14:ligatures w14:val="none"/>
        </w:rPr>
        <w:t xml:space="preserve">Алиева Т. М., </w:t>
      </w:r>
      <w:proofErr w:type="spellStart"/>
      <w:r w:rsidRPr="00E92286">
        <w:rPr>
          <w:rFonts w:ascii="Times New Roman" w:eastAsia="Times New Roman" w:hAnsi="Times New Roman" w:cs="Times New Roman"/>
          <w:kern w:val="0"/>
          <w:sz w:val="24"/>
          <w:lang w:eastAsia="ru-RU"/>
          <w14:ligatures w14:val="none"/>
        </w:rPr>
        <w:t>Куюмчян</w:t>
      </w:r>
      <w:proofErr w:type="spellEnd"/>
      <w:r w:rsidRPr="00E92286">
        <w:rPr>
          <w:rFonts w:ascii="Times New Roman" w:eastAsia="Times New Roman" w:hAnsi="Times New Roman" w:cs="Times New Roman"/>
          <w:kern w:val="0"/>
          <w:sz w:val="24"/>
          <w:lang w:eastAsia="ru-RU"/>
          <w14:ligatures w14:val="none"/>
        </w:rPr>
        <w:t xml:space="preserve"> Ц.  Г.  Современные формы и проблемы управления государственным долгом // Вестник науки и образования. 2019. - №23 - С. 39–43.</w:t>
      </w:r>
    </w:p>
    <w:p w14:paraId="0A71DB83" w14:textId="77777777" w:rsidR="00E92286" w:rsidRPr="00E92286" w:rsidRDefault="00E92286" w:rsidP="00E92286">
      <w:pPr>
        <w:pStyle w:val="af4"/>
        <w:widowControl w:val="0"/>
        <w:numPr>
          <w:ilvl w:val="0"/>
          <w:numId w:val="6"/>
        </w:numPr>
        <w:tabs>
          <w:tab w:val="left" w:pos="993"/>
        </w:tabs>
        <w:spacing w:after="0" w:line="240" w:lineRule="auto"/>
        <w:jc w:val="both"/>
        <w:rPr>
          <w:rFonts w:ascii="Times New Roman" w:eastAsia="Times New Roman" w:hAnsi="Times New Roman" w:cs="Times New Roman"/>
          <w:kern w:val="0"/>
          <w:sz w:val="24"/>
          <w:lang w:eastAsia="ru-RU"/>
          <w14:ligatures w14:val="none"/>
        </w:rPr>
      </w:pPr>
      <w:bookmarkStart w:id="0" w:name="_Ref197809268"/>
      <w:r w:rsidRPr="00E92286">
        <w:rPr>
          <w:rFonts w:ascii="Times New Roman" w:hAnsi="Times New Roman" w:cs="Times New Roman"/>
          <w:sz w:val="24"/>
          <w:szCs w:val="24"/>
        </w:rPr>
        <w:t xml:space="preserve">Государственный внешний долг Российской Федерации (2011–2025 гг.)/ [Электронный ресурс] // Министерство Финансов РФ [сайт] – </w:t>
      </w:r>
      <w:r w:rsidRPr="00E92286">
        <w:rPr>
          <w:rFonts w:ascii="Times New Roman" w:hAnsi="Times New Roman" w:cs="Times New Roman"/>
          <w:sz w:val="24"/>
          <w:szCs w:val="24"/>
          <w:lang w:val="en-US"/>
        </w:rPr>
        <w:t>URL</w:t>
      </w:r>
      <w:r w:rsidRPr="00E92286">
        <w:rPr>
          <w:rFonts w:ascii="Times New Roman" w:hAnsi="Times New Roman" w:cs="Times New Roman"/>
          <w:sz w:val="24"/>
          <w:szCs w:val="24"/>
        </w:rPr>
        <w:t xml:space="preserve">: </w:t>
      </w:r>
      <w:hyperlink r:id="rId12" w:history="1">
        <w:r w:rsidRPr="00E92286">
          <w:rPr>
            <w:rStyle w:val="afa"/>
            <w:rFonts w:ascii="Times New Roman" w:hAnsi="Times New Roman" w:cs="Times New Roman"/>
            <w:sz w:val="24"/>
            <w:szCs w:val="24"/>
          </w:rPr>
          <w:t>Государственный внешний долг Российской Федерации (2011-2025 гг.)</w:t>
        </w:r>
      </w:hyperlink>
      <w:r w:rsidRPr="00E92286">
        <w:rPr>
          <w:rFonts w:ascii="Times New Roman" w:hAnsi="Times New Roman" w:cs="Times New Roman"/>
          <w:sz w:val="24"/>
          <w:szCs w:val="24"/>
        </w:rPr>
        <w:t xml:space="preserve"> (дата обращения 1.04.2025).</w:t>
      </w:r>
      <w:bookmarkEnd w:id="0"/>
      <w:r w:rsidRPr="00E92286">
        <w:rPr>
          <w:rFonts w:ascii="Times New Roman" w:hAnsi="Times New Roman" w:cs="Times New Roman"/>
          <w:sz w:val="24"/>
          <w:szCs w:val="24"/>
        </w:rPr>
        <w:t xml:space="preserve"> </w:t>
      </w:r>
    </w:p>
    <w:p w14:paraId="4850528F" w14:textId="77777777" w:rsidR="00E92286" w:rsidRDefault="00C54CD5" w:rsidP="00E92286">
      <w:pPr>
        <w:pStyle w:val="af4"/>
        <w:widowControl w:val="0"/>
        <w:numPr>
          <w:ilvl w:val="0"/>
          <w:numId w:val="6"/>
        </w:numPr>
        <w:tabs>
          <w:tab w:val="left" w:pos="993"/>
        </w:tabs>
        <w:spacing w:after="0" w:line="240" w:lineRule="auto"/>
        <w:jc w:val="both"/>
        <w:rPr>
          <w:rFonts w:ascii="Times New Roman" w:eastAsia="Times New Roman" w:hAnsi="Times New Roman" w:cs="Times New Roman"/>
          <w:kern w:val="0"/>
          <w:sz w:val="24"/>
          <w:lang w:eastAsia="ru-RU"/>
          <w14:ligatures w14:val="none"/>
        </w:rPr>
      </w:pPr>
      <w:proofErr w:type="spellStart"/>
      <w:r w:rsidRPr="00E92286">
        <w:rPr>
          <w:rFonts w:ascii="Times New Roman" w:eastAsia="Times New Roman" w:hAnsi="Times New Roman" w:cs="Times New Roman"/>
          <w:kern w:val="0"/>
          <w:sz w:val="24"/>
          <w:lang w:eastAsia="ru-RU"/>
          <w14:ligatures w14:val="none"/>
        </w:rPr>
        <w:t>Лазарова</w:t>
      </w:r>
      <w:proofErr w:type="spellEnd"/>
      <w:r w:rsidRPr="00E92286">
        <w:rPr>
          <w:rFonts w:ascii="Times New Roman" w:eastAsia="Times New Roman" w:hAnsi="Times New Roman" w:cs="Times New Roman"/>
          <w:kern w:val="0"/>
          <w:sz w:val="24"/>
          <w:lang w:eastAsia="ru-RU"/>
          <w14:ligatures w14:val="none"/>
        </w:rPr>
        <w:t xml:space="preserve"> Л. Б., </w:t>
      </w:r>
      <w:proofErr w:type="spellStart"/>
      <w:r w:rsidRPr="00E92286">
        <w:rPr>
          <w:rFonts w:ascii="Times New Roman" w:eastAsia="Times New Roman" w:hAnsi="Times New Roman" w:cs="Times New Roman"/>
          <w:kern w:val="0"/>
          <w:sz w:val="24"/>
          <w:lang w:eastAsia="ru-RU"/>
          <w14:ligatures w14:val="none"/>
        </w:rPr>
        <w:t>Уртаев</w:t>
      </w:r>
      <w:proofErr w:type="spellEnd"/>
      <w:r w:rsidRPr="00E92286">
        <w:rPr>
          <w:rFonts w:ascii="Times New Roman" w:eastAsia="Times New Roman" w:hAnsi="Times New Roman" w:cs="Times New Roman"/>
          <w:kern w:val="0"/>
          <w:sz w:val="24"/>
          <w:lang w:eastAsia="ru-RU"/>
          <w14:ligatures w14:val="none"/>
        </w:rPr>
        <w:t xml:space="preserve"> К. О. Финансовый кризис в политике управления государственными внутренним долгом в России // Вестник Московского университета МВД России. - 2023.- №1 -</w:t>
      </w:r>
      <w:r w:rsidR="00B62CDF" w:rsidRPr="00E92286">
        <w:rPr>
          <w:rFonts w:ascii="Times New Roman" w:eastAsia="Times New Roman" w:hAnsi="Times New Roman" w:cs="Times New Roman"/>
          <w:kern w:val="0"/>
          <w:sz w:val="24"/>
          <w:lang w:eastAsia="ru-RU"/>
          <w14:ligatures w14:val="none"/>
        </w:rPr>
        <w:t xml:space="preserve"> </w:t>
      </w:r>
      <w:r w:rsidRPr="00E92286">
        <w:rPr>
          <w:rFonts w:ascii="Times New Roman" w:eastAsia="Times New Roman" w:hAnsi="Times New Roman" w:cs="Times New Roman"/>
          <w:kern w:val="0"/>
          <w:sz w:val="24"/>
          <w:lang w:eastAsia="ru-RU"/>
          <w14:ligatures w14:val="none"/>
        </w:rPr>
        <w:t>С.</w:t>
      </w:r>
      <w:r w:rsidR="00B62CDF" w:rsidRPr="00E92286">
        <w:rPr>
          <w:rFonts w:ascii="Times New Roman" w:eastAsia="Times New Roman" w:hAnsi="Times New Roman" w:cs="Times New Roman"/>
          <w:kern w:val="0"/>
          <w:sz w:val="24"/>
          <w:lang w:eastAsia="ru-RU"/>
          <w14:ligatures w14:val="none"/>
        </w:rPr>
        <w:t xml:space="preserve"> </w:t>
      </w:r>
      <w:r w:rsidRPr="00E92286">
        <w:rPr>
          <w:rFonts w:ascii="Times New Roman" w:eastAsia="Times New Roman" w:hAnsi="Times New Roman" w:cs="Times New Roman"/>
          <w:kern w:val="0"/>
          <w:sz w:val="24"/>
          <w:lang w:eastAsia="ru-RU"/>
          <w14:ligatures w14:val="none"/>
        </w:rPr>
        <w:t>305–308</w:t>
      </w:r>
      <w:r w:rsidR="007D6822" w:rsidRPr="00E92286">
        <w:rPr>
          <w:rFonts w:ascii="Times New Roman" w:eastAsia="Times New Roman" w:hAnsi="Times New Roman" w:cs="Times New Roman"/>
          <w:kern w:val="0"/>
          <w:sz w:val="24"/>
          <w:lang w:eastAsia="ru-RU"/>
          <w14:ligatures w14:val="none"/>
        </w:rPr>
        <w:t>.</w:t>
      </w:r>
      <w:bookmarkStart w:id="1" w:name="_Hlk197723578"/>
    </w:p>
    <w:p w14:paraId="016B4FDC" w14:textId="77777777" w:rsidR="00E92286" w:rsidRDefault="00B62CDF" w:rsidP="00E92286">
      <w:pPr>
        <w:pStyle w:val="af4"/>
        <w:widowControl w:val="0"/>
        <w:numPr>
          <w:ilvl w:val="0"/>
          <w:numId w:val="6"/>
        </w:numPr>
        <w:tabs>
          <w:tab w:val="left" w:pos="993"/>
        </w:tabs>
        <w:spacing w:after="0" w:line="240" w:lineRule="auto"/>
        <w:jc w:val="both"/>
        <w:rPr>
          <w:rFonts w:ascii="Times New Roman" w:eastAsia="Times New Roman" w:hAnsi="Times New Roman" w:cs="Times New Roman"/>
          <w:kern w:val="0"/>
          <w:sz w:val="24"/>
          <w:lang w:eastAsia="ru-RU"/>
          <w14:ligatures w14:val="none"/>
        </w:rPr>
      </w:pPr>
      <w:r w:rsidRPr="00E92286">
        <w:rPr>
          <w:rFonts w:ascii="Times New Roman" w:eastAsia="Times New Roman" w:hAnsi="Times New Roman" w:cs="Times New Roman"/>
          <w:kern w:val="0"/>
          <w:sz w:val="24"/>
          <w:lang w:eastAsia="ru-RU"/>
          <w14:ligatures w14:val="none"/>
        </w:rPr>
        <w:t>Попова Т. А., Ястребова А. К. Моделирование суверенного кредитного риска с учетом экологической эффективности // Идеи и идеалы. 2024. - №1 - С. 351–370</w:t>
      </w:r>
      <w:r w:rsidR="007D6822" w:rsidRPr="00E92286">
        <w:rPr>
          <w:rFonts w:ascii="Times New Roman" w:eastAsia="Times New Roman" w:hAnsi="Times New Roman" w:cs="Times New Roman"/>
          <w:kern w:val="0"/>
          <w:sz w:val="24"/>
          <w:lang w:eastAsia="ru-RU"/>
          <w14:ligatures w14:val="none"/>
        </w:rPr>
        <w:t>.</w:t>
      </w:r>
      <w:bookmarkEnd w:id="1"/>
    </w:p>
    <w:p w14:paraId="411765C2" w14:textId="057555DA" w:rsidR="00B62CDF" w:rsidRDefault="00B62CDF" w:rsidP="00E92286">
      <w:pPr>
        <w:pStyle w:val="af4"/>
        <w:widowControl w:val="0"/>
        <w:numPr>
          <w:ilvl w:val="0"/>
          <w:numId w:val="6"/>
        </w:numPr>
        <w:tabs>
          <w:tab w:val="left" w:pos="993"/>
        </w:tabs>
        <w:spacing w:after="0" w:line="240" w:lineRule="auto"/>
        <w:jc w:val="both"/>
        <w:rPr>
          <w:rFonts w:ascii="Times New Roman" w:eastAsia="Times New Roman" w:hAnsi="Times New Roman" w:cs="Times New Roman"/>
          <w:kern w:val="0"/>
          <w:sz w:val="24"/>
          <w:lang w:eastAsia="ru-RU"/>
          <w14:ligatures w14:val="none"/>
        </w:rPr>
      </w:pPr>
      <w:r w:rsidRPr="00E92286">
        <w:rPr>
          <w:rFonts w:ascii="Times New Roman" w:eastAsia="Times New Roman" w:hAnsi="Times New Roman" w:cs="Times New Roman"/>
          <w:kern w:val="0"/>
          <w:sz w:val="24"/>
          <w:lang w:eastAsia="ru-RU"/>
          <w14:ligatures w14:val="none"/>
        </w:rPr>
        <w:t xml:space="preserve">Стахович Л. В., </w:t>
      </w:r>
      <w:proofErr w:type="spellStart"/>
      <w:r w:rsidRPr="00E92286">
        <w:rPr>
          <w:rFonts w:ascii="Times New Roman" w:eastAsia="Times New Roman" w:hAnsi="Times New Roman" w:cs="Times New Roman"/>
          <w:kern w:val="0"/>
          <w:sz w:val="24"/>
          <w:lang w:eastAsia="ru-RU"/>
          <w14:ligatures w14:val="none"/>
        </w:rPr>
        <w:t>Рыжановская</w:t>
      </w:r>
      <w:proofErr w:type="spellEnd"/>
      <w:r w:rsidRPr="00E92286">
        <w:rPr>
          <w:rFonts w:ascii="Times New Roman" w:eastAsia="Times New Roman" w:hAnsi="Times New Roman" w:cs="Times New Roman"/>
          <w:kern w:val="0"/>
          <w:sz w:val="24"/>
          <w:lang w:eastAsia="ru-RU"/>
          <w14:ligatures w14:val="none"/>
        </w:rPr>
        <w:t xml:space="preserve"> Л. Ю. Необходимость и сущность управления государственным внутренним долгом // Финансы и кредит. - 2006. - №15 - С. 56–64.</w:t>
      </w:r>
    </w:p>
    <w:p w14:paraId="692FB577" w14:textId="341D8B60" w:rsidR="00E92286" w:rsidRPr="00E92286" w:rsidRDefault="00E92286" w:rsidP="00E92286">
      <w:pPr>
        <w:pStyle w:val="af4"/>
        <w:numPr>
          <w:ilvl w:val="0"/>
          <w:numId w:val="6"/>
        </w:numPr>
        <w:suppressAutoHyphens w:val="0"/>
        <w:spacing w:after="0" w:line="240" w:lineRule="auto"/>
        <w:textAlignment w:val="baseline"/>
        <w:rPr>
          <w:rFonts w:ascii="Times New Roman" w:hAnsi="Times New Roman" w:cs="Times New Roman"/>
          <w:sz w:val="24"/>
          <w:szCs w:val="24"/>
        </w:rPr>
      </w:pPr>
      <w:bookmarkStart w:id="2" w:name="_Ref197809230"/>
      <w:r w:rsidRPr="00E92286">
        <w:rPr>
          <w:rFonts w:ascii="Times New Roman" w:hAnsi="Times New Roman" w:cs="Times New Roman"/>
          <w:sz w:val="24"/>
          <w:szCs w:val="24"/>
        </w:rPr>
        <w:t xml:space="preserve">Таблицы ежемесячных значений объема государственного внутреннего долга Российской Федерации/ [Электронный ресурс] // Министерство Финансов РФ [сайт] – </w:t>
      </w:r>
      <w:r w:rsidRPr="00E92286">
        <w:rPr>
          <w:rFonts w:ascii="Times New Roman" w:hAnsi="Times New Roman" w:cs="Times New Roman"/>
          <w:sz w:val="24"/>
          <w:szCs w:val="24"/>
          <w:lang w:val="en-US"/>
        </w:rPr>
        <w:t>URL</w:t>
      </w:r>
      <w:r w:rsidRPr="00E92286">
        <w:rPr>
          <w:rFonts w:ascii="Times New Roman" w:hAnsi="Times New Roman" w:cs="Times New Roman"/>
          <w:sz w:val="24"/>
          <w:szCs w:val="24"/>
        </w:rPr>
        <w:t xml:space="preserve">: </w:t>
      </w:r>
      <w:hyperlink r:id="rId13" w:history="1">
        <w:r w:rsidRPr="00E92286">
          <w:rPr>
            <w:rStyle w:val="afa"/>
            <w:rFonts w:ascii="Times New Roman" w:hAnsi="Times New Roman" w:cs="Times New Roman"/>
            <w:sz w:val="24"/>
            <w:szCs w:val="24"/>
          </w:rPr>
          <w:t>Таблицы ежемесячных значений объема государственного внутреннего долга Российской Федерации</w:t>
        </w:r>
      </w:hyperlink>
      <w:r w:rsidRPr="00E92286">
        <w:rPr>
          <w:rFonts w:ascii="Times New Roman" w:hAnsi="Times New Roman" w:cs="Times New Roman"/>
          <w:sz w:val="24"/>
          <w:szCs w:val="24"/>
        </w:rPr>
        <w:t xml:space="preserve"> (дата обращения 1.04.2025)</w:t>
      </w:r>
      <w:bookmarkEnd w:id="2"/>
    </w:p>
    <w:p w14:paraId="547C4185" w14:textId="77777777" w:rsidR="00475CE7" w:rsidRDefault="00475CE7" w:rsidP="00B62CDF">
      <w:pPr>
        <w:widowControl w:val="0"/>
        <w:tabs>
          <w:tab w:val="left" w:pos="993"/>
        </w:tabs>
        <w:spacing w:after="0" w:line="240" w:lineRule="auto"/>
        <w:ind w:firstLine="709"/>
        <w:jc w:val="both"/>
        <w:rPr>
          <w:rFonts w:ascii="Times New Roman" w:eastAsia="Times New Roman" w:hAnsi="Times New Roman" w:cs="Times New Roman"/>
          <w:kern w:val="0"/>
          <w:sz w:val="24"/>
          <w:lang w:eastAsia="ru-RU"/>
          <w14:ligatures w14:val="none"/>
        </w:rPr>
      </w:pPr>
    </w:p>
    <w:p w14:paraId="33FCB7CF" w14:textId="0A879215" w:rsidR="00475CE7" w:rsidRPr="007D6822" w:rsidRDefault="00475CE7" w:rsidP="00475CE7">
      <w:pPr>
        <w:widowControl w:val="0"/>
        <w:tabs>
          <w:tab w:val="left" w:pos="993"/>
        </w:tabs>
        <w:spacing w:after="0" w:line="240" w:lineRule="auto"/>
        <w:ind w:firstLine="709"/>
        <w:jc w:val="center"/>
        <w:rPr>
          <w:rFonts w:ascii="Times New Roman" w:eastAsia="Times New Roman" w:hAnsi="Times New Roman" w:cs="Times New Roman"/>
          <w:kern w:val="0"/>
          <w:sz w:val="24"/>
          <w:lang w:eastAsia="ru-RU"/>
          <w14:ligatures w14:val="none"/>
        </w:rPr>
      </w:pPr>
      <w:r w:rsidRPr="00475CE7">
        <w:rPr>
          <w:rFonts w:ascii="Times New Roman" w:eastAsia="Times New Roman" w:hAnsi="Times New Roman" w:cs="Times New Roman"/>
          <w:b/>
          <w:kern w:val="0"/>
          <w:sz w:val="24"/>
          <w:lang w:eastAsia="ru-RU"/>
          <w14:ligatures w14:val="none"/>
        </w:rPr>
        <w:t>Информация об автор</w:t>
      </w:r>
      <w:r>
        <w:rPr>
          <w:rFonts w:ascii="Times New Roman" w:eastAsia="Times New Roman" w:hAnsi="Times New Roman" w:cs="Times New Roman"/>
          <w:b/>
          <w:kern w:val="0"/>
          <w:sz w:val="24"/>
          <w:lang w:eastAsia="ru-RU"/>
          <w14:ligatures w14:val="none"/>
        </w:rPr>
        <w:t>ах</w:t>
      </w:r>
    </w:p>
    <w:p w14:paraId="6B3A3363" w14:textId="3FC0F634" w:rsidR="00475CE7" w:rsidRPr="000A6F1D" w:rsidRDefault="00475CE7" w:rsidP="00475CE7">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Веселова Валерия Вячеславовна, Самойленко Валерия Сергеевна (Россия, г. Санкт-Петербург) – с</w:t>
      </w:r>
      <w:r w:rsidRPr="00475CE7">
        <w:rPr>
          <w:rFonts w:ascii="Times New Roman" w:hAnsi="Times New Roman" w:cs="Times New Roman"/>
          <w:sz w:val="24"/>
          <w:szCs w:val="24"/>
        </w:rPr>
        <w:t>туденты</w:t>
      </w:r>
      <w:r>
        <w:rPr>
          <w:rFonts w:ascii="Times New Roman" w:hAnsi="Times New Roman" w:cs="Times New Roman"/>
          <w:sz w:val="24"/>
          <w:szCs w:val="24"/>
        </w:rPr>
        <w:t xml:space="preserve">-бакалавры </w:t>
      </w:r>
      <w:r w:rsidRPr="00475CE7">
        <w:rPr>
          <w:rFonts w:ascii="Times New Roman" w:hAnsi="Times New Roman" w:cs="Times New Roman"/>
          <w:sz w:val="24"/>
          <w:szCs w:val="24"/>
        </w:rPr>
        <w:t>Федерального государственного бюджетного образовательного учреждения высшего образования "Санкт-Петербургский государственный экономический университет"</w:t>
      </w:r>
      <w:r>
        <w:rPr>
          <w:rFonts w:ascii="Times New Roman" w:hAnsi="Times New Roman" w:cs="Times New Roman"/>
          <w:sz w:val="24"/>
          <w:szCs w:val="24"/>
        </w:rPr>
        <w:t xml:space="preserve"> (</w:t>
      </w:r>
      <w:r w:rsidRPr="00475CE7">
        <w:rPr>
          <w:rFonts w:ascii="Times New Roman" w:hAnsi="Times New Roman" w:cs="Times New Roman"/>
          <w:sz w:val="24"/>
          <w:szCs w:val="24"/>
        </w:rPr>
        <w:t>Россия, 191023, город Санкт-Петербург, наб. канала Грибоедова, д. 30-32, литер А.</w:t>
      </w:r>
      <w:r>
        <w:rPr>
          <w:rFonts w:ascii="Times New Roman" w:hAnsi="Times New Roman" w:cs="Times New Roman"/>
          <w:sz w:val="24"/>
          <w:szCs w:val="24"/>
        </w:rPr>
        <w:t xml:space="preserve">, </w:t>
      </w:r>
      <w:hyperlink r:id="rId14" w:history="1">
        <w:r w:rsidRPr="00475CE7">
          <w:rPr>
            <w:rStyle w:val="afa"/>
            <w:rFonts w:ascii="Times New Roman" w:hAnsi="Times New Roman" w:cs="Times New Roman"/>
            <w:sz w:val="24"/>
            <w:szCs w:val="24"/>
          </w:rPr>
          <w:t>dept.ud@unecon.ru</w:t>
        </w:r>
      </w:hyperlink>
      <w:r>
        <w:rPr>
          <w:rFonts w:ascii="Times New Roman" w:hAnsi="Times New Roman" w:cs="Times New Roman"/>
          <w:sz w:val="24"/>
          <w:szCs w:val="24"/>
        </w:rPr>
        <w:t>)</w:t>
      </w:r>
      <w:r w:rsidR="000A6F1D" w:rsidRPr="000A6F1D">
        <w:rPr>
          <w:rFonts w:ascii="Times New Roman" w:hAnsi="Times New Roman" w:cs="Times New Roman"/>
          <w:sz w:val="24"/>
          <w:szCs w:val="24"/>
        </w:rPr>
        <w:t>/</w:t>
      </w:r>
    </w:p>
    <w:p w14:paraId="7A8E86A8" w14:textId="77777777" w:rsidR="00904CDB" w:rsidRPr="000A6F1D" w:rsidRDefault="00904CDB" w:rsidP="00A0627C">
      <w:pPr>
        <w:spacing w:line="240" w:lineRule="auto"/>
        <w:ind w:firstLine="709"/>
        <w:jc w:val="both"/>
        <w:rPr>
          <w:rFonts w:ascii="Times New Roman" w:hAnsi="Times New Roman" w:cs="Times New Roman"/>
          <w:sz w:val="24"/>
          <w:szCs w:val="24"/>
        </w:rPr>
      </w:pPr>
    </w:p>
    <w:p w14:paraId="28240628" w14:textId="79D4FA2D" w:rsidR="00A0627C" w:rsidRPr="00904CDB" w:rsidRDefault="00904CDB" w:rsidP="00904CDB">
      <w:pPr>
        <w:spacing w:line="240" w:lineRule="auto"/>
        <w:ind w:firstLine="709"/>
        <w:jc w:val="right"/>
        <w:rPr>
          <w:rFonts w:ascii="Times New Roman" w:hAnsi="Times New Roman" w:cs="Times New Roman"/>
          <w:b/>
          <w:bCs/>
          <w:sz w:val="24"/>
          <w:szCs w:val="24"/>
          <w:lang w:val="en-US"/>
        </w:rPr>
      </w:pPr>
      <w:r w:rsidRPr="00904CDB">
        <w:rPr>
          <w:rFonts w:ascii="Times New Roman" w:hAnsi="Times New Roman" w:cs="Times New Roman"/>
          <w:b/>
          <w:bCs/>
          <w:sz w:val="24"/>
          <w:szCs w:val="24"/>
          <w:lang w:val="en-US"/>
        </w:rPr>
        <w:t>Veselova V. V., Samoylenko V. S.</w:t>
      </w:r>
    </w:p>
    <w:p w14:paraId="0E636AF6" w14:textId="75C83EFD" w:rsidR="00904CDB" w:rsidRPr="00A0627C" w:rsidRDefault="00904CDB" w:rsidP="00904CDB">
      <w:pPr>
        <w:spacing w:line="240" w:lineRule="auto"/>
        <w:ind w:firstLine="709"/>
        <w:jc w:val="center"/>
        <w:rPr>
          <w:rFonts w:ascii="Times New Roman" w:hAnsi="Times New Roman" w:cs="Times New Roman"/>
          <w:b/>
          <w:bCs/>
          <w:sz w:val="24"/>
          <w:szCs w:val="24"/>
          <w:lang w:val="en-US"/>
        </w:rPr>
      </w:pPr>
      <w:r w:rsidRPr="00904CDB">
        <w:rPr>
          <w:rFonts w:ascii="Times New Roman" w:hAnsi="Times New Roman" w:cs="Times New Roman"/>
          <w:b/>
          <w:bCs/>
          <w:sz w:val="24"/>
          <w:szCs w:val="24"/>
          <w:lang w:val="en-US"/>
        </w:rPr>
        <w:t>RUSSIA'S PUBLIC DEBT IN CONDITIONS OF UNCERTAINTY</w:t>
      </w:r>
    </w:p>
    <w:p w14:paraId="12C9856E" w14:textId="77777777" w:rsidR="0044015A" w:rsidRPr="0044015A" w:rsidRDefault="0044015A" w:rsidP="0044015A">
      <w:pPr>
        <w:spacing w:line="240" w:lineRule="auto"/>
        <w:ind w:firstLine="709"/>
        <w:rPr>
          <w:rFonts w:ascii="Times New Roman" w:hAnsi="Times New Roman" w:cs="Times New Roman"/>
          <w:sz w:val="24"/>
          <w:szCs w:val="24"/>
          <w:lang w:val="en-US"/>
        </w:rPr>
      </w:pPr>
      <w:r w:rsidRPr="0044015A">
        <w:rPr>
          <w:rFonts w:ascii="Times New Roman" w:hAnsi="Times New Roman" w:cs="Times New Roman"/>
          <w:sz w:val="24"/>
          <w:szCs w:val="24"/>
          <w:lang w:val="en-US"/>
        </w:rPr>
        <w:t>Annotation.</w:t>
      </w:r>
      <w:r w:rsidRPr="0044015A">
        <w:rPr>
          <w:rFonts w:ascii="Times New Roman" w:hAnsi="Times New Roman" w:cs="Times New Roman"/>
          <w:i/>
          <w:iCs/>
          <w:sz w:val="24"/>
          <w:szCs w:val="24"/>
          <w:lang w:val="en-US"/>
        </w:rPr>
        <w:t xml:space="preserve"> </w:t>
      </w:r>
      <w:r w:rsidRPr="0044015A">
        <w:rPr>
          <w:rFonts w:ascii="Times New Roman" w:hAnsi="Times New Roman" w:cs="Times New Roman"/>
          <w:sz w:val="24"/>
          <w:szCs w:val="24"/>
          <w:lang w:val="en-US"/>
        </w:rPr>
        <w:t xml:space="preserve">The article examines the problem of the growing public debt of the Russian Federation. Key factors </w:t>
      </w:r>
      <w:proofErr w:type="spellStart"/>
      <w:r w:rsidRPr="0044015A">
        <w:rPr>
          <w:rFonts w:ascii="Times New Roman" w:hAnsi="Times New Roman" w:cs="Times New Roman"/>
          <w:sz w:val="24"/>
          <w:szCs w:val="24"/>
          <w:lang w:val="en-US"/>
        </w:rPr>
        <w:t>analysed</w:t>
      </w:r>
      <w:proofErr w:type="spellEnd"/>
      <w:r w:rsidRPr="0044015A">
        <w:rPr>
          <w:rFonts w:ascii="Times New Roman" w:hAnsi="Times New Roman" w:cs="Times New Roman"/>
          <w:sz w:val="24"/>
          <w:szCs w:val="24"/>
          <w:lang w:val="en-US"/>
        </w:rPr>
        <w:t xml:space="preserve"> include high serving costs, high key interest rate and reliance on domestic borrowing. Special attention is paid to debt optimization measures such as debt restructuring and reduction of inefficient expenditures.</w:t>
      </w:r>
    </w:p>
    <w:p w14:paraId="58107EF0" w14:textId="77777777" w:rsidR="0044015A" w:rsidRPr="000A6F1D" w:rsidRDefault="0044015A" w:rsidP="0044015A">
      <w:pPr>
        <w:spacing w:line="240" w:lineRule="auto"/>
        <w:ind w:firstLine="709"/>
        <w:rPr>
          <w:rFonts w:ascii="Times New Roman" w:hAnsi="Times New Roman" w:cs="Times New Roman"/>
          <w:i/>
          <w:iCs/>
          <w:sz w:val="24"/>
          <w:szCs w:val="24"/>
          <w:lang w:val="en-US"/>
        </w:rPr>
      </w:pPr>
      <w:r w:rsidRPr="0044015A">
        <w:rPr>
          <w:rFonts w:ascii="Times New Roman" w:hAnsi="Times New Roman" w:cs="Times New Roman"/>
          <w:i/>
          <w:iCs/>
          <w:sz w:val="24"/>
          <w:szCs w:val="24"/>
          <w:lang w:val="en-US"/>
        </w:rPr>
        <w:t>Keywords: domestic public debt, external public debt, key interest rate, optimization methods, foreign borrowing.</w:t>
      </w:r>
    </w:p>
    <w:p w14:paraId="6AE966C1" w14:textId="77777777" w:rsidR="0044015A" w:rsidRDefault="0044015A" w:rsidP="0044015A">
      <w:pPr>
        <w:spacing w:line="240" w:lineRule="auto"/>
        <w:ind w:firstLine="709"/>
        <w:rPr>
          <w:rFonts w:ascii="Times New Roman" w:hAnsi="Times New Roman" w:cs="Times New Roman"/>
          <w:sz w:val="24"/>
          <w:szCs w:val="24"/>
          <w:lang w:val="en-US"/>
        </w:rPr>
      </w:pPr>
    </w:p>
    <w:p w14:paraId="0A5B903F" w14:textId="26F1656D" w:rsidR="0044015A" w:rsidRPr="0044015A" w:rsidRDefault="0044015A" w:rsidP="0044015A">
      <w:pPr>
        <w:spacing w:line="240" w:lineRule="auto"/>
        <w:ind w:firstLine="709"/>
        <w:jc w:val="center"/>
        <w:rPr>
          <w:rFonts w:ascii="Times New Roman" w:hAnsi="Times New Roman" w:cs="Times New Roman"/>
          <w:b/>
          <w:bCs/>
          <w:sz w:val="24"/>
          <w:szCs w:val="24"/>
          <w:lang w:val="en-US"/>
        </w:rPr>
      </w:pPr>
      <w:r w:rsidRPr="0044015A">
        <w:rPr>
          <w:rFonts w:ascii="Times New Roman" w:hAnsi="Times New Roman" w:cs="Times New Roman"/>
          <w:b/>
          <w:bCs/>
          <w:sz w:val="24"/>
          <w:szCs w:val="24"/>
          <w:lang w:val="en-US"/>
        </w:rPr>
        <w:t>Information about the authors</w:t>
      </w:r>
    </w:p>
    <w:p w14:paraId="090CF84A" w14:textId="1D718344" w:rsidR="00A0627C" w:rsidRDefault="000A6F1D" w:rsidP="000A6F1D">
      <w:pPr>
        <w:spacing w:line="240" w:lineRule="auto"/>
        <w:ind w:firstLine="709"/>
        <w:jc w:val="both"/>
        <w:rPr>
          <w:rFonts w:ascii="Times New Roman" w:hAnsi="Times New Roman" w:cs="Times New Roman"/>
          <w:sz w:val="24"/>
          <w:szCs w:val="24"/>
          <w:lang w:val="en-US"/>
        </w:rPr>
      </w:pPr>
      <w:r w:rsidRPr="000A6F1D">
        <w:rPr>
          <w:rFonts w:ascii="Times New Roman" w:hAnsi="Times New Roman" w:cs="Times New Roman"/>
          <w:sz w:val="24"/>
          <w:szCs w:val="24"/>
          <w:lang w:val="en-US"/>
        </w:rPr>
        <w:t xml:space="preserve">Veselova Valeria </w:t>
      </w:r>
      <w:proofErr w:type="spellStart"/>
      <w:r w:rsidRPr="000A6F1D">
        <w:rPr>
          <w:rFonts w:ascii="Times New Roman" w:hAnsi="Times New Roman" w:cs="Times New Roman"/>
          <w:sz w:val="24"/>
          <w:szCs w:val="24"/>
          <w:lang w:val="en-US"/>
        </w:rPr>
        <w:t>Vyacheslavovna</w:t>
      </w:r>
      <w:proofErr w:type="spellEnd"/>
      <w:r w:rsidRPr="000A6F1D">
        <w:rPr>
          <w:rFonts w:ascii="Times New Roman" w:hAnsi="Times New Roman" w:cs="Times New Roman"/>
          <w:sz w:val="24"/>
          <w:szCs w:val="24"/>
          <w:lang w:val="en-US"/>
        </w:rPr>
        <w:t xml:space="preserve">, Samoylenko Valeria Sergeevna (Russia, Saint Petersburg) – bachelor's students of the Federal State Budgetary Educational Institution of Higher Education "Saint Petersburg State University of Economics" (Russia, 191023, Saint Petersburg, nab. Griboyedov Canal, 30-32, letter A., </w:t>
      </w:r>
      <w:hyperlink r:id="rId15" w:history="1">
        <w:r w:rsidRPr="009F25AF">
          <w:rPr>
            <w:rStyle w:val="afa"/>
            <w:rFonts w:ascii="Times New Roman" w:hAnsi="Times New Roman" w:cs="Times New Roman"/>
            <w:sz w:val="24"/>
            <w:szCs w:val="24"/>
            <w:lang w:val="en-US"/>
          </w:rPr>
          <w:t>dept.ud@unecon.ru</w:t>
        </w:r>
      </w:hyperlink>
      <w:r w:rsidRPr="000A6F1D">
        <w:rPr>
          <w:rFonts w:ascii="Times New Roman" w:hAnsi="Times New Roman" w:cs="Times New Roman"/>
          <w:sz w:val="24"/>
          <w:szCs w:val="24"/>
          <w:lang w:val="en-US"/>
        </w:rPr>
        <w:t>)</w:t>
      </w:r>
      <w:r>
        <w:rPr>
          <w:rFonts w:ascii="Times New Roman" w:hAnsi="Times New Roman" w:cs="Times New Roman"/>
          <w:sz w:val="24"/>
          <w:szCs w:val="24"/>
          <w:lang w:val="en-US"/>
        </w:rPr>
        <w:t>.</w:t>
      </w:r>
    </w:p>
    <w:p w14:paraId="313A982D" w14:textId="77777777" w:rsidR="000A6F1D" w:rsidRDefault="000A6F1D" w:rsidP="000A6F1D">
      <w:pPr>
        <w:spacing w:line="240" w:lineRule="auto"/>
        <w:jc w:val="both"/>
        <w:rPr>
          <w:rFonts w:ascii="Times New Roman" w:hAnsi="Times New Roman" w:cs="Times New Roman"/>
          <w:sz w:val="24"/>
          <w:szCs w:val="24"/>
          <w:lang w:val="en-US"/>
        </w:rPr>
      </w:pPr>
    </w:p>
    <w:p w14:paraId="2B36ED12" w14:textId="3E400154" w:rsidR="000A6F1D" w:rsidRPr="00A0627C" w:rsidRDefault="000A6F1D" w:rsidP="000A6F1D">
      <w:pPr>
        <w:spacing w:line="240" w:lineRule="auto"/>
        <w:ind w:firstLine="709"/>
        <w:jc w:val="center"/>
        <w:rPr>
          <w:rFonts w:ascii="Times New Roman" w:hAnsi="Times New Roman" w:cs="Times New Roman"/>
          <w:b/>
          <w:bCs/>
          <w:sz w:val="24"/>
          <w:szCs w:val="24"/>
          <w:lang w:val="en-US"/>
        </w:rPr>
      </w:pPr>
      <w:r w:rsidRPr="000A6F1D">
        <w:rPr>
          <w:rFonts w:ascii="Times New Roman" w:hAnsi="Times New Roman" w:cs="Times New Roman"/>
          <w:b/>
          <w:bCs/>
          <w:sz w:val="24"/>
          <w:szCs w:val="24"/>
          <w:lang w:val="en-US"/>
        </w:rPr>
        <w:t>Bibliographic list</w:t>
      </w:r>
    </w:p>
    <w:p w14:paraId="7106848E" w14:textId="52DB9DE8" w:rsidR="000A6F1D" w:rsidRPr="004B6C2B" w:rsidRDefault="000A6F1D" w:rsidP="004B6C2B">
      <w:pPr>
        <w:pStyle w:val="af4"/>
        <w:numPr>
          <w:ilvl w:val="0"/>
          <w:numId w:val="7"/>
        </w:numPr>
        <w:spacing w:line="240" w:lineRule="auto"/>
        <w:jc w:val="both"/>
        <w:rPr>
          <w:rFonts w:ascii="Times New Roman" w:hAnsi="Times New Roman" w:cs="Times New Roman"/>
          <w:sz w:val="24"/>
          <w:szCs w:val="24"/>
        </w:rPr>
      </w:pPr>
      <w:r w:rsidRPr="004B6C2B">
        <w:rPr>
          <w:rFonts w:ascii="Times New Roman" w:hAnsi="Times New Roman" w:cs="Times New Roman"/>
          <w:sz w:val="24"/>
          <w:szCs w:val="24"/>
          <w:lang w:val="en-US"/>
        </w:rPr>
        <w:t xml:space="preserve">Alieva T. M., </w:t>
      </w:r>
      <w:proofErr w:type="spellStart"/>
      <w:r w:rsidRPr="004B6C2B">
        <w:rPr>
          <w:rFonts w:ascii="Times New Roman" w:hAnsi="Times New Roman" w:cs="Times New Roman"/>
          <w:sz w:val="24"/>
          <w:szCs w:val="24"/>
          <w:lang w:val="en-US"/>
        </w:rPr>
        <w:t>Kuyumchyan</w:t>
      </w:r>
      <w:proofErr w:type="spellEnd"/>
      <w:r w:rsidRPr="004B6C2B">
        <w:rPr>
          <w:rFonts w:ascii="Times New Roman" w:hAnsi="Times New Roman" w:cs="Times New Roman"/>
          <w:sz w:val="24"/>
          <w:szCs w:val="24"/>
          <w:lang w:val="en-US"/>
        </w:rPr>
        <w:t xml:space="preserve"> C. G. Modern forms and problems of public debt management // Bulletin of Science and Education. 2019. No. 23, pp. 39-43.</w:t>
      </w:r>
    </w:p>
    <w:p w14:paraId="69ED2A48" w14:textId="53409898" w:rsidR="004B6C2B" w:rsidRPr="004B6C2B" w:rsidRDefault="004B6C2B" w:rsidP="004B6C2B">
      <w:pPr>
        <w:pStyle w:val="af4"/>
        <w:numPr>
          <w:ilvl w:val="0"/>
          <w:numId w:val="7"/>
        </w:numPr>
        <w:spacing w:line="240" w:lineRule="auto"/>
        <w:jc w:val="both"/>
        <w:rPr>
          <w:rFonts w:ascii="Times New Roman" w:hAnsi="Times New Roman" w:cs="Times New Roman"/>
          <w:sz w:val="24"/>
          <w:szCs w:val="24"/>
          <w:lang w:val="en-US"/>
        </w:rPr>
      </w:pPr>
      <w:r w:rsidRPr="004B6C2B">
        <w:rPr>
          <w:rFonts w:ascii="Times New Roman" w:hAnsi="Times New Roman" w:cs="Times New Roman"/>
          <w:sz w:val="24"/>
          <w:szCs w:val="24"/>
          <w:lang w:val="en-US"/>
        </w:rPr>
        <w:t>External State debt of the Russian Federation (2011-2025) [Electronic resource] // Ministry of Finance of the Russian Federation [website] (accessed: 1.04.2025)</w:t>
      </w:r>
    </w:p>
    <w:p w14:paraId="16EFC691" w14:textId="77777777" w:rsidR="004B6C2B" w:rsidRPr="004B6C2B" w:rsidRDefault="000A6F1D" w:rsidP="004B6C2B">
      <w:pPr>
        <w:pStyle w:val="af4"/>
        <w:numPr>
          <w:ilvl w:val="0"/>
          <w:numId w:val="7"/>
        </w:numPr>
        <w:spacing w:line="240" w:lineRule="auto"/>
        <w:jc w:val="both"/>
        <w:rPr>
          <w:rFonts w:ascii="Times New Roman" w:hAnsi="Times New Roman" w:cs="Times New Roman"/>
          <w:sz w:val="24"/>
          <w:szCs w:val="24"/>
          <w:lang w:val="en-US"/>
        </w:rPr>
      </w:pPr>
      <w:r w:rsidRPr="004B6C2B">
        <w:rPr>
          <w:rFonts w:ascii="Times New Roman" w:hAnsi="Times New Roman" w:cs="Times New Roman"/>
          <w:sz w:val="24"/>
          <w:szCs w:val="24"/>
          <w:lang w:val="en-US"/>
        </w:rPr>
        <w:t xml:space="preserve">Lazarova L. B., </w:t>
      </w:r>
      <w:proofErr w:type="spellStart"/>
      <w:r w:rsidRPr="004B6C2B">
        <w:rPr>
          <w:rFonts w:ascii="Times New Roman" w:hAnsi="Times New Roman" w:cs="Times New Roman"/>
          <w:sz w:val="24"/>
          <w:szCs w:val="24"/>
          <w:lang w:val="en-US"/>
        </w:rPr>
        <w:t>Urtaev</w:t>
      </w:r>
      <w:proofErr w:type="spellEnd"/>
      <w:r w:rsidRPr="004B6C2B">
        <w:rPr>
          <w:rFonts w:ascii="Times New Roman" w:hAnsi="Times New Roman" w:cs="Times New Roman"/>
          <w:sz w:val="24"/>
          <w:szCs w:val="24"/>
          <w:lang w:val="en-US"/>
        </w:rPr>
        <w:t xml:space="preserve"> K. O. The financial crisis in the management policy of state domestic debt in Russia // Bulletin of the Moscow University of the Ministry of Internal Affairs of Russia. - 2023. No. 1. pp. 305-308.</w:t>
      </w:r>
    </w:p>
    <w:p w14:paraId="3E1C401D" w14:textId="382ED69A" w:rsidR="004B6C2B" w:rsidRPr="004B6C2B" w:rsidRDefault="000A6F1D" w:rsidP="004B6C2B">
      <w:pPr>
        <w:pStyle w:val="af4"/>
        <w:numPr>
          <w:ilvl w:val="0"/>
          <w:numId w:val="7"/>
        </w:numPr>
        <w:spacing w:line="240" w:lineRule="auto"/>
        <w:jc w:val="both"/>
        <w:rPr>
          <w:rFonts w:ascii="Times New Roman" w:hAnsi="Times New Roman" w:cs="Times New Roman"/>
          <w:sz w:val="24"/>
          <w:szCs w:val="24"/>
          <w:lang w:val="en-US"/>
        </w:rPr>
      </w:pPr>
      <w:r w:rsidRPr="004B6C2B">
        <w:rPr>
          <w:rFonts w:ascii="Times New Roman" w:hAnsi="Times New Roman" w:cs="Times New Roman"/>
          <w:sz w:val="24"/>
          <w:szCs w:val="24"/>
          <w:lang w:val="en-US"/>
        </w:rPr>
        <w:t xml:space="preserve">Popova T. A., Yastrebova A. K. Modeling sovereign credit risk </w:t>
      </w:r>
      <w:r w:rsidR="004B6C2B" w:rsidRPr="004B6C2B">
        <w:rPr>
          <w:rFonts w:ascii="Times New Roman" w:hAnsi="Times New Roman" w:cs="Times New Roman"/>
          <w:sz w:val="24"/>
          <w:szCs w:val="24"/>
          <w:lang w:val="en-US"/>
        </w:rPr>
        <w:t>considering</w:t>
      </w:r>
      <w:r w:rsidRPr="004B6C2B">
        <w:rPr>
          <w:rFonts w:ascii="Times New Roman" w:hAnsi="Times New Roman" w:cs="Times New Roman"/>
          <w:sz w:val="24"/>
          <w:szCs w:val="24"/>
          <w:lang w:val="en-US"/>
        </w:rPr>
        <w:t xml:space="preserve"> environmental efficiency // Ideas and Ideals. 2024. - No. 1 - pp. 351-370.</w:t>
      </w:r>
    </w:p>
    <w:p w14:paraId="41B1E7C6" w14:textId="646CD460" w:rsidR="001D7745" w:rsidRPr="004B6C2B" w:rsidRDefault="000A6F1D" w:rsidP="004B6C2B">
      <w:pPr>
        <w:pStyle w:val="af4"/>
        <w:numPr>
          <w:ilvl w:val="0"/>
          <w:numId w:val="7"/>
        </w:numPr>
        <w:spacing w:line="240" w:lineRule="auto"/>
        <w:jc w:val="both"/>
        <w:rPr>
          <w:rFonts w:ascii="Times New Roman" w:hAnsi="Times New Roman" w:cs="Times New Roman"/>
          <w:sz w:val="24"/>
          <w:szCs w:val="24"/>
          <w:lang w:val="en-US"/>
        </w:rPr>
      </w:pPr>
      <w:proofErr w:type="spellStart"/>
      <w:r w:rsidRPr="004B6C2B">
        <w:rPr>
          <w:rFonts w:ascii="Times New Roman" w:hAnsi="Times New Roman" w:cs="Times New Roman"/>
          <w:sz w:val="24"/>
          <w:szCs w:val="24"/>
          <w:lang w:val="en-US"/>
        </w:rPr>
        <w:t>Stakhovich</w:t>
      </w:r>
      <w:proofErr w:type="spellEnd"/>
      <w:r w:rsidRPr="004B6C2B">
        <w:rPr>
          <w:rFonts w:ascii="Times New Roman" w:hAnsi="Times New Roman" w:cs="Times New Roman"/>
          <w:sz w:val="24"/>
          <w:szCs w:val="24"/>
          <w:lang w:val="en-US"/>
        </w:rPr>
        <w:t xml:space="preserve"> L. V., </w:t>
      </w:r>
      <w:proofErr w:type="spellStart"/>
      <w:r w:rsidRPr="004B6C2B">
        <w:rPr>
          <w:rFonts w:ascii="Times New Roman" w:hAnsi="Times New Roman" w:cs="Times New Roman"/>
          <w:sz w:val="24"/>
          <w:szCs w:val="24"/>
          <w:lang w:val="en-US"/>
        </w:rPr>
        <w:t>Ryzhanovskaya</w:t>
      </w:r>
      <w:proofErr w:type="spellEnd"/>
      <w:r w:rsidRPr="004B6C2B">
        <w:rPr>
          <w:rFonts w:ascii="Times New Roman" w:hAnsi="Times New Roman" w:cs="Times New Roman"/>
          <w:sz w:val="24"/>
          <w:szCs w:val="24"/>
          <w:lang w:val="en-US"/>
        </w:rPr>
        <w:t xml:space="preserve"> L. Yu. The necessity and essence of government internal debt management // Finance and Credit. - 2006. - No. 15 - pp. 56-64.</w:t>
      </w:r>
    </w:p>
    <w:p w14:paraId="5F20286E" w14:textId="62B17FC9" w:rsidR="004B6C2B" w:rsidRPr="004B6C2B" w:rsidRDefault="004B6C2B" w:rsidP="004B6C2B">
      <w:pPr>
        <w:pStyle w:val="af4"/>
        <w:numPr>
          <w:ilvl w:val="0"/>
          <w:numId w:val="7"/>
        </w:numPr>
        <w:spacing w:line="240" w:lineRule="auto"/>
        <w:jc w:val="both"/>
        <w:rPr>
          <w:rFonts w:ascii="Times New Roman" w:hAnsi="Times New Roman" w:cs="Times New Roman"/>
          <w:sz w:val="24"/>
          <w:szCs w:val="24"/>
          <w:lang w:val="en-US"/>
        </w:rPr>
      </w:pPr>
      <w:r w:rsidRPr="004B6C2B">
        <w:rPr>
          <w:rFonts w:ascii="Times New Roman" w:hAnsi="Times New Roman" w:cs="Times New Roman"/>
          <w:sz w:val="24"/>
          <w:szCs w:val="24"/>
          <w:lang w:val="en-US"/>
        </w:rPr>
        <w:t>Tables of monthly values of the volume of the state internal debt of the Russian Federation/ [Electronic resource] // Ministry of Finance of the Russian Federation [website] (accessed 1.04.2025)</w:t>
      </w:r>
    </w:p>
    <w:sectPr w:rsidR="004B6C2B" w:rsidRPr="004B6C2B" w:rsidSect="00874CF8">
      <w:pgSz w:w="11906" w:h="16838"/>
      <w:pgMar w:top="1134" w:right="1134" w:bottom="1134" w:left="1134" w:header="0" w:footer="0"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FC5D55" w14:textId="77777777" w:rsidR="000661AB" w:rsidRDefault="000661AB" w:rsidP="00051150">
      <w:pPr>
        <w:spacing w:after="0" w:line="240" w:lineRule="auto"/>
      </w:pPr>
      <w:r>
        <w:separator/>
      </w:r>
    </w:p>
  </w:endnote>
  <w:endnote w:type="continuationSeparator" w:id="0">
    <w:p w14:paraId="1CD0FB2D" w14:textId="77777777" w:rsidR="000661AB" w:rsidRDefault="000661AB" w:rsidP="000511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Lucida Sans">
    <w:panose1 w:val="020B0602030504020204"/>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7AA780" w14:textId="77777777" w:rsidR="000661AB" w:rsidRDefault="000661AB" w:rsidP="00051150">
      <w:pPr>
        <w:spacing w:after="0" w:line="240" w:lineRule="auto"/>
      </w:pPr>
      <w:r>
        <w:separator/>
      </w:r>
    </w:p>
  </w:footnote>
  <w:footnote w:type="continuationSeparator" w:id="0">
    <w:p w14:paraId="2642F0C4" w14:textId="77777777" w:rsidR="000661AB" w:rsidRDefault="000661AB" w:rsidP="0005115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34EC7"/>
    <w:multiLevelType w:val="hybridMultilevel"/>
    <w:tmpl w:val="47CE0272"/>
    <w:lvl w:ilvl="0" w:tplc="2C36988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46AC07D6"/>
    <w:multiLevelType w:val="multilevel"/>
    <w:tmpl w:val="7B1C45F2"/>
    <w:lvl w:ilvl="0">
      <w:start w:val="1"/>
      <w:numFmt w:val="decimal"/>
      <w:lvlText w:val="%1."/>
      <w:lvlJc w:val="left"/>
      <w:pPr>
        <w:tabs>
          <w:tab w:val="num" w:pos="0"/>
        </w:tabs>
        <w:ind w:left="408" w:hanging="360"/>
      </w:pPr>
      <w:rPr>
        <w:rFonts w:ascii="Times New Roman" w:eastAsiaTheme="minorHAnsi" w:hAnsi="Times New Roman" w:cs="Times New Roman"/>
      </w:rPr>
    </w:lvl>
    <w:lvl w:ilvl="1">
      <w:start w:val="1"/>
      <w:numFmt w:val="lowerLetter"/>
      <w:lvlText w:val="%2."/>
      <w:lvlJc w:val="left"/>
      <w:pPr>
        <w:tabs>
          <w:tab w:val="num" w:pos="0"/>
        </w:tabs>
        <w:ind w:left="1128" w:hanging="360"/>
      </w:pPr>
    </w:lvl>
    <w:lvl w:ilvl="2">
      <w:start w:val="1"/>
      <w:numFmt w:val="lowerRoman"/>
      <w:lvlText w:val="%3."/>
      <w:lvlJc w:val="right"/>
      <w:pPr>
        <w:tabs>
          <w:tab w:val="num" w:pos="0"/>
        </w:tabs>
        <w:ind w:left="1848" w:hanging="180"/>
      </w:pPr>
    </w:lvl>
    <w:lvl w:ilvl="3">
      <w:start w:val="1"/>
      <w:numFmt w:val="decimal"/>
      <w:lvlText w:val="%4."/>
      <w:lvlJc w:val="left"/>
      <w:pPr>
        <w:tabs>
          <w:tab w:val="num" w:pos="0"/>
        </w:tabs>
        <w:ind w:left="2568" w:hanging="360"/>
      </w:pPr>
    </w:lvl>
    <w:lvl w:ilvl="4">
      <w:start w:val="1"/>
      <w:numFmt w:val="lowerLetter"/>
      <w:lvlText w:val="%5."/>
      <w:lvlJc w:val="left"/>
      <w:pPr>
        <w:tabs>
          <w:tab w:val="num" w:pos="0"/>
        </w:tabs>
        <w:ind w:left="3288" w:hanging="360"/>
      </w:pPr>
    </w:lvl>
    <w:lvl w:ilvl="5">
      <w:start w:val="1"/>
      <w:numFmt w:val="lowerRoman"/>
      <w:lvlText w:val="%6."/>
      <w:lvlJc w:val="right"/>
      <w:pPr>
        <w:tabs>
          <w:tab w:val="num" w:pos="0"/>
        </w:tabs>
        <w:ind w:left="4008" w:hanging="180"/>
      </w:pPr>
    </w:lvl>
    <w:lvl w:ilvl="6">
      <w:start w:val="1"/>
      <w:numFmt w:val="decimal"/>
      <w:lvlText w:val="%7."/>
      <w:lvlJc w:val="left"/>
      <w:pPr>
        <w:tabs>
          <w:tab w:val="num" w:pos="0"/>
        </w:tabs>
        <w:ind w:left="4728" w:hanging="360"/>
      </w:pPr>
    </w:lvl>
    <w:lvl w:ilvl="7">
      <w:start w:val="1"/>
      <w:numFmt w:val="lowerLetter"/>
      <w:lvlText w:val="%8."/>
      <w:lvlJc w:val="left"/>
      <w:pPr>
        <w:tabs>
          <w:tab w:val="num" w:pos="0"/>
        </w:tabs>
        <w:ind w:left="5448" w:hanging="360"/>
      </w:pPr>
    </w:lvl>
    <w:lvl w:ilvl="8">
      <w:start w:val="1"/>
      <w:numFmt w:val="lowerRoman"/>
      <w:lvlText w:val="%9."/>
      <w:lvlJc w:val="right"/>
      <w:pPr>
        <w:tabs>
          <w:tab w:val="num" w:pos="0"/>
        </w:tabs>
        <w:ind w:left="6168" w:hanging="180"/>
      </w:pPr>
    </w:lvl>
  </w:abstractNum>
  <w:abstractNum w:abstractNumId="2" w15:restartNumberingAfterBreak="0">
    <w:nsid w:val="4C6E6B17"/>
    <w:multiLevelType w:val="multilevel"/>
    <w:tmpl w:val="44609DD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5B603D91"/>
    <w:multiLevelType w:val="multilevel"/>
    <w:tmpl w:val="3D80B06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 w15:restartNumberingAfterBreak="0">
    <w:nsid w:val="5C23701D"/>
    <w:multiLevelType w:val="hybridMultilevel"/>
    <w:tmpl w:val="55AAC0CA"/>
    <w:lvl w:ilvl="0" w:tplc="3BE4ECB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61FE2A53"/>
    <w:multiLevelType w:val="hybridMultilevel"/>
    <w:tmpl w:val="9496A3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49A302E"/>
    <w:multiLevelType w:val="multilevel"/>
    <w:tmpl w:val="369EACE6"/>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16cid:durableId="1176727438">
    <w:abstractNumId w:val="1"/>
  </w:num>
  <w:num w:numId="2" w16cid:durableId="465977287">
    <w:abstractNumId w:val="3"/>
  </w:num>
  <w:num w:numId="3" w16cid:durableId="84961594">
    <w:abstractNumId w:val="2"/>
  </w:num>
  <w:num w:numId="4" w16cid:durableId="1130245308">
    <w:abstractNumId w:val="6"/>
  </w:num>
  <w:num w:numId="5" w16cid:durableId="1172141678">
    <w:abstractNumId w:val="5"/>
  </w:num>
  <w:num w:numId="6" w16cid:durableId="1880238896">
    <w:abstractNumId w:val="0"/>
  </w:num>
  <w:num w:numId="7" w16cid:durableId="144372429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autoHyphenation/>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D7745"/>
    <w:rsid w:val="00001FA2"/>
    <w:rsid w:val="00051150"/>
    <w:rsid w:val="000661AB"/>
    <w:rsid w:val="000859B5"/>
    <w:rsid w:val="000A6F1D"/>
    <w:rsid w:val="001059C0"/>
    <w:rsid w:val="001D7745"/>
    <w:rsid w:val="002760F6"/>
    <w:rsid w:val="002917CE"/>
    <w:rsid w:val="00330A27"/>
    <w:rsid w:val="00377C81"/>
    <w:rsid w:val="003875F8"/>
    <w:rsid w:val="003A34F6"/>
    <w:rsid w:val="0044015A"/>
    <w:rsid w:val="00473D2E"/>
    <w:rsid w:val="00475CE7"/>
    <w:rsid w:val="00481453"/>
    <w:rsid w:val="004B6C2B"/>
    <w:rsid w:val="005842F6"/>
    <w:rsid w:val="005D307B"/>
    <w:rsid w:val="006120BC"/>
    <w:rsid w:val="0063311D"/>
    <w:rsid w:val="00643A70"/>
    <w:rsid w:val="007D6822"/>
    <w:rsid w:val="007E070F"/>
    <w:rsid w:val="0086164A"/>
    <w:rsid w:val="00874CF8"/>
    <w:rsid w:val="00904CDB"/>
    <w:rsid w:val="00933768"/>
    <w:rsid w:val="009E06DF"/>
    <w:rsid w:val="009E1896"/>
    <w:rsid w:val="00A0627C"/>
    <w:rsid w:val="00A11E37"/>
    <w:rsid w:val="00A464D2"/>
    <w:rsid w:val="00B051B0"/>
    <w:rsid w:val="00B23966"/>
    <w:rsid w:val="00B62CDF"/>
    <w:rsid w:val="00BD23EB"/>
    <w:rsid w:val="00C04983"/>
    <w:rsid w:val="00C54CD5"/>
    <w:rsid w:val="00D03DAC"/>
    <w:rsid w:val="00D864EB"/>
    <w:rsid w:val="00DD6C66"/>
    <w:rsid w:val="00E92286"/>
    <w:rsid w:val="00F73A7F"/>
    <w:rsid w:val="00F87E61"/>
    <w:rsid w:val="00FB1A7E"/>
    <w:rsid w:val="00FC51D0"/>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92DA34"/>
  <w15:docId w15:val="{8ACDBF57-55F0-48C3-9AB6-934395A4A1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515B0"/>
    <w:pPr>
      <w:spacing w:after="160" w:line="259" w:lineRule="auto"/>
    </w:pPr>
  </w:style>
  <w:style w:type="paragraph" w:styleId="1">
    <w:name w:val="heading 1"/>
    <w:basedOn w:val="a"/>
    <w:next w:val="a"/>
    <w:link w:val="10"/>
    <w:uiPriority w:val="9"/>
    <w:qFormat/>
    <w:rsid w:val="00BE3A2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BE3A2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BE3A26"/>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BE3A26"/>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BE3A26"/>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BE3A26"/>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BE3A26"/>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BE3A26"/>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BE3A26"/>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qFormat/>
    <w:rsid w:val="00BE3A26"/>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qFormat/>
    <w:rsid w:val="00BE3A26"/>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qFormat/>
    <w:rsid w:val="00BE3A26"/>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qFormat/>
    <w:rsid w:val="00BE3A26"/>
    <w:rPr>
      <w:rFonts w:eastAsiaTheme="majorEastAsia" w:cstheme="majorBidi"/>
      <w:i/>
      <w:iCs/>
      <w:color w:val="0F4761" w:themeColor="accent1" w:themeShade="BF"/>
    </w:rPr>
  </w:style>
  <w:style w:type="character" w:customStyle="1" w:styleId="50">
    <w:name w:val="Заголовок 5 Знак"/>
    <w:basedOn w:val="a0"/>
    <w:link w:val="5"/>
    <w:uiPriority w:val="9"/>
    <w:semiHidden/>
    <w:qFormat/>
    <w:rsid w:val="00BE3A26"/>
    <w:rPr>
      <w:rFonts w:eastAsiaTheme="majorEastAsia" w:cstheme="majorBidi"/>
      <w:color w:val="0F4761" w:themeColor="accent1" w:themeShade="BF"/>
    </w:rPr>
  </w:style>
  <w:style w:type="character" w:customStyle="1" w:styleId="60">
    <w:name w:val="Заголовок 6 Знак"/>
    <w:basedOn w:val="a0"/>
    <w:link w:val="6"/>
    <w:uiPriority w:val="9"/>
    <w:semiHidden/>
    <w:qFormat/>
    <w:rsid w:val="00BE3A26"/>
    <w:rPr>
      <w:rFonts w:eastAsiaTheme="majorEastAsia" w:cstheme="majorBidi"/>
      <w:i/>
      <w:iCs/>
      <w:color w:val="595959" w:themeColor="text1" w:themeTint="A6"/>
    </w:rPr>
  </w:style>
  <w:style w:type="character" w:customStyle="1" w:styleId="70">
    <w:name w:val="Заголовок 7 Знак"/>
    <w:basedOn w:val="a0"/>
    <w:link w:val="7"/>
    <w:uiPriority w:val="9"/>
    <w:semiHidden/>
    <w:qFormat/>
    <w:rsid w:val="00BE3A26"/>
    <w:rPr>
      <w:rFonts w:eastAsiaTheme="majorEastAsia" w:cstheme="majorBidi"/>
      <w:color w:val="595959" w:themeColor="text1" w:themeTint="A6"/>
    </w:rPr>
  </w:style>
  <w:style w:type="character" w:customStyle="1" w:styleId="80">
    <w:name w:val="Заголовок 8 Знак"/>
    <w:basedOn w:val="a0"/>
    <w:link w:val="8"/>
    <w:uiPriority w:val="9"/>
    <w:semiHidden/>
    <w:qFormat/>
    <w:rsid w:val="00BE3A26"/>
    <w:rPr>
      <w:rFonts w:eastAsiaTheme="majorEastAsia" w:cstheme="majorBidi"/>
      <w:i/>
      <w:iCs/>
      <w:color w:val="272727" w:themeColor="text1" w:themeTint="D8"/>
    </w:rPr>
  </w:style>
  <w:style w:type="character" w:customStyle="1" w:styleId="90">
    <w:name w:val="Заголовок 9 Знак"/>
    <w:basedOn w:val="a0"/>
    <w:link w:val="9"/>
    <w:uiPriority w:val="9"/>
    <w:semiHidden/>
    <w:qFormat/>
    <w:rsid w:val="00BE3A26"/>
    <w:rPr>
      <w:rFonts w:eastAsiaTheme="majorEastAsia" w:cstheme="majorBidi"/>
      <w:color w:val="272727" w:themeColor="text1" w:themeTint="D8"/>
    </w:rPr>
  </w:style>
  <w:style w:type="character" w:customStyle="1" w:styleId="a3">
    <w:name w:val="Заголовок Знак"/>
    <w:basedOn w:val="a0"/>
    <w:link w:val="a4"/>
    <w:uiPriority w:val="10"/>
    <w:qFormat/>
    <w:rsid w:val="00BE3A26"/>
    <w:rPr>
      <w:rFonts w:asciiTheme="majorHAnsi" w:eastAsiaTheme="majorEastAsia" w:hAnsiTheme="majorHAnsi" w:cstheme="majorBidi"/>
      <w:spacing w:val="-10"/>
      <w:kern w:val="2"/>
      <w:sz w:val="56"/>
      <w:szCs w:val="56"/>
    </w:rPr>
  </w:style>
  <w:style w:type="character" w:customStyle="1" w:styleId="a5">
    <w:name w:val="Подзаголовок Знак"/>
    <w:basedOn w:val="a0"/>
    <w:link w:val="a6"/>
    <w:uiPriority w:val="11"/>
    <w:qFormat/>
    <w:rsid w:val="00BE3A26"/>
    <w:rPr>
      <w:rFonts w:eastAsiaTheme="majorEastAsia" w:cstheme="majorBidi"/>
      <w:color w:val="595959" w:themeColor="text1" w:themeTint="A6"/>
      <w:spacing w:val="15"/>
      <w:sz w:val="28"/>
      <w:szCs w:val="28"/>
    </w:rPr>
  </w:style>
  <w:style w:type="character" w:customStyle="1" w:styleId="21">
    <w:name w:val="Цитата 2 Знак"/>
    <w:basedOn w:val="a0"/>
    <w:link w:val="22"/>
    <w:uiPriority w:val="29"/>
    <w:qFormat/>
    <w:rsid w:val="00BE3A26"/>
    <w:rPr>
      <w:i/>
      <w:iCs/>
      <w:color w:val="404040" w:themeColor="text1" w:themeTint="BF"/>
    </w:rPr>
  </w:style>
  <w:style w:type="character" w:styleId="a7">
    <w:name w:val="Intense Emphasis"/>
    <w:basedOn w:val="a0"/>
    <w:uiPriority w:val="21"/>
    <w:qFormat/>
    <w:rsid w:val="00BE3A26"/>
    <w:rPr>
      <w:i/>
      <w:iCs/>
      <w:color w:val="0F4761" w:themeColor="accent1" w:themeShade="BF"/>
    </w:rPr>
  </w:style>
  <w:style w:type="character" w:customStyle="1" w:styleId="a8">
    <w:name w:val="Выделенная цитата Знак"/>
    <w:basedOn w:val="a0"/>
    <w:link w:val="a9"/>
    <w:uiPriority w:val="30"/>
    <w:qFormat/>
    <w:rsid w:val="00BE3A26"/>
    <w:rPr>
      <w:i/>
      <w:iCs/>
      <w:color w:val="0F4761" w:themeColor="accent1" w:themeShade="BF"/>
    </w:rPr>
  </w:style>
  <w:style w:type="character" w:styleId="aa">
    <w:name w:val="Intense Reference"/>
    <w:basedOn w:val="a0"/>
    <w:uiPriority w:val="32"/>
    <w:qFormat/>
    <w:rsid w:val="00BE3A26"/>
    <w:rPr>
      <w:b/>
      <w:bCs/>
      <w:smallCaps/>
      <w:color w:val="0F4761" w:themeColor="accent1" w:themeShade="BF"/>
      <w:spacing w:val="5"/>
    </w:rPr>
  </w:style>
  <w:style w:type="character" w:customStyle="1" w:styleId="s10">
    <w:name w:val="s_10"/>
    <w:basedOn w:val="a0"/>
    <w:qFormat/>
    <w:rsid w:val="00351AF0"/>
  </w:style>
  <w:style w:type="character" w:customStyle="1" w:styleId="ab">
    <w:name w:val="Текст сноски Знак"/>
    <w:basedOn w:val="a0"/>
    <w:link w:val="ac"/>
    <w:uiPriority w:val="99"/>
    <w:semiHidden/>
    <w:qFormat/>
    <w:rsid w:val="00EE425D"/>
    <w:rPr>
      <w:sz w:val="20"/>
      <w:szCs w:val="20"/>
    </w:rPr>
  </w:style>
  <w:style w:type="character" w:customStyle="1" w:styleId="ad">
    <w:name w:val="Символ сноски"/>
    <w:basedOn w:val="a0"/>
    <w:uiPriority w:val="99"/>
    <w:semiHidden/>
    <w:unhideWhenUsed/>
    <w:qFormat/>
    <w:rsid w:val="00EE425D"/>
    <w:rPr>
      <w:vertAlign w:val="superscript"/>
    </w:rPr>
  </w:style>
  <w:style w:type="character" w:customStyle="1" w:styleId="ae">
    <w:name w:val="Привязка сноски"/>
    <w:rPr>
      <w:vertAlign w:val="superscript"/>
    </w:rPr>
  </w:style>
  <w:style w:type="character" w:customStyle="1" w:styleId="af">
    <w:name w:val="Основной текст Знак"/>
    <w:basedOn w:val="a0"/>
    <w:link w:val="af0"/>
    <w:uiPriority w:val="1"/>
    <w:qFormat/>
    <w:rsid w:val="00EC2643"/>
    <w:rPr>
      <w:rFonts w:ascii="Times New Roman" w:eastAsia="Times New Roman" w:hAnsi="Times New Roman" w:cs="Times New Roman"/>
      <w:kern w:val="0"/>
      <w:sz w:val="28"/>
      <w:szCs w:val="28"/>
      <w14:ligatures w14:val="none"/>
    </w:rPr>
  </w:style>
  <w:style w:type="paragraph" w:styleId="a4">
    <w:name w:val="Title"/>
    <w:basedOn w:val="a"/>
    <w:next w:val="af0"/>
    <w:link w:val="a3"/>
    <w:uiPriority w:val="10"/>
    <w:qFormat/>
    <w:rsid w:val="00BE3A26"/>
    <w:pPr>
      <w:spacing w:after="80" w:line="240" w:lineRule="auto"/>
      <w:contextualSpacing/>
    </w:pPr>
    <w:rPr>
      <w:rFonts w:asciiTheme="majorHAnsi" w:eastAsiaTheme="majorEastAsia" w:hAnsiTheme="majorHAnsi" w:cstheme="majorBidi"/>
      <w:spacing w:val="-10"/>
      <w:sz w:val="56"/>
      <w:szCs w:val="56"/>
    </w:rPr>
  </w:style>
  <w:style w:type="paragraph" w:styleId="af0">
    <w:name w:val="Body Text"/>
    <w:basedOn w:val="a"/>
    <w:link w:val="af"/>
    <w:uiPriority w:val="1"/>
    <w:qFormat/>
    <w:rsid w:val="00EC2643"/>
    <w:pPr>
      <w:widowControl w:val="0"/>
      <w:spacing w:after="0" w:line="240" w:lineRule="auto"/>
      <w:ind w:left="143" w:firstLine="707"/>
      <w:jc w:val="both"/>
    </w:pPr>
    <w:rPr>
      <w:rFonts w:ascii="Times New Roman" w:eastAsia="Times New Roman" w:hAnsi="Times New Roman" w:cs="Times New Roman"/>
      <w:kern w:val="0"/>
      <w:sz w:val="28"/>
      <w:szCs w:val="28"/>
      <w14:ligatures w14:val="none"/>
    </w:rPr>
  </w:style>
  <w:style w:type="paragraph" w:styleId="af1">
    <w:name w:val="List"/>
    <w:basedOn w:val="af0"/>
    <w:rPr>
      <w:rFonts w:cs="Lucida Sans"/>
    </w:rPr>
  </w:style>
  <w:style w:type="paragraph" w:styleId="af2">
    <w:name w:val="caption"/>
    <w:basedOn w:val="a"/>
    <w:qFormat/>
    <w:pPr>
      <w:suppressLineNumbers/>
      <w:spacing w:before="120" w:after="120"/>
    </w:pPr>
    <w:rPr>
      <w:rFonts w:cs="Lucida Sans"/>
      <w:i/>
      <w:iCs/>
      <w:sz w:val="24"/>
      <w:szCs w:val="24"/>
    </w:rPr>
  </w:style>
  <w:style w:type="paragraph" w:styleId="af3">
    <w:name w:val="index heading"/>
    <w:basedOn w:val="a"/>
    <w:qFormat/>
    <w:pPr>
      <w:suppressLineNumbers/>
    </w:pPr>
    <w:rPr>
      <w:rFonts w:cs="Lucida Sans"/>
    </w:rPr>
  </w:style>
  <w:style w:type="paragraph" w:styleId="a6">
    <w:name w:val="Subtitle"/>
    <w:basedOn w:val="a"/>
    <w:next w:val="a"/>
    <w:link w:val="a5"/>
    <w:uiPriority w:val="11"/>
    <w:qFormat/>
    <w:rsid w:val="00BE3A26"/>
    <w:rPr>
      <w:rFonts w:eastAsiaTheme="majorEastAsia" w:cstheme="majorBidi"/>
      <w:color w:val="595959" w:themeColor="text1" w:themeTint="A6"/>
      <w:spacing w:val="15"/>
      <w:sz w:val="28"/>
      <w:szCs w:val="28"/>
    </w:rPr>
  </w:style>
  <w:style w:type="paragraph" w:styleId="22">
    <w:name w:val="Quote"/>
    <w:basedOn w:val="a"/>
    <w:next w:val="a"/>
    <w:link w:val="21"/>
    <w:uiPriority w:val="29"/>
    <w:qFormat/>
    <w:rsid w:val="00BE3A26"/>
    <w:pPr>
      <w:spacing w:before="160"/>
      <w:jc w:val="center"/>
    </w:pPr>
    <w:rPr>
      <w:i/>
      <w:iCs/>
      <w:color w:val="404040" w:themeColor="text1" w:themeTint="BF"/>
    </w:rPr>
  </w:style>
  <w:style w:type="paragraph" w:styleId="af4">
    <w:name w:val="List Paragraph"/>
    <w:basedOn w:val="a"/>
    <w:uiPriority w:val="34"/>
    <w:qFormat/>
    <w:rsid w:val="00BE3A26"/>
    <w:pPr>
      <w:ind w:left="720"/>
      <w:contextualSpacing/>
    </w:pPr>
  </w:style>
  <w:style w:type="paragraph" w:styleId="a9">
    <w:name w:val="Intense Quote"/>
    <w:basedOn w:val="a"/>
    <w:next w:val="a"/>
    <w:link w:val="a8"/>
    <w:uiPriority w:val="30"/>
    <w:qFormat/>
    <w:rsid w:val="00BE3A26"/>
    <w:pPr>
      <w:pBdr>
        <w:top w:val="single" w:sz="4" w:space="10" w:color="0F4761"/>
        <w:bottom w:val="single" w:sz="4" w:space="10" w:color="0F4761"/>
      </w:pBdr>
      <w:spacing w:before="360" w:after="360"/>
      <w:ind w:left="864" w:right="864"/>
      <w:jc w:val="center"/>
    </w:pPr>
    <w:rPr>
      <w:i/>
      <w:iCs/>
      <w:color w:val="0F4761" w:themeColor="accent1" w:themeShade="BF"/>
    </w:rPr>
  </w:style>
  <w:style w:type="paragraph" w:styleId="af5">
    <w:name w:val="Normal (Web)"/>
    <w:basedOn w:val="a"/>
    <w:uiPriority w:val="99"/>
    <w:unhideWhenUsed/>
    <w:qFormat/>
    <w:rsid w:val="00E333EC"/>
    <w:rPr>
      <w:rFonts w:ascii="Times New Roman" w:hAnsi="Times New Roman" w:cs="Times New Roman"/>
      <w:sz w:val="24"/>
      <w:szCs w:val="24"/>
    </w:rPr>
  </w:style>
  <w:style w:type="paragraph" w:styleId="ac">
    <w:name w:val="footnote text"/>
    <w:basedOn w:val="a"/>
    <w:link w:val="ab"/>
    <w:uiPriority w:val="99"/>
    <w:semiHidden/>
    <w:unhideWhenUsed/>
    <w:rsid w:val="00EE425D"/>
    <w:pPr>
      <w:spacing w:after="0" w:line="240" w:lineRule="auto"/>
    </w:pPr>
    <w:rPr>
      <w:sz w:val="20"/>
      <w:szCs w:val="20"/>
    </w:rPr>
  </w:style>
  <w:style w:type="paragraph" w:styleId="af6">
    <w:name w:val="No Spacing"/>
    <w:uiPriority w:val="1"/>
    <w:qFormat/>
    <w:rsid w:val="008515B0"/>
  </w:style>
  <w:style w:type="paragraph" w:customStyle="1" w:styleId="af7">
    <w:name w:val="Содержимое таблицы"/>
    <w:basedOn w:val="a"/>
    <w:qFormat/>
    <w:pPr>
      <w:widowControl w:val="0"/>
      <w:suppressLineNumbers/>
    </w:pPr>
  </w:style>
  <w:style w:type="paragraph" w:customStyle="1" w:styleId="af8">
    <w:name w:val="Заголовок таблицы"/>
    <w:basedOn w:val="af7"/>
    <w:qFormat/>
    <w:pPr>
      <w:jc w:val="center"/>
    </w:pPr>
    <w:rPr>
      <w:b/>
      <w:bCs/>
    </w:rPr>
  </w:style>
  <w:style w:type="character" w:styleId="af9">
    <w:name w:val="footnote reference"/>
    <w:basedOn w:val="a0"/>
    <w:uiPriority w:val="99"/>
    <w:semiHidden/>
    <w:unhideWhenUsed/>
    <w:rsid w:val="00051150"/>
    <w:rPr>
      <w:vertAlign w:val="superscript"/>
    </w:rPr>
  </w:style>
  <w:style w:type="character" w:styleId="afa">
    <w:name w:val="Hyperlink"/>
    <w:basedOn w:val="a0"/>
    <w:uiPriority w:val="99"/>
    <w:unhideWhenUsed/>
    <w:rsid w:val="00475CE7"/>
    <w:rPr>
      <w:color w:val="467886" w:themeColor="hyperlink"/>
      <w:u w:val="single"/>
    </w:rPr>
  </w:style>
  <w:style w:type="character" w:styleId="afb">
    <w:name w:val="Unresolved Mention"/>
    <w:basedOn w:val="a0"/>
    <w:uiPriority w:val="99"/>
    <w:semiHidden/>
    <w:unhideWhenUsed/>
    <w:rsid w:val="00475CE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minfin.gov.ru/ru/perfomance/public_debt/internal/structure?id_4=93479-tablitsy_ezhemesyachnykh_znachenii_obema_gosudarstvennogo_vnutrennego_dolga_rossiiskoi_federatsii"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infin.gov.ru/ru/document?id_4=69444-gosudarstvennyi_vneshnii_dolg_rossiiskoi_federatsii_2011-2025_gg."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infin.gov.ru/ru/document?id_4=69444-gosudarstvennyi_vneshnii_dolg_rossiiskoi_federatsii_2011-2025_gg." TargetMode="External"/><Relationship Id="rId5" Type="http://schemas.openxmlformats.org/officeDocument/2006/relationships/webSettings" Target="webSettings.xml"/><Relationship Id="rId15" Type="http://schemas.openxmlformats.org/officeDocument/2006/relationships/hyperlink" Target="mailto:dept.ud@unecon.ru" TargetMode="Externa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hyperlink" Target="https://minfin.gov.ru/ru/perfomance/public_debt/internal/structure?id_4=93479-tablitsy_ezhemesyachnykh_znachenii_obema_gosudarstvennogo_vnutrennego_dolga_rossiiskoi_federatsii" TargetMode="External"/><Relationship Id="rId14" Type="http://schemas.openxmlformats.org/officeDocument/2006/relationships/hyperlink" Target="mailto:dept.ud@unecon.ru"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label 0</c:f>
              <c:strCache>
                <c:ptCount val="1"/>
                <c:pt idx="0">
                  <c:v>Объем государственного внутреннего долга</c:v>
                </c:pt>
              </c:strCache>
            </c:strRef>
          </c:tx>
          <c:spPr>
            <a:solidFill>
              <a:schemeClr val="tx1"/>
            </a:solidFill>
            <a:ln w="0">
              <a:noFill/>
            </a:ln>
          </c:spPr>
          <c:invertIfNegative val="0"/>
          <c:dLbls>
            <c:spPr>
              <a:noFill/>
              <a:ln>
                <a:noFill/>
              </a:ln>
              <a:effectLst/>
            </c:spPr>
            <c:txPr>
              <a:bodyPr wrap="square"/>
              <a:lstStyle/>
              <a:p>
                <a:pPr>
                  <a:defRPr sz="1000" b="0" strike="noStrike" spc="-1">
                    <a:solidFill>
                      <a:srgbClr val="000000"/>
                    </a:solidFill>
                    <a:latin typeface="Aptos"/>
                  </a:defRPr>
                </a:pPr>
                <a:endParaRPr lang="ru-RU"/>
              </a:p>
            </c:txPr>
            <c:dLblPos val="outEnd"/>
            <c:showLegendKey val="0"/>
            <c:showVal val="0"/>
            <c:showCatName val="0"/>
            <c:showSerName val="0"/>
            <c:showPercent val="0"/>
            <c:showBubbleSize val="1"/>
            <c:separator>; </c:separator>
            <c:showLeaderLines val="0"/>
            <c:extLst>
              <c:ext xmlns:c15="http://schemas.microsoft.com/office/drawing/2012/chart" uri="{CE6537A1-D6FC-4f65-9D91-7224C49458BB}">
                <c15:showLeaderLines val="1"/>
              </c:ext>
            </c:extLst>
          </c:dLbls>
          <c:cat>
            <c:strRef>
              <c:f>categories</c:f>
              <c:strCache>
                <c:ptCount val="17"/>
                <c:pt idx="0">
                  <c:v> 01.01.2009</c:v>
                </c:pt>
                <c:pt idx="1">
                  <c:v> 01.01.2010</c:v>
                </c:pt>
                <c:pt idx="2">
                  <c:v> 01.01.2011</c:v>
                </c:pt>
                <c:pt idx="3">
                  <c:v> 01.01.2012</c:v>
                </c:pt>
                <c:pt idx="4">
                  <c:v> 01.01.2013</c:v>
                </c:pt>
                <c:pt idx="5">
                  <c:v> 01.01.2014</c:v>
                </c:pt>
                <c:pt idx="6">
                  <c:v> 01.01.2015</c:v>
                </c:pt>
                <c:pt idx="7">
                  <c:v> 01.01.2016</c:v>
                </c:pt>
                <c:pt idx="8">
                  <c:v> 01.01.2017</c:v>
                </c:pt>
                <c:pt idx="9">
                  <c:v> 01.01.2018</c:v>
                </c:pt>
                <c:pt idx="10">
                  <c:v> 01.01.2019</c:v>
                </c:pt>
                <c:pt idx="11">
                  <c:v> 01.01.2020</c:v>
                </c:pt>
                <c:pt idx="12">
                  <c:v> 01.01.2021</c:v>
                </c:pt>
                <c:pt idx="13">
                  <c:v> 01.01.2022</c:v>
                </c:pt>
                <c:pt idx="14">
                  <c:v> 01.01.2023</c:v>
                </c:pt>
                <c:pt idx="15">
                  <c:v> 01.01.2024</c:v>
                </c:pt>
                <c:pt idx="16">
                  <c:v> 01.01.2025</c:v>
                </c:pt>
              </c:strCache>
            </c:strRef>
          </c:cat>
          <c:val>
            <c:numRef>
              <c:f>0</c:f>
              <c:numCache>
                <c:formatCode>General</c:formatCode>
                <c:ptCount val="17"/>
                <c:pt idx="0">
                  <c:v>1499.8240000000001</c:v>
                </c:pt>
                <c:pt idx="1">
                  <c:v>2094.7310000000002</c:v>
                </c:pt>
                <c:pt idx="2">
                  <c:v>2940.3919999999998</c:v>
                </c:pt>
                <c:pt idx="3">
                  <c:v>4190.5529999999999</c:v>
                </c:pt>
                <c:pt idx="4">
                  <c:v>4977.8980000000001</c:v>
                </c:pt>
                <c:pt idx="5">
                  <c:v>5722.2389999999996</c:v>
                </c:pt>
                <c:pt idx="6">
                  <c:v>7241.1689999999999</c:v>
                </c:pt>
                <c:pt idx="7">
                  <c:v>7307.6109999999999</c:v>
                </c:pt>
                <c:pt idx="8">
                  <c:v>8003.4549999999999</c:v>
                </c:pt>
                <c:pt idx="9">
                  <c:v>8689.6389999999901</c:v>
                </c:pt>
                <c:pt idx="10">
                  <c:v>9176.3959999999806</c:v>
                </c:pt>
                <c:pt idx="11">
                  <c:v>10171.932000000001</c:v>
                </c:pt>
                <c:pt idx="12">
                  <c:v>14751.438</c:v>
                </c:pt>
                <c:pt idx="13">
                  <c:v>16486.442999999999</c:v>
                </c:pt>
                <c:pt idx="14">
                  <c:v>18780.961192327501</c:v>
                </c:pt>
                <c:pt idx="15">
                  <c:v>20812.751</c:v>
                </c:pt>
                <c:pt idx="16">
                  <c:v>23742.293000000001</c:v>
                </c:pt>
              </c:numCache>
            </c:numRef>
          </c:val>
          <c:extLst>
            <c:ext xmlns:c16="http://schemas.microsoft.com/office/drawing/2014/chart" uri="{C3380CC4-5D6E-409C-BE32-E72D297353CC}">
              <c16:uniqueId val="{00000000-184F-4F90-B37F-FA411B53EA3C}"/>
            </c:ext>
          </c:extLst>
        </c:ser>
        <c:ser>
          <c:idx val="1"/>
          <c:order val="1"/>
          <c:tx>
            <c:strRef>
              <c:f>label 1</c:f>
              <c:strCache>
                <c:ptCount val="1"/>
                <c:pt idx="0">
                  <c:v>в том числе государственные гарантии </c:v>
                </c:pt>
              </c:strCache>
            </c:strRef>
          </c:tx>
          <c:spPr>
            <a:solidFill>
              <a:schemeClr val="bg1">
                <a:lumMod val="75000"/>
              </a:schemeClr>
            </a:solidFill>
            <a:ln w="0">
              <a:noFill/>
            </a:ln>
          </c:spPr>
          <c:invertIfNegative val="0"/>
          <c:dLbls>
            <c:spPr>
              <a:noFill/>
              <a:ln>
                <a:noFill/>
              </a:ln>
              <a:effectLst/>
            </c:spPr>
            <c:txPr>
              <a:bodyPr wrap="square"/>
              <a:lstStyle/>
              <a:p>
                <a:pPr>
                  <a:defRPr sz="1000" b="0" strike="noStrike" spc="-1">
                    <a:solidFill>
                      <a:srgbClr val="000000"/>
                    </a:solidFill>
                    <a:latin typeface="Aptos"/>
                  </a:defRPr>
                </a:pPr>
                <a:endParaRPr lang="ru-RU"/>
              </a:p>
            </c:txPr>
            <c:dLblPos val="outEnd"/>
            <c:showLegendKey val="0"/>
            <c:showVal val="0"/>
            <c:showCatName val="0"/>
            <c:showSerName val="0"/>
            <c:showPercent val="0"/>
            <c:showBubbleSize val="1"/>
            <c:separator>; </c:separator>
            <c:showLeaderLines val="0"/>
            <c:extLst>
              <c:ext xmlns:c15="http://schemas.microsoft.com/office/drawing/2012/chart" uri="{CE6537A1-D6FC-4f65-9D91-7224C49458BB}">
                <c15:showLeaderLines val="1"/>
              </c:ext>
            </c:extLst>
          </c:dLbls>
          <c:cat>
            <c:strRef>
              <c:f>categories</c:f>
              <c:strCache>
                <c:ptCount val="17"/>
                <c:pt idx="0">
                  <c:v> 01.01.2009</c:v>
                </c:pt>
                <c:pt idx="1">
                  <c:v> 01.01.2010</c:v>
                </c:pt>
                <c:pt idx="2">
                  <c:v> 01.01.2011</c:v>
                </c:pt>
                <c:pt idx="3">
                  <c:v> 01.01.2012</c:v>
                </c:pt>
                <c:pt idx="4">
                  <c:v> 01.01.2013</c:v>
                </c:pt>
                <c:pt idx="5">
                  <c:v> 01.01.2014</c:v>
                </c:pt>
                <c:pt idx="6">
                  <c:v> 01.01.2015</c:v>
                </c:pt>
                <c:pt idx="7">
                  <c:v> 01.01.2016</c:v>
                </c:pt>
                <c:pt idx="8">
                  <c:v> 01.01.2017</c:v>
                </c:pt>
                <c:pt idx="9">
                  <c:v> 01.01.2018</c:v>
                </c:pt>
                <c:pt idx="10">
                  <c:v> 01.01.2019</c:v>
                </c:pt>
                <c:pt idx="11">
                  <c:v> 01.01.2020</c:v>
                </c:pt>
                <c:pt idx="12">
                  <c:v> 01.01.2021</c:v>
                </c:pt>
                <c:pt idx="13">
                  <c:v> 01.01.2022</c:v>
                </c:pt>
                <c:pt idx="14">
                  <c:v> 01.01.2023</c:v>
                </c:pt>
                <c:pt idx="15">
                  <c:v> 01.01.2024</c:v>
                </c:pt>
                <c:pt idx="16">
                  <c:v> 01.01.2025</c:v>
                </c:pt>
              </c:strCache>
            </c:strRef>
          </c:cat>
          <c:val>
            <c:numRef>
              <c:f>1</c:f>
              <c:numCache>
                <c:formatCode>General</c:formatCode>
                <c:ptCount val="17"/>
                <c:pt idx="0">
                  <c:v>72.486999999999995</c:v>
                </c:pt>
                <c:pt idx="1">
                  <c:v>251.364</c:v>
                </c:pt>
                <c:pt idx="2">
                  <c:v>472.25</c:v>
                </c:pt>
                <c:pt idx="3">
                  <c:v>637.33399999999995</c:v>
                </c:pt>
                <c:pt idx="4">
                  <c:v>906.63800000000003</c:v>
                </c:pt>
                <c:pt idx="5">
                  <c:v>1289.854</c:v>
                </c:pt>
                <c:pt idx="6">
                  <c:v>1765.4559999999999</c:v>
                </c:pt>
                <c:pt idx="7">
                  <c:v>1734.5160000000001</c:v>
                </c:pt>
                <c:pt idx="8">
                  <c:v>1903.114</c:v>
                </c:pt>
                <c:pt idx="9">
                  <c:v>1442.5150000000001</c:v>
                </c:pt>
                <c:pt idx="10">
                  <c:v>1426.922</c:v>
                </c:pt>
                <c:pt idx="11">
                  <c:v>840.53</c:v>
                </c:pt>
                <c:pt idx="12">
                  <c:v>695.245</c:v>
                </c:pt>
                <c:pt idx="13">
                  <c:v>726.59299999999996</c:v>
                </c:pt>
                <c:pt idx="14">
                  <c:v>701.67005926437105</c:v>
                </c:pt>
                <c:pt idx="15">
                  <c:v>700.39099999999996</c:v>
                </c:pt>
                <c:pt idx="16">
                  <c:v>656.18299999999999</c:v>
                </c:pt>
              </c:numCache>
            </c:numRef>
          </c:val>
          <c:extLst>
            <c:ext xmlns:c16="http://schemas.microsoft.com/office/drawing/2014/chart" uri="{C3380CC4-5D6E-409C-BE32-E72D297353CC}">
              <c16:uniqueId val="{00000001-184F-4F90-B37F-FA411B53EA3C}"/>
            </c:ext>
          </c:extLst>
        </c:ser>
        <c:dLbls>
          <c:showLegendKey val="0"/>
          <c:showVal val="0"/>
          <c:showCatName val="0"/>
          <c:showSerName val="0"/>
          <c:showPercent val="0"/>
          <c:showBubbleSize val="0"/>
        </c:dLbls>
        <c:gapWidth val="150"/>
        <c:axId val="35681829"/>
        <c:axId val="85383414"/>
      </c:barChart>
      <c:catAx>
        <c:axId val="35681829"/>
        <c:scaling>
          <c:orientation val="minMax"/>
        </c:scaling>
        <c:delete val="0"/>
        <c:axPos val="b"/>
        <c:numFmt formatCode="General" sourceLinked="0"/>
        <c:majorTickMark val="none"/>
        <c:minorTickMark val="none"/>
        <c:tickLblPos val="nextTo"/>
        <c:spPr>
          <a:ln w="9360">
            <a:solidFill>
              <a:srgbClr val="D9D9D9"/>
            </a:solidFill>
            <a:round/>
          </a:ln>
        </c:spPr>
        <c:txPr>
          <a:bodyPr/>
          <a:lstStyle/>
          <a:p>
            <a:pPr>
              <a:defRPr sz="900" b="0" strike="noStrike" spc="-1">
                <a:solidFill>
                  <a:srgbClr val="595959"/>
                </a:solidFill>
                <a:latin typeface="Aptos"/>
              </a:defRPr>
            </a:pPr>
            <a:endParaRPr lang="ru-RU"/>
          </a:p>
        </c:txPr>
        <c:crossAx val="85383414"/>
        <c:crosses val="autoZero"/>
        <c:auto val="1"/>
        <c:lblAlgn val="ctr"/>
        <c:lblOffset val="100"/>
        <c:noMultiLvlLbl val="0"/>
      </c:catAx>
      <c:valAx>
        <c:axId val="85383414"/>
        <c:scaling>
          <c:orientation val="minMax"/>
        </c:scaling>
        <c:delete val="0"/>
        <c:axPos val="l"/>
        <c:majorGridlines>
          <c:spPr>
            <a:ln w="9360">
              <a:solidFill>
                <a:srgbClr val="D9D9D9"/>
              </a:solidFill>
              <a:round/>
            </a:ln>
          </c:spPr>
        </c:majorGridlines>
        <c:numFmt formatCode="#\ ##0.000" sourceLinked="0"/>
        <c:majorTickMark val="none"/>
        <c:minorTickMark val="none"/>
        <c:tickLblPos val="nextTo"/>
        <c:spPr>
          <a:ln w="6480">
            <a:noFill/>
          </a:ln>
        </c:spPr>
        <c:txPr>
          <a:bodyPr/>
          <a:lstStyle/>
          <a:p>
            <a:pPr>
              <a:defRPr sz="900" b="0" strike="noStrike" spc="-1">
                <a:solidFill>
                  <a:srgbClr val="595959"/>
                </a:solidFill>
                <a:latin typeface="Aptos"/>
              </a:defRPr>
            </a:pPr>
            <a:endParaRPr lang="ru-RU"/>
          </a:p>
        </c:txPr>
        <c:crossAx val="35681829"/>
        <c:crosses val="autoZero"/>
        <c:crossBetween val="between"/>
      </c:valAx>
      <c:spPr>
        <a:noFill/>
        <a:ln w="0">
          <a:noFill/>
        </a:ln>
      </c:spPr>
    </c:plotArea>
    <c:legend>
      <c:legendPos val="r"/>
      <c:overlay val="0"/>
      <c:spPr>
        <a:noFill/>
        <a:ln w="0">
          <a:noFill/>
        </a:ln>
      </c:spPr>
      <c:txPr>
        <a:bodyPr/>
        <a:lstStyle/>
        <a:p>
          <a:pPr>
            <a:defRPr sz="900" b="0" strike="noStrike" spc="-1">
              <a:solidFill>
                <a:srgbClr val="595959"/>
              </a:solidFill>
              <a:latin typeface="Aptos"/>
            </a:defRPr>
          </a:pPr>
          <a:endParaRPr lang="ru-RU"/>
        </a:p>
      </c:txPr>
    </c:legend>
    <c:plotVisOnly val="1"/>
    <c:dispBlanksAs val="gap"/>
    <c:showDLblsOverMax val="1"/>
  </c:chart>
  <c:spPr>
    <a:solidFill>
      <a:srgbClr val="FFFFFF"/>
    </a:solidFill>
    <a:ln w="9360">
      <a:solidFill>
        <a:schemeClr val="tx1"/>
      </a:solidFill>
      <a:round/>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label 0</c:f>
              <c:strCache>
                <c:ptCount val="1"/>
                <c:pt idx="0">
                  <c:v>Объем государственного внешнего долга</c:v>
                </c:pt>
              </c:strCache>
            </c:strRef>
          </c:tx>
          <c:spPr>
            <a:solidFill>
              <a:schemeClr val="tx1"/>
            </a:solidFill>
            <a:ln w="0">
              <a:noFill/>
            </a:ln>
          </c:spPr>
          <c:invertIfNegative val="0"/>
          <c:dLbls>
            <c:spPr>
              <a:noFill/>
              <a:ln>
                <a:noFill/>
              </a:ln>
              <a:effectLst/>
            </c:spPr>
            <c:txPr>
              <a:bodyPr wrap="square"/>
              <a:lstStyle/>
              <a:p>
                <a:pPr>
                  <a:defRPr sz="1000" b="0" strike="noStrike" spc="-1">
                    <a:solidFill>
                      <a:srgbClr val="000000"/>
                    </a:solidFill>
                    <a:latin typeface="Aptos"/>
                  </a:defRPr>
                </a:pPr>
                <a:endParaRPr lang="ru-RU"/>
              </a:p>
            </c:txPr>
            <c:dLblPos val="outEnd"/>
            <c:showLegendKey val="0"/>
            <c:showVal val="0"/>
            <c:showCatName val="0"/>
            <c:showSerName val="0"/>
            <c:showPercent val="0"/>
            <c:showBubbleSize val="1"/>
            <c:separator>; </c:separator>
            <c:showLeaderLines val="0"/>
            <c:extLst>
              <c:ext xmlns:c15="http://schemas.microsoft.com/office/drawing/2012/chart" uri="{CE6537A1-D6FC-4f65-9D91-7224C49458BB}">
                <c15:showLeaderLines val="1"/>
              </c:ext>
            </c:extLst>
          </c:dLbls>
          <c:cat>
            <c:strRef>
              <c:f>categories</c:f>
              <c:strCache>
                <c:ptCount val="15"/>
                <c:pt idx="0">
                  <c:v> 01.01.2011</c:v>
                </c:pt>
                <c:pt idx="1">
                  <c:v> 01.01.2012</c:v>
                </c:pt>
                <c:pt idx="2">
                  <c:v> 01.01.2013</c:v>
                </c:pt>
                <c:pt idx="3">
                  <c:v> 01.01.2014</c:v>
                </c:pt>
                <c:pt idx="4">
                  <c:v> 01.01.2015</c:v>
                </c:pt>
                <c:pt idx="5">
                  <c:v> 01.01.2016</c:v>
                </c:pt>
                <c:pt idx="6">
                  <c:v> 01.01.2017</c:v>
                </c:pt>
                <c:pt idx="7">
                  <c:v> 01.01.2018</c:v>
                </c:pt>
                <c:pt idx="8">
                  <c:v> 01.01.2019</c:v>
                </c:pt>
                <c:pt idx="9">
                  <c:v> 01.01.2020</c:v>
                </c:pt>
                <c:pt idx="10">
                  <c:v> 01.01.2021</c:v>
                </c:pt>
                <c:pt idx="11">
                  <c:v> 01.01.2022</c:v>
                </c:pt>
                <c:pt idx="12">
                  <c:v> 01.01.2023</c:v>
                </c:pt>
                <c:pt idx="13">
                  <c:v> 01.01.2024</c:v>
                </c:pt>
                <c:pt idx="14">
                  <c:v> 01.01.2025</c:v>
                </c:pt>
              </c:strCache>
            </c:strRef>
          </c:cat>
          <c:val>
            <c:numRef>
              <c:f>0</c:f>
              <c:numCache>
                <c:formatCode>General</c:formatCode>
                <c:ptCount val="15"/>
                <c:pt idx="0">
                  <c:v>39956.9</c:v>
                </c:pt>
                <c:pt idx="1">
                  <c:v>35801.4</c:v>
                </c:pt>
                <c:pt idx="2">
                  <c:v>50769.2</c:v>
                </c:pt>
                <c:pt idx="3">
                  <c:v>55794.2</c:v>
                </c:pt>
                <c:pt idx="4">
                  <c:v>54355.4</c:v>
                </c:pt>
                <c:pt idx="5">
                  <c:v>50002.3</c:v>
                </c:pt>
                <c:pt idx="6">
                  <c:v>51211.8</c:v>
                </c:pt>
                <c:pt idx="7">
                  <c:v>49827.3</c:v>
                </c:pt>
                <c:pt idx="8">
                  <c:v>49156.5</c:v>
                </c:pt>
                <c:pt idx="9">
                  <c:v>54848.3</c:v>
                </c:pt>
                <c:pt idx="10">
                  <c:v>56702.9</c:v>
                </c:pt>
                <c:pt idx="11">
                  <c:v>59702</c:v>
                </c:pt>
                <c:pt idx="12">
                  <c:v>57416.800000000003</c:v>
                </c:pt>
                <c:pt idx="13">
                  <c:v>53322.9</c:v>
                </c:pt>
                <c:pt idx="14">
                  <c:v>52109.2</c:v>
                </c:pt>
              </c:numCache>
            </c:numRef>
          </c:val>
          <c:extLst>
            <c:ext xmlns:c16="http://schemas.microsoft.com/office/drawing/2014/chart" uri="{C3380CC4-5D6E-409C-BE32-E72D297353CC}">
              <c16:uniqueId val="{00000000-74FE-480F-B235-14A70FC38C44}"/>
            </c:ext>
          </c:extLst>
        </c:ser>
        <c:ser>
          <c:idx val="1"/>
          <c:order val="1"/>
          <c:tx>
            <c:strRef>
              <c:f>label 1</c:f>
              <c:strCache>
                <c:ptCount val="1"/>
                <c:pt idx="0">
                  <c:v>в т.ч. по государственным гарантиям</c:v>
                </c:pt>
              </c:strCache>
            </c:strRef>
          </c:tx>
          <c:spPr>
            <a:solidFill>
              <a:schemeClr val="bg2">
                <a:lumMod val="75000"/>
              </a:schemeClr>
            </a:solidFill>
            <a:ln w="0">
              <a:noFill/>
            </a:ln>
          </c:spPr>
          <c:invertIfNegative val="0"/>
          <c:dLbls>
            <c:spPr>
              <a:noFill/>
              <a:ln>
                <a:noFill/>
              </a:ln>
              <a:effectLst/>
            </c:spPr>
            <c:txPr>
              <a:bodyPr wrap="square"/>
              <a:lstStyle/>
              <a:p>
                <a:pPr>
                  <a:defRPr sz="1000" b="0" strike="noStrike" spc="-1">
                    <a:solidFill>
                      <a:srgbClr val="000000"/>
                    </a:solidFill>
                    <a:latin typeface="Aptos"/>
                  </a:defRPr>
                </a:pPr>
                <a:endParaRPr lang="ru-RU"/>
              </a:p>
            </c:txPr>
            <c:dLblPos val="outEnd"/>
            <c:showLegendKey val="0"/>
            <c:showVal val="0"/>
            <c:showCatName val="0"/>
            <c:showSerName val="0"/>
            <c:showPercent val="0"/>
            <c:showBubbleSize val="1"/>
            <c:separator>; </c:separator>
            <c:showLeaderLines val="0"/>
            <c:extLst>
              <c:ext xmlns:c15="http://schemas.microsoft.com/office/drawing/2012/chart" uri="{CE6537A1-D6FC-4f65-9D91-7224C49458BB}">
                <c15:showLeaderLines val="1"/>
              </c:ext>
            </c:extLst>
          </c:dLbls>
          <c:cat>
            <c:strRef>
              <c:f>categories</c:f>
              <c:strCache>
                <c:ptCount val="15"/>
                <c:pt idx="0">
                  <c:v> 01.01.2011</c:v>
                </c:pt>
                <c:pt idx="1">
                  <c:v> 01.01.2012</c:v>
                </c:pt>
                <c:pt idx="2">
                  <c:v> 01.01.2013</c:v>
                </c:pt>
                <c:pt idx="3">
                  <c:v> 01.01.2014</c:v>
                </c:pt>
                <c:pt idx="4">
                  <c:v> 01.01.2015</c:v>
                </c:pt>
                <c:pt idx="5">
                  <c:v> 01.01.2016</c:v>
                </c:pt>
                <c:pt idx="6">
                  <c:v> 01.01.2017</c:v>
                </c:pt>
                <c:pt idx="7">
                  <c:v> 01.01.2018</c:v>
                </c:pt>
                <c:pt idx="8">
                  <c:v> 01.01.2019</c:v>
                </c:pt>
                <c:pt idx="9">
                  <c:v> 01.01.2020</c:v>
                </c:pt>
                <c:pt idx="10">
                  <c:v> 01.01.2021</c:v>
                </c:pt>
                <c:pt idx="11">
                  <c:v> 01.01.2022</c:v>
                </c:pt>
                <c:pt idx="12">
                  <c:v> 01.01.2023</c:v>
                </c:pt>
                <c:pt idx="13">
                  <c:v> 01.01.2024</c:v>
                </c:pt>
                <c:pt idx="14">
                  <c:v> 01.01.2025</c:v>
                </c:pt>
              </c:strCache>
            </c:strRef>
          </c:cat>
          <c:val>
            <c:numRef>
              <c:f>1</c:f>
              <c:numCache>
                <c:formatCode>General</c:formatCode>
                <c:ptCount val="15"/>
                <c:pt idx="0">
                  <c:v>913.3</c:v>
                </c:pt>
                <c:pt idx="1">
                  <c:v>1008.9</c:v>
                </c:pt>
                <c:pt idx="2">
                  <c:v>11389.8</c:v>
                </c:pt>
                <c:pt idx="3">
                  <c:v>11399.1</c:v>
                </c:pt>
                <c:pt idx="4">
                  <c:v>12083.2</c:v>
                </c:pt>
                <c:pt idx="5">
                  <c:v>11875.9</c:v>
                </c:pt>
                <c:pt idx="6">
                  <c:v>11730.5</c:v>
                </c:pt>
                <c:pt idx="7">
                  <c:v>10357.200000000001</c:v>
                </c:pt>
                <c:pt idx="8">
                  <c:v>11567.4</c:v>
                </c:pt>
                <c:pt idx="9">
                  <c:v>13252.8</c:v>
                </c:pt>
                <c:pt idx="10">
                  <c:v>17596.599999999999</c:v>
                </c:pt>
                <c:pt idx="11">
                  <c:v>18839.7</c:v>
                </c:pt>
                <c:pt idx="12">
                  <c:v>19646.5</c:v>
                </c:pt>
                <c:pt idx="13">
                  <c:v>18741.900000000001</c:v>
                </c:pt>
                <c:pt idx="14">
                  <c:v>18271.599999999999</c:v>
                </c:pt>
              </c:numCache>
            </c:numRef>
          </c:val>
          <c:extLst>
            <c:ext xmlns:c16="http://schemas.microsoft.com/office/drawing/2014/chart" uri="{C3380CC4-5D6E-409C-BE32-E72D297353CC}">
              <c16:uniqueId val="{00000001-74FE-480F-B235-14A70FC38C44}"/>
            </c:ext>
          </c:extLst>
        </c:ser>
        <c:dLbls>
          <c:showLegendKey val="0"/>
          <c:showVal val="0"/>
          <c:showCatName val="0"/>
          <c:showSerName val="0"/>
          <c:showPercent val="0"/>
          <c:showBubbleSize val="0"/>
        </c:dLbls>
        <c:gapWidth val="150"/>
        <c:axId val="923492"/>
        <c:axId val="46650561"/>
      </c:barChart>
      <c:catAx>
        <c:axId val="923492"/>
        <c:scaling>
          <c:orientation val="minMax"/>
        </c:scaling>
        <c:delete val="0"/>
        <c:axPos val="b"/>
        <c:numFmt formatCode="General" sourceLinked="0"/>
        <c:majorTickMark val="none"/>
        <c:minorTickMark val="none"/>
        <c:tickLblPos val="nextTo"/>
        <c:spPr>
          <a:ln w="9360">
            <a:solidFill>
              <a:srgbClr val="D9D9D9"/>
            </a:solidFill>
            <a:round/>
          </a:ln>
        </c:spPr>
        <c:txPr>
          <a:bodyPr/>
          <a:lstStyle/>
          <a:p>
            <a:pPr>
              <a:defRPr sz="900" b="0" strike="noStrike" spc="-1">
                <a:solidFill>
                  <a:srgbClr val="595959"/>
                </a:solidFill>
                <a:latin typeface="Aptos"/>
              </a:defRPr>
            </a:pPr>
            <a:endParaRPr lang="ru-RU"/>
          </a:p>
        </c:txPr>
        <c:crossAx val="46650561"/>
        <c:crosses val="autoZero"/>
        <c:auto val="1"/>
        <c:lblAlgn val="ctr"/>
        <c:lblOffset val="100"/>
        <c:noMultiLvlLbl val="0"/>
      </c:catAx>
      <c:valAx>
        <c:axId val="46650561"/>
        <c:scaling>
          <c:orientation val="minMax"/>
        </c:scaling>
        <c:delete val="0"/>
        <c:axPos val="l"/>
        <c:majorGridlines>
          <c:spPr>
            <a:ln w="9360">
              <a:solidFill>
                <a:srgbClr val="D9D9D9"/>
              </a:solidFill>
              <a:round/>
            </a:ln>
          </c:spPr>
        </c:majorGridlines>
        <c:numFmt formatCode="#\ ##0.0" sourceLinked="0"/>
        <c:majorTickMark val="none"/>
        <c:minorTickMark val="none"/>
        <c:tickLblPos val="nextTo"/>
        <c:spPr>
          <a:ln w="6480">
            <a:noFill/>
          </a:ln>
        </c:spPr>
        <c:txPr>
          <a:bodyPr/>
          <a:lstStyle/>
          <a:p>
            <a:pPr>
              <a:defRPr sz="900" b="0" strike="noStrike" spc="-1">
                <a:solidFill>
                  <a:srgbClr val="595959"/>
                </a:solidFill>
                <a:latin typeface="Aptos"/>
              </a:defRPr>
            </a:pPr>
            <a:endParaRPr lang="ru-RU"/>
          </a:p>
        </c:txPr>
        <c:crossAx val="923492"/>
        <c:crosses val="autoZero"/>
        <c:crossBetween val="between"/>
      </c:valAx>
      <c:spPr>
        <a:noFill/>
        <a:ln w="0">
          <a:noFill/>
        </a:ln>
      </c:spPr>
    </c:plotArea>
    <c:legend>
      <c:legendPos val="r"/>
      <c:overlay val="0"/>
      <c:spPr>
        <a:noFill/>
        <a:ln w="0">
          <a:noFill/>
        </a:ln>
      </c:spPr>
      <c:txPr>
        <a:bodyPr/>
        <a:lstStyle/>
        <a:p>
          <a:pPr>
            <a:defRPr sz="900" b="0" strike="noStrike" spc="-1">
              <a:solidFill>
                <a:srgbClr val="595959"/>
              </a:solidFill>
              <a:latin typeface="Aptos"/>
            </a:defRPr>
          </a:pPr>
          <a:endParaRPr lang="ru-RU"/>
        </a:p>
      </c:txPr>
    </c:legend>
    <c:plotVisOnly val="1"/>
    <c:dispBlanksAs val="gap"/>
    <c:showDLblsOverMax val="1"/>
  </c:chart>
  <c:spPr>
    <a:solidFill>
      <a:srgbClr val="FFFFFF"/>
    </a:solidFill>
    <a:ln w="9360">
      <a:solidFill>
        <a:srgbClr val="D9D9D9"/>
      </a:solidFill>
      <a:round/>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6BD48C-7645-45A8-871E-6CEBCA46C5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917</TotalTime>
  <Pages>5</Pages>
  <Words>1919</Words>
  <Characters>10944</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Даниил Харитонов</dc:creator>
  <dc:description/>
  <cp:lastModifiedBy>Даниил Харитонов</cp:lastModifiedBy>
  <cp:revision>20</cp:revision>
  <dcterms:created xsi:type="dcterms:W3CDTF">2025-05-09T19:07:00Z</dcterms:created>
  <dcterms:modified xsi:type="dcterms:W3CDTF">2025-05-14T16:49:00Z</dcterms:modified>
  <dc:language>ru-RU</dc:language>
</cp:coreProperties>
</file>