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0CBB" w:rsidRPr="00477769" w:rsidRDefault="00C20CBB" w:rsidP="00C20CBB">
      <w:pPr>
        <w:pStyle w:val="rvps26"/>
        <w:shd w:val="clear" w:color="auto" w:fill="FFFFFF"/>
        <w:suppressAutoHyphens/>
        <w:spacing w:before="0" w:beforeAutospacing="0" w:after="0" w:afterAutospacing="0"/>
        <w:ind w:firstLine="567"/>
      </w:pPr>
      <w:r>
        <w:rPr>
          <w:rStyle w:val="rvts52"/>
          <w:b/>
          <w:bCs/>
        </w:rPr>
        <w:t>УДК 336.6</w:t>
      </w:r>
    </w:p>
    <w:p w:rsidR="00C20CBB" w:rsidRDefault="00C20CBB" w:rsidP="00C20CBB">
      <w:pPr>
        <w:pStyle w:val="rvps34"/>
        <w:shd w:val="clear" w:color="auto" w:fill="FFFFFF"/>
        <w:suppressAutoHyphens/>
        <w:spacing w:before="0" w:beforeAutospacing="0" w:after="0" w:afterAutospacing="0"/>
        <w:ind w:firstLine="540"/>
        <w:jc w:val="right"/>
      </w:pPr>
      <w:r>
        <w:rPr>
          <w:rStyle w:val="rvts52"/>
          <w:b/>
          <w:bCs/>
        </w:rPr>
        <w:t>Харионовская Т.Л., Романова Н.А.</w:t>
      </w:r>
    </w:p>
    <w:p w:rsidR="00C20CBB" w:rsidRDefault="00C20CBB" w:rsidP="00C20CBB">
      <w:pPr>
        <w:pStyle w:val="rvps33"/>
        <w:shd w:val="clear" w:color="auto" w:fill="FFFFFF"/>
        <w:suppressAutoHyphens/>
        <w:spacing w:before="0" w:beforeAutospacing="0" w:after="0" w:afterAutospacing="0"/>
        <w:ind w:firstLine="540"/>
        <w:jc w:val="center"/>
        <w:rPr>
          <w:rStyle w:val="rvts52"/>
          <w:b/>
          <w:bCs/>
        </w:rPr>
      </w:pPr>
      <w:r>
        <w:rPr>
          <w:rStyle w:val="rvts52"/>
          <w:b/>
          <w:bCs/>
        </w:rPr>
        <w:t>ПОВЫШЕНИЕ ЭМИССИОННОЙ АКТИВНОСТИ ХОЗЯЙСТВУЮЩИХ СУБЪЕКТОВ ВОЛОГОДСКОЙ ОБЛАСТИ</w:t>
      </w:r>
    </w:p>
    <w:p w:rsidR="00370C9A" w:rsidRDefault="00370C9A" w:rsidP="00C20CBB">
      <w:pPr>
        <w:pStyle w:val="rvps33"/>
        <w:shd w:val="clear" w:color="auto" w:fill="FFFFFF"/>
        <w:suppressAutoHyphens/>
        <w:spacing w:before="0" w:beforeAutospacing="0" w:after="0" w:afterAutospacing="0"/>
        <w:ind w:firstLine="540"/>
        <w:jc w:val="center"/>
        <w:rPr>
          <w:rStyle w:val="rvts52"/>
          <w:b/>
          <w:bCs/>
        </w:rPr>
      </w:pPr>
    </w:p>
    <w:p w:rsidR="00370C9A" w:rsidRDefault="00370C9A" w:rsidP="001A4BFA">
      <w:pPr>
        <w:pStyle w:val="rvps26"/>
        <w:shd w:val="clear" w:color="auto" w:fill="FFFFFF"/>
        <w:suppressAutoHyphens/>
        <w:spacing w:before="0" w:beforeAutospacing="0" w:after="0" w:afterAutospacing="0"/>
        <w:ind w:firstLine="709"/>
        <w:jc w:val="both"/>
        <w:rPr>
          <w:rStyle w:val="rvts54"/>
          <w:i/>
          <w:iCs/>
        </w:rPr>
      </w:pPr>
      <w:r>
        <w:rPr>
          <w:rStyle w:val="rvts52"/>
          <w:b/>
          <w:bCs/>
        </w:rPr>
        <w:t>Аннотация статьи на русском языке</w:t>
      </w:r>
      <w:proofErr w:type="gramStart"/>
      <w:r>
        <w:rPr>
          <w:rStyle w:val="rvts52"/>
          <w:b/>
          <w:bCs/>
        </w:rPr>
        <w:t xml:space="preserve"> </w:t>
      </w:r>
      <w:r w:rsidR="00CE399D">
        <w:rPr>
          <w:rStyle w:val="rvts52"/>
          <w:b/>
          <w:bCs/>
        </w:rPr>
        <w:t xml:space="preserve"> </w:t>
      </w:r>
      <w:r w:rsidRPr="001A4BFA">
        <w:rPr>
          <w:rStyle w:val="rvts54"/>
        </w:rPr>
        <w:t>В</w:t>
      </w:r>
      <w:proofErr w:type="gramEnd"/>
      <w:r w:rsidRPr="001A4BFA">
        <w:rPr>
          <w:rStyle w:val="rvts54"/>
        </w:rPr>
        <w:t xml:space="preserve"> данной статье рассматриваются вопросы </w:t>
      </w:r>
      <w:r w:rsidR="00C372F4" w:rsidRPr="001A4BFA">
        <w:rPr>
          <w:rStyle w:val="rvts54"/>
        </w:rPr>
        <w:t>региональных рынков ценных бумаг как составляющей инвестиционного климата страны. Анализируется региональный рынок ценных бумаг Вологодской области и затрагиваются факторы, препятствующие развитию инвестиционной среды регионов.</w:t>
      </w:r>
      <w:r w:rsidR="00C372F4">
        <w:rPr>
          <w:rStyle w:val="rvts54"/>
          <w:i/>
          <w:iCs/>
        </w:rPr>
        <w:t xml:space="preserve"> </w:t>
      </w:r>
    </w:p>
    <w:p w:rsidR="00C20CBB" w:rsidRPr="00CE399D" w:rsidRDefault="00370C9A" w:rsidP="00CE399D">
      <w:pPr>
        <w:pStyle w:val="rvps26"/>
        <w:shd w:val="clear" w:color="auto" w:fill="FFFFFF"/>
        <w:suppressAutoHyphens/>
        <w:spacing w:before="0" w:beforeAutospacing="0" w:after="0" w:afterAutospacing="0"/>
        <w:ind w:firstLine="709"/>
        <w:jc w:val="both"/>
        <w:rPr>
          <w:rStyle w:val="rvts54"/>
          <w:i/>
          <w:iCs/>
        </w:rPr>
      </w:pPr>
      <w:r>
        <w:rPr>
          <w:rStyle w:val="rvts52"/>
          <w:b/>
          <w:bCs/>
        </w:rPr>
        <w:t>Ключевые слова на русском языке</w:t>
      </w:r>
      <w:r w:rsidR="00CE399D">
        <w:rPr>
          <w:rStyle w:val="rvts52"/>
          <w:b/>
          <w:bCs/>
        </w:rPr>
        <w:t xml:space="preserve"> </w:t>
      </w:r>
      <w:r w:rsidR="00CE399D" w:rsidRPr="001A4BFA">
        <w:rPr>
          <w:rStyle w:val="rvts52"/>
        </w:rPr>
        <w:t>Региональный</w:t>
      </w:r>
      <w:r w:rsidR="00CE399D" w:rsidRPr="001A4BFA">
        <w:rPr>
          <w:rStyle w:val="rvts52"/>
          <w:b/>
          <w:bCs/>
        </w:rPr>
        <w:t xml:space="preserve"> </w:t>
      </w:r>
      <w:r w:rsidR="00CE399D" w:rsidRPr="001A4BFA">
        <w:rPr>
          <w:rStyle w:val="rvts52"/>
        </w:rPr>
        <w:t>рынок ценных бумаг, инвестиционный климат, эмиссионная активность.</w:t>
      </w:r>
      <w:r w:rsidR="00CE399D">
        <w:rPr>
          <w:rStyle w:val="rvts52"/>
          <w:i/>
          <w:iCs/>
        </w:rPr>
        <w:t xml:space="preserve"> </w:t>
      </w:r>
    </w:p>
    <w:p w:rsidR="00370C9A" w:rsidRDefault="00370C9A" w:rsidP="00CE399D">
      <w:pPr>
        <w:pStyle w:val="rvps26"/>
        <w:shd w:val="clear" w:color="auto" w:fill="FFFFFF"/>
        <w:suppressAutoHyphens/>
        <w:spacing w:before="0" w:beforeAutospacing="0" w:after="0" w:afterAutospacing="0"/>
        <w:ind w:firstLine="709"/>
        <w:jc w:val="both"/>
        <w:rPr>
          <w:sz w:val="28"/>
          <w:szCs w:val="28"/>
        </w:rPr>
      </w:pP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В условиях современной экономики, ориентированной на инновации и конкурентоспособность, роль рынка ценных бумаг в стимулировании экономического роста регионов Российской Федерации трудно переоценить. Эффективно функционирующий инвестиционный рынок обеспечивает необходимые финансовые ресурсы для развития предприятий, модернизации инфраструктуры и реализации инновационных проектов, тем самым способствуя увеличению занятости, росту доходов населения и, как следствие, повышению уровня жизни.</w:t>
      </w: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 xml:space="preserve">Президент РФ В. В. Путин в </w:t>
      </w:r>
      <w:r w:rsidRPr="00CE399D">
        <w:rPr>
          <w:rFonts w:ascii="Times New Roman" w:hAnsi="Times New Roman" w:cs="Times New Roman"/>
          <w:bCs/>
          <w:sz w:val="24"/>
          <w:szCs w:val="24"/>
        </w:rPr>
        <w:t>послании Федеральному Собранию от 29.02.2024 затрагивает тему инвестиционной активности и подчеркивает, что фондовый рынок должен развиваться</w:t>
      </w:r>
      <w:proofErr w:type="gramStart"/>
      <w:r w:rsidRPr="00CE399D">
        <w:rPr>
          <w:rFonts w:ascii="Times New Roman" w:hAnsi="Times New Roman" w:cs="Times New Roman"/>
          <w:bCs/>
          <w:sz w:val="24"/>
          <w:szCs w:val="24"/>
        </w:rPr>
        <w:t xml:space="preserve">: </w:t>
      </w:r>
      <w:r w:rsidRPr="00CE399D">
        <w:rPr>
          <w:rFonts w:ascii="Times New Roman" w:hAnsi="Times New Roman" w:cs="Times New Roman"/>
          <w:sz w:val="24"/>
          <w:szCs w:val="24"/>
        </w:rPr>
        <w:t>«..</w:t>
      </w:r>
      <w:proofErr w:type="gramEnd"/>
      <w:r w:rsidRPr="00CE399D">
        <w:rPr>
          <w:rFonts w:ascii="Times New Roman" w:hAnsi="Times New Roman" w:cs="Times New Roman"/>
          <w:sz w:val="24"/>
          <w:szCs w:val="24"/>
        </w:rPr>
        <w:t>российскому фондовому рынку необходимо усилить свою роль как источника инвестиций. Его капитализация к 2030 году должна удвоиться по сравнению с нынешним уровнем и составить 66 процентов ВВП. При этом важно, чтобы у граждан была возможность надежно инвестировать свои сбережения в развитие страны и получать при этом дополнительные доходы»</w:t>
      </w:r>
      <w:r w:rsidR="00A175F1" w:rsidRPr="00A175F1">
        <w:rPr>
          <w:rFonts w:ascii="Times New Roman" w:hAnsi="Times New Roman" w:cs="Times New Roman"/>
          <w:sz w:val="24"/>
          <w:szCs w:val="24"/>
        </w:rPr>
        <w:t>.</w:t>
      </w:r>
      <w:r w:rsidR="00C87812" w:rsidRPr="00C87812">
        <w:rPr>
          <w:rFonts w:ascii="Times New Roman" w:hAnsi="Times New Roman" w:cs="Times New Roman"/>
          <w:sz w:val="24"/>
          <w:szCs w:val="24"/>
        </w:rPr>
        <w:t>[</w:t>
      </w:r>
      <w:r w:rsidR="00C87812">
        <w:rPr>
          <w:rFonts w:ascii="Times New Roman" w:hAnsi="Times New Roman" w:cs="Times New Roman"/>
          <w:sz w:val="24"/>
          <w:szCs w:val="24"/>
        </w:rPr>
        <w:t>1</w:t>
      </w:r>
      <w:r w:rsidR="00C87812" w:rsidRPr="00C87812">
        <w:rPr>
          <w:rFonts w:ascii="Times New Roman" w:hAnsi="Times New Roman" w:cs="Times New Roman"/>
          <w:sz w:val="24"/>
          <w:szCs w:val="24"/>
        </w:rPr>
        <w:t>]</w:t>
      </w:r>
      <w:r w:rsidRPr="00CE399D">
        <w:rPr>
          <w:rFonts w:ascii="Times New Roman" w:hAnsi="Times New Roman" w:cs="Times New Roman"/>
          <w:sz w:val="24"/>
          <w:szCs w:val="24"/>
        </w:rPr>
        <w:t xml:space="preserve"> По данным</w:t>
      </w:r>
      <w:r w:rsidRPr="00CE399D">
        <w:rPr>
          <w:sz w:val="24"/>
          <w:szCs w:val="24"/>
        </w:rPr>
        <w:t xml:space="preserve"> </w:t>
      </w:r>
      <w:r w:rsidRPr="00CE399D">
        <w:rPr>
          <w:rFonts w:ascii="Times New Roman" w:hAnsi="Times New Roman" w:cs="Times New Roman"/>
          <w:sz w:val="24"/>
          <w:szCs w:val="24"/>
        </w:rPr>
        <w:t>информации Банка России от 25 октября 2024 г. "Основные направления развития финансового рынка Российской Федерации на 2025 год и период 2026 и 2027 годов (проект от 25 октября 2024 г.)",  «</w:t>
      </w:r>
      <w:r w:rsidR="00DF332A" w:rsidRPr="00CE399D">
        <w:rPr>
          <w:rFonts w:ascii="Times New Roman" w:hAnsi="Times New Roman" w:cs="Times New Roman"/>
          <w:sz w:val="24"/>
          <w:szCs w:val="24"/>
        </w:rPr>
        <w:t xml:space="preserve"> </w:t>
      </w:r>
      <w:r w:rsidRPr="00CE399D">
        <w:rPr>
          <w:rFonts w:ascii="Times New Roman" w:hAnsi="Times New Roman" w:cs="Times New Roman"/>
          <w:sz w:val="24"/>
          <w:szCs w:val="24"/>
        </w:rPr>
        <w:t>По итогам 11 месяцев 2024 года капитализация фондового рынка составила 47 трлн рублей. С учетом значительных темпов роста экономики отношение капитализации рынка акций к ВВП на 1 декабря 2024 года составило 25,4%. При этом показатель пока еще находится ниже уровня начала 2022 года как в абсолютном, так и относительном значении, когда она составляла 62,6 трлн рублей, или 46,1% ВВП»</w:t>
      </w:r>
      <w:r w:rsidR="0045554E" w:rsidRPr="0045554E">
        <w:rPr>
          <w:rFonts w:ascii="Times New Roman" w:hAnsi="Times New Roman" w:cs="Times New Roman"/>
          <w:sz w:val="24"/>
          <w:szCs w:val="24"/>
        </w:rPr>
        <w:t>.</w:t>
      </w:r>
      <w:r w:rsidR="00C87812" w:rsidRPr="00C87812">
        <w:rPr>
          <w:rFonts w:ascii="Times New Roman" w:hAnsi="Times New Roman" w:cs="Times New Roman"/>
          <w:sz w:val="24"/>
          <w:szCs w:val="24"/>
        </w:rPr>
        <w:t>[2]</w:t>
      </w:r>
      <w:r w:rsidRPr="00CE399D">
        <w:rPr>
          <w:rFonts w:ascii="Times New Roman" w:hAnsi="Times New Roman" w:cs="Times New Roman"/>
          <w:sz w:val="24"/>
          <w:szCs w:val="24"/>
        </w:rPr>
        <w:t xml:space="preserve"> Данная статистика дает понять, что уровень инвестиционной активности в прошлом году оказался почти в три раза ниже планируемого уровня достижения через 6 лет.  В таблице 1 представлены показатели эмиссионной активности предприятий Российской Федерации в целом и </w:t>
      </w:r>
      <w:r w:rsidR="00E73AA1">
        <w:rPr>
          <w:rFonts w:ascii="Times New Roman" w:hAnsi="Times New Roman" w:cs="Times New Roman"/>
          <w:sz w:val="24"/>
          <w:szCs w:val="24"/>
        </w:rPr>
        <w:t>по</w:t>
      </w:r>
      <w:r w:rsidRPr="00CE399D">
        <w:rPr>
          <w:rFonts w:ascii="Times New Roman" w:hAnsi="Times New Roman" w:cs="Times New Roman"/>
          <w:sz w:val="24"/>
          <w:szCs w:val="24"/>
        </w:rPr>
        <w:t xml:space="preserve"> </w:t>
      </w:r>
      <w:r w:rsidR="00E73AA1">
        <w:rPr>
          <w:rFonts w:ascii="Times New Roman" w:hAnsi="Times New Roman" w:cs="Times New Roman"/>
          <w:sz w:val="24"/>
          <w:szCs w:val="24"/>
        </w:rPr>
        <w:t xml:space="preserve"> федеральным</w:t>
      </w:r>
      <w:r w:rsidR="00370C9A" w:rsidRPr="00CE399D">
        <w:rPr>
          <w:rFonts w:ascii="Times New Roman" w:hAnsi="Times New Roman" w:cs="Times New Roman"/>
          <w:sz w:val="24"/>
          <w:szCs w:val="24"/>
        </w:rPr>
        <w:t xml:space="preserve"> ок</w:t>
      </w:r>
      <w:r w:rsidR="00E73AA1">
        <w:rPr>
          <w:rFonts w:ascii="Times New Roman" w:hAnsi="Times New Roman" w:cs="Times New Roman"/>
          <w:sz w:val="24"/>
          <w:szCs w:val="24"/>
        </w:rPr>
        <w:t>ругам за 2024 год</w:t>
      </w:r>
      <w:r w:rsidRPr="00CE399D">
        <w:rPr>
          <w:rFonts w:ascii="Times New Roman" w:hAnsi="Times New Roman" w:cs="Times New Roman"/>
          <w:sz w:val="24"/>
          <w:szCs w:val="24"/>
        </w:rPr>
        <w:t>.</w:t>
      </w:r>
    </w:p>
    <w:p w:rsidR="00202FD7" w:rsidRDefault="00147BDE" w:rsidP="00202FD7">
      <w:pPr>
        <w:spacing w:after="0" w:line="240" w:lineRule="auto"/>
        <w:jc w:val="right"/>
        <w:rPr>
          <w:rFonts w:ascii="Times New Roman" w:hAnsi="Times New Roman" w:cs="Times New Roman"/>
          <w:sz w:val="24"/>
          <w:szCs w:val="24"/>
        </w:rPr>
      </w:pPr>
      <w:r w:rsidRPr="00FA7C13">
        <w:rPr>
          <w:rFonts w:ascii="Times New Roman" w:hAnsi="Times New Roman" w:cs="Times New Roman"/>
          <w:sz w:val="24"/>
          <w:szCs w:val="24"/>
        </w:rPr>
        <w:t>Таблица 1</w:t>
      </w:r>
    </w:p>
    <w:p w:rsidR="00147BDE" w:rsidRPr="00E73AA1" w:rsidRDefault="00147BDE" w:rsidP="00E73AA1">
      <w:pPr>
        <w:spacing w:line="360" w:lineRule="auto"/>
        <w:ind w:firstLine="680"/>
        <w:jc w:val="both"/>
        <w:rPr>
          <w:rFonts w:ascii="Times New Roman" w:hAnsi="Times New Roman" w:cs="Times New Roman"/>
          <w:sz w:val="24"/>
          <w:szCs w:val="24"/>
        </w:rPr>
      </w:pPr>
      <w:r w:rsidRPr="00E73AA1">
        <w:rPr>
          <w:rFonts w:ascii="Times New Roman" w:hAnsi="Times New Roman" w:cs="Times New Roman"/>
          <w:sz w:val="24"/>
          <w:szCs w:val="24"/>
        </w:rPr>
        <w:t xml:space="preserve"> </w:t>
      </w:r>
      <w:r w:rsidR="00E73AA1" w:rsidRPr="00E73AA1">
        <w:rPr>
          <w:rFonts w:ascii="Times New Roman" w:hAnsi="Times New Roman" w:cs="Times New Roman"/>
          <w:bCs/>
          <w:sz w:val="24"/>
          <w:szCs w:val="24"/>
        </w:rPr>
        <w:t>Показатели эмиссионной активности РФ и округов РФ за 2024 год</w:t>
      </w:r>
    </w:p>
    <w:tbl>
      <w:tblPr>
        <w:tblStyle w:val="a4"/>
        <w:tblW w:w="9624" w:type="dxa"/>
        <w:tblLook w:val="04A0"/>
      </w:tblPr>
      <w:tblGrid>
        <w:gridCol w:w="2417"/>
        <w:gridCol w:w="3603"/>
        <w:gridCol w:w="3604"/>
      </w:tblGrid>
      <w:tr w:rsidR="00E73AA1" w:rsidRPr="00477F61" w:rsidTr="00E73AA1">
        <w:trPr>
          <w:trHeight w:val="954"/>
        </w:trPr>
        <w:tc>
          <w:tcPr>
            <w:tcW w:w="2417"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 xml:space="preserve">Округ </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Количество зарегистрированных выпусков (дополнительных выпусков) эмиссионных ценных бумаг — всего, единиц</w:t>
            </w:r>
          </w:p>
        </w:tc>
        <w:tc>
          <w:tcPr>
            <w:tcW w:w="3604"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 xml:space="preserve">Объем </w:t>
            </w:r>
            <w:proofErr w:type="gramStart"/>
            <w:r w:rsidRPr="00E73AA1">
              <w:rPr>
                <w:rFonts w:ascii="Times New Roman" w:hAnsi="Times New Roman" w:cs="Times New Roman"/>
                <w:sz w:val="20"/>
                <w:szCs w:val="20"/>
              </w:rPr>
              <w:t>зарегистрированных</w:t>
            </w:r>
            <w:proofErr w:type="gramEnd"/>
          </w:p>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 xml:space="preserve">выпусков (дополнительных выпусков) акций по номинальной стоимости, </w:t>
            </w:r>
            <w:proofErr w:type="spellStart"/>
            <w:proofErr w:type="gramStart"/>
            <w:r w:rsidRPr="00E73AA1">
              <w:rPr>
                <w:rFonts w:ascii="Times New Roman" w:hAnsi="Times New Roman" w:cs="Times New Roman"/>
                <w:sz w:val="20"/>
                <w:szCs w:val="20"/>
              </w:rPr>
              <w:t>млн</w:t>
            </w:r>
            <w:proofErr w:type="spellEnd"/>
            <w:proofErr w:type="gramEnd"/>
            <w:r w:rsidRPr="00E73AA1">
              <w:rPr>
                <w:rFonts w:ascii="Times New Roman" w:hAnsi="Times New Roman" w:cs="Times New Roman"/>
                <w:sz w:val="20"/>
                <w:szCs w:val="20"/>
              </w:rPr>
              <w:t xml:space="preserve"> рублей</w:t>
            </w:r>
          </w:p>
        </w:tc>
      </w:tr>
      <w:tr w:rsidR="00E73AA1" w:rsidRPr="00477F61" w:rsidTr="00E73AA1">
        <w:trPr>
          <w:trHeight w:val="595"/>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Российская Федерация, всего</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3050</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13 637 168,61</w:t>
            </w:r>
          </w:p>
        </w:tc>
      </w:tr>
      <w:tr w:rsidR="00E73AA1" w:rsidRPr="00477F61" w:rsidTr="00E73AA1">
        <w:trPr>
          <w:trHeight w:val="670"/>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Центральный федеральный округ</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1682</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12 489 335,33</w:t>
            </w:r>
          </w:p>
        </w:tc>
      </w:tr>
      <w:tr w:rsidR="00E73AA1" w:rsidRPr="00477F61" w:rsidTr="00E73AA1">
        <w:trPr>
          <w:trHeight w:val="77"/>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в т.ч. г</w:t>
            </w:r>
            <w:proofErr w:type="gramStart"/>
            <w:r w:rsidRPr="00E73AA1">
              <w:rPr>
                <w:rFonts w:ascii="Times New Roman" w:hAnsi="Times New Roman" w:cs="Times New Roman"/>
                <w:sz w:val="20"/>
                <w:szCs w:val="20"/>
              </w:rPr>
              <w:t>.М</w:t>
            </w:r>
            <w:proofErr w:type="gramEnd"/>
            <w:r w:rsidRPr="00E73AA1">
              <w:rPr>
                <w:rFonts w:ascii="Times New Roman" w:hAnsi="Times New Roman" w:cs="Times New Roman"/>
                <w:sz w:val="20"/>
                <w:szCs w:val="20"/>
              </w:rPr>
              <w:t>осква и др.</w:t>
            </w:r>
          </w:p>
        </w:tc>
        <w:tc>
          <w:tcPr>
            <w:tcW w:w="3603" w:type="dxa"/>
          </w:tcPr>
          <w:p w:rsidR="00E73AA1" w:rsidRPr="00E73AA1" w:rsidRDefault="00E73AA1" w:rsidP="00545132">
            <w:pPr>
              <w:jc w:val="center"/>
              <w:rPr>
                <w:rFonts w:ascii="Times New Roman" w:hAnsi="Times New Roman" w:cs="Times New Roman"/>
                <w:color w:val="FF0000"/>
                <w:sz w:val="20"/>
                <w:szCs w:val="20"/>
              </w:rPr>
            </w:pPr>
            <w:r w:rsidRPr="00E73AA1">
              <w:rPr>
                <w:rFonts w:ascii="Times New Roman" w:hAnsi="Times New Roman" w:cs="Times New Roman"/>
                <w:sz w:val="20"/>
                <w:szCs w:val="20"/>
              </w:rPr>
              <w:t>1493</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12 296 654,98</w:t>
            </w:r>
          </w:p>
        </w:tc>
      </w:tr>
      <w:tr w:rsidR="00E73AA1" w:rsidRPr="00477F61" w:rsidTr="00E73AA1">
        <w:trPr>
          <w:trHeight w:val="595"/>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Северо-западный федеральный округ</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739</w:t>
            </w:r>
          </w:p>
        </w:tc>
        <w:tc>
          <w:tcPr>
            <w:tcW w:w="3604" w:type="dxa"/>
          </w:tcPr>
          <w:p w:rsidR="00E73AA1" w:rsidRPr="00E73AA1" w:rsidRDefault="00E73AA1" w:rsidP="00545132">
            <w:pPr>
              <w:jc w:val="center"/>
              <w:rPr>
                <w:rFonts w:ascii="Times New Roman" w:hAnsi="Times New Roman" w:cs="Times New Roman"/>
                <w:color w:val="FF0000"/>
                <w:sz w:val="20"/>
                <w:szCs w:val="20"/>
              </w:rPr>
            </w:pPr>
            <w:r w:rsidRPr="00E73AA1">
              <w:rPr>
                <w:rFonts w:ascii="Times New Roman" w:hAnsi="Times New Roman" w:cs="Times New Roman"/>
                <w:sz w:val="20"/>
                <w:szCs w:val="20"/>
              </w:rPr>
              <w:t>712 346,23</w:t>
            </w:r>
          </w:p>
        </w:tc>
      </w:tr>
      <w:tr w:rsidR="00E73AA1" w:rsidRPr="00477F61" w:rsidTr="00E73AA1">
        <w:trPr>
          <w:trHeight w:val="595"/>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lastRenderedPageBreak/>
              <w:t>в т.ч.</w:t>
            </w:r>
          </w:p>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г. Санкт-Петербург</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642</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700 875,64</w:t>
            </w:r>
          </w:p>
        </w:tc>
      </w:tr>
      <w:tr w:rsidR="00E73AA1" w:rsidRPr="00477F61" w:rsidTr="00E73AA1">
        <w:trPr>
          <w:trHeight w:val="595"/>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Вологодская область и др.</w:t>
            </w:r>
          </w:p>
        </w:tc>
        <w:tc>
          <w:tcPr>
            <w:tcW w:w="3603" w:type="dxa"/>
          </w:tcPr>
          <w:p w:rsidR="00E73AA1" w:rsidRPr="00E73AA1" w:rsidRDefault="00E73AA1" w:rsidP="00545132">
            <w:pPr>
              <w:jc w:val="center"/>
              <w:rPr>
                <w:rFonts w:ascii="Times New Roman" w:hAnsi="Times New Roman" w:cs="Times New Roman"/>
                <w:color w:val="FF0000"/>
                <w:sz w:val="20"/>
                <w:szCs w:val="20"/>
              </w:rPr>
            </w:pPr>
            <w:r w:rsidRPr="00E73AA1">
              <w:rPr>
                <w:rFonts w:ascii="Times New Roman" w:hAnsi="Times New Roman" w:cs="Times New Roman"/>
                <w:sz w:val="20"/>
                <w:szCs w:val="20"/>
              </w:rPr>
              <w:t>9</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1 983,43</w:t>
            </w:r>
          </w:p>
        </w:tc>
      </w:tr>
      <w:tr w:rsidR="00E73AA1" w:rsidRPr="00477F61" w:rsidTr="00E73AA1">
        <w:trPr>
          <w:trHeight w:val="595"/>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 xml:space="preserve">Южный федеральный округ </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103</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22 406,67</w:t>
            </w:r>
          </w:p>
        </w:tc>
      </w:tr>
      <w:tr w:rsidR="00E73AA1" w:rsidRPr="00477F61" w:rsidTr="00E73AA1">
        <w:trPr>
          <w:trHeight w:val="595"/>
        </w:trPr>
        <w:tc>
          <w:tcPr>
            <w:tcW w:w="2417" w:type="dxa"/>
          </w:tcPr>
          <w:p w:rsidR="00E73AA1" w:rsidRPr="00E73AA1" w:rsidRDefault="00E73AA1" w:rsidP="00545132">
            <w:pPr>
              <w:rPr>
                <w:rFonts w:ascii="Times New Roman" w:hAnsi="Times New Roman" w:cs="Times New Roman"/>
                <w:sz w:val="20"/>
                <w:szCs w:val="20"/>
              </w:rPr>
            </w:pPr>
            <w:proofErr w:type="spellStart"/>
            <w:proofErr w:type="gramStart"/>
            <w:r w:rsidRPr="00E73AA1">
              <w:rPr>
                <w:rFonts w:ascii="Times New Roman" w:hAnsi="Times New Roman" w:cs="Times New Roman"/>
                <w:sz w:val="20"/>
                <w:szCs w:val="20"/>
              </w:rPr>
              <w:t>Северо-кавказский</w:t>
            </w:r>
            <w:proofErr w:type="spellEnd"/>
            <w:proofErr w:type="gramEnd"/>
            <w:r w:rsidRPr="00E73AA1">
              <w:rPr>
                <w:rFonts w:ascii="Times New Roman" w:hAnsi="Times New Roman" w:cs="Times New Roman"/>
                <w:sz w:val="20"/>
                <w:szCs w:val="20"/>
              </w:rPr>
              <w:t xml:space="preserve"> федеральный округ </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23</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878,19</w:t>
            </w:r>
          </w:p>
        </w:tc>
      </w:tr>
      <w:tr w:rsidR="00E73AA1" w:rsidRPr="00477F61" w:rsidTr="00E73AA1">
        <w:trPr>
          <w:trHeight w:val="595"/>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 xml:space="preserve">Приволжский федеральный округ </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199</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146 725,01</w:t>
            </w:r>
          </w:p>
        </w:tc>
      </w:tr>
      <w:tr w:rsidR="00E73AA1" w:rsidRPr="00477F61" w:rsidTr="00E73AA1">
        <w:trPr>
          <w:trHeight w:val="595"/>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 xml:space="preserve">Уральский федеральный округ </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108</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112 759,96</w:t>
            </w:r>
          </w:p>
        </w:tc>
      </w:tr>
      <w:tr w:rsidR="00E73AA1" w:rsidRPr="00477F61" w:rsidTr="00E73AA1">
        <w:trPr>
          <w:trHeight w:val="595"/>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Сибирский федеральный округ</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109</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60 713,72</w:t>
            </w:r>
          </w:p>
        </w:tc>
      </w:tr>
      <w:tr w:rsidR="00E73AA1" w:rsidRPr="00477F61" w:rsidTr="00E73AA1">
        <w:trPr>
          <w:trHeight w:val="617"/>
        </w:trPr>
        <w:tc>
          <w:tcPr>
            <w:tcW w:w="2417" w:type="dxa"/>
          </w:tcPr>
          <w:p w:rsidR="00E73AA1" w:rsidRPr="00E73AA1" w:rsidRDefault="00E73AA1" w:rsidP="00545132">
            <w:pPr>
              <w:rPr>
                <w:rFonts w:ascii="Times New Roman" w:hAnsi="Times New Roman" w:cs="Times New Roman"/>
                <w:sz w:val="20"/>
                <w:szCs w:val="20"/>
              </w:rPr>
            </w:pPr>
            <w:r w:rsidRPr="00E73AA1">
              <w:rPr>
                <w:rFonts w:ascii="Times New Roman" w:hAnsi="Times New Roman" w:cs="Times New Roman"/>
                <w:sz w:val="20"/>
                <w:szCs w:val="20"/>
              </w:rPr>
              <w:t xml:space="preserve">Дальневосточный федеральный округ </w:t>
            </w:r>
          </w:p>
        </w:tc>
        <w:tc>
          <w:tcPr>
            <w:tcW w:w="3603"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87</w:t>
            </w:r>
          </w:p>
        </w:tc>
        <w:tc>
          <w:tcPr>
            <w:tcW w:w="3604" w:type="dxa"/>
          </w:tcPr>
          <w:p w:rsidR="00E73AA1" w:rsidRPr="00E73AA1" w:rsidRDefault="00E73AA1" w:rsidP="00545132">
            <w:pPr>
              <w:jc w:val="center"/>
              <w:rPr>
                <w:rFonts w:ascii="Times New Roman" w:hAnsi="Times New Roman" w:cs="Times New Roman"/>
                <w:sz w:val="20"/>
                <w:szCs w:val="20"/>
              </w:rPr>
            </w:pPr>
            <w:r w:rsidRPr="00E73AA1">
              <w:rPr>
                <w:rFonts w:ascii="Times New Roman" w:hAnsi="Times New Roman" w:cs="Times New Roman"/>
                <w:sz w:val="20"/>
                <w:szCs w:val="20"/>
              </w:rPr>
              <w:t>92 003,5</w:t>
            </w:r>
          </w:p>
        </w:tc>
      </w:tr>
      <w:tr w:rsidR="00E73AA1" w:rsidRPr="00477F61" w:rsidTr="00E73AA1">
        <w:trPr>
          <w:trHeight w:val="369"/>
        </w:trPr>
        <w:tc>
          <w:tcPr>
            <w:tcW w:w="9624" w:type="dxa"/>
            <w:gridSpan w:val="3"/>
          </w:tcPr>
          <w:p w:rsidR="00E73AA1" w:rsidRPr="00E73AA1" w:rsidRDefault="00E73AA1" w:rsidP="00545132">
            <w:pPr>
              <w:jc w:val="center"/>
              <w:rPr>
                <w:rFonts w:ascii="Times New Roman" w:hAnsi="Times New Roman" w:cs="Times New Roman"/>
                <w:sz w:val="20"/>
                <w:szCs w:val="20"/>
              </w:rPr>
            </w:pPr>
            <w:r>
              <w:rPr>
                <w:rFonts w:ascii="Times New Roman" w:hAnsi="Times New Roman" w:cs="Times New Roman"/>
                <w:sz w:val="20"/>
                <w:szCs w:val="20"/>
              </w:rPr>
              <w:t>Источник: составлено авторами</w:t>
            </w:r>
            <w:r w:rsidRPr="00FA7C13">
              <w:rPr>
                <w:rFonts w:ascii="Times New Roman" w:hAnsi="Times New Roman" w:cs="Times New Roman"/>
                <w:sz w:val="20"/>
                <w:szCs w:val="20"/>
              </w:rPr>
              <w:t xml:space="preserve"> на основании статистических данных официального сайта Банка России</w:t>
            </w:r>
          </w:p>
        </w:tc>
      </w:tr>
    </w:tbl>
    <w:p w:rsidR="00E73AA1" w:rsidRPr="00E73AA1" w:rsidRDefault="00E73AA1" w:rsidP="00E73AA1">
      <w:pPr>
        <w:spacing w:line="240" w:lineRule="auto"/>
        <w:ind w:firstLine="680"/>
        <w:contextualSpacing/>
        <w:jc w:val="both"/>
        <w:rPr>
          <w:rFonts w:ascii="Times New Roman" w:hAnsi="Times New Roman" w:cs="Times New Roman"/>
          <w:sz w:val="24"/>
          <w:szCs w:val="24"/>
        </w:rPr>
      </w:pPr>
      <w:r w:rsidRPr="00E73AA1">
        <w:rPr>
          <w:rFonts w:ascii="Times New Roman" w:hAnsi="Times New Roman" w:cs="Times New Roman"/>
          <w:sz w:val="24"/>
          <w:szCs w:val="24"/>
        </w:rPr>
        <w:t xml:space="preserve">Наибольшие показатели эмиссионной активности имеют Центральный федеральный округ за счет высокой эмиссионной активности в </w:t>
      </w:r>
      <w:proofErr w:type="gramStart"/>
      <w:r w:rsidRPr="00E73AA1">
        <w:rPr>
          <w:rFonts w:ascii="Times New Roman" w:hAnsi="Times New Roman" w:cs="Times New Roman"/>
          <w:sz w:val="24"/>
          <w:szCs w:val="24"/>
        </w:rPr>
        <w:t>г</w:t>
      </w:r>
      <w:proofErr w:type="gramEnd"/>
      <w:r w:rsidRPr="00E73AA1">
        <w:rPr>
          <w:rFonts w:ascii="Times New Roman" w:hAnsi="Times New Roman" w:cs="Times New Roman"/>
          <w:sz w:val="24"/>
          <w:szCs w:val="24"/>
        </w:rPr>
        <w:t xml:space="preserve">. Москве, и Северо-западный федеральный округ за счет высоких показателей в г. Санкт-Петербурге. Вклад остальных округов в этот рынок незначителен. Из этого следует, что рынок ценных бумаг сконцентрирован в двух городах РФ, что говорит о сильно выраженной неравномерности </w:t>
      </w:r>
      <w:proofErr w:type="spellStart"/>
      <w:r w:rsidRPr="00E73AA1">
        <w:rPr>
          <w:rFonts w:ascii="Times New Roman" w:hAnsi="Times New Roman" w:cs="Times New Roman"/>
          <w:sz w:val="24"/>
          <w:szCs w:val="24"/>
        </w:rPr>
        <w:t>задействования</w:t>
      </w:r>
      <w:proofErr w:type="spellEnd"/>
      <w:r w:rsidRPr="00E73AA1">
        <w:rPr>
          <w:rFonts w:ascii="Times New Roman" w:hAnsi="Times New Roman" w:cs="Times New Roman"/>
          <w:sz w:val="24"/>
          <w:szCs w:val="24"/>
        </w:rPr>
        <w:t xml:space="preserve"> механизма инвестирования.</w:t>
      </w: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 xml:space="preserve">Инвестиционный климат как характеристика, отражающая совокупность условий, влияющих на осуществление инвестиционной деятельности и возможности ее изменения в стране, определяется совокупностью показателей инвестиционной привлекательности регионов, входящих в состав Российской Федерации. Из этого следует, что для усиления роли фондового рынка в стране как источника инвестирования, требуется развитие региональных рынков, которые способны привлечь население как частного инвестора на конкретной территории, что в совокупности положительно повлияет на инвестиционный климат в целом в стране. </w:t>
      </w:r>
    </w:p>
    <w:p w:rsidR="00147BDE" w:rsidRPr="00CE399D" w:rsidRDefault="00343D48"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Развитие рынка</w:t>
      </w:r>
      <w:r w:rsidR="00147BDE" w:rsidRPr="00CE399D">
        <w:rPr>
          <w:rFonts w:ascii="Times New Roman" w:hAnsi="Times New Roman" w:cs="Times New Roman"/>
          <w:sz w:val="24"/>
          <w:szCs w:val="24"/>
        </w:rPr>
        <w:t xml:space="preserve"> ценных бумаг Вологодской области через механизм привлечения сбережений населения в покупку ценных бумаг региональных </w:t>
      </w:r>
      <w:r w:rsidRPr="00CE399D">
        <w:rPr>
          <w:rFonts w:ascii="Times New Roman" w:hAnsi="Times New Roman" w:cs="Times New Roman"/>
          <w:sz w:val="24"/>
          <w:szCs w:val="24"/>
        </w:rPr>
        <w:t>компаний позволит</w:t>
      </w:r>
      <w:r w:rsidR="00147BDE" w:rsidRPr="00CE399D">
        <w:rPr>
          <w:rFonts w:ascii="Times New Roman" w:hAnsi="Times New Roman" w:cs="Times New Roman"/>
          <w:sz w:val="24"/>
          <w:szCs w:val="24"/>
        </w:rPr>
        <w:t xml:space="preserve"> улучшить инвестиционный климат региона, повысит заинтересованность населения в работе местных компаний. В тоже время компании </w:t>
      </w:r>
      <w:r w:rsidRPr="00CE399D">
        <w:rPr>
          <w:rFonts w:ascii="Times New Roman" w:hAnsi="Times New Roman" w:cs="Times New Roman"/>
          <w:sz w:val="24"/>
          <w:szCs w:val="24"/>
        </w:rPr>
        <w:t>будут совершенствовать корпоративное</w:t>
      </w:r>
      <w:r w:rsidR="00147BDE" w:rsidRPr="00CE399D">
        <w:rPr>
          <w:rFonts w:ascii="Times New Roman" w:hAnsi="Times New Roman" w:cs="Times New Roman"/>
          <w:sz w:val="24"/>
          <w:szCs w:val="24"/>
        </w:rPr>
        <w:t xml:space="preserve"> управление в части защиты прав частных инвесторов через повышение информированности о своей деятельности.</w:t>
      </w:r>
    </w:p>
    <w:p w:rsidR="00202FD7"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 xml:space="preserve">Несмотря на потенциальные выгоды, получаемые как инвесторами, так и </w:t>
      </w:r>
      <w:r w:rsidR="00343D48" w:rsidRPr="00CE399D">
        <w:rPr>
          <w:rFonts w:ascii="Times New Roman" w:hAnsi="Times New Roman" w:cs="Times New Roman"/>
          <w:sz w:val="24"/>
          <w:szCs w:val="24"/>
        </w:rPr>
        <w:t>предприятиями,</w:t>
      </w:r>
      <w:r w:rsidRPr="00CE399D">
        <w:rPr>
          <w:rFonts w:ascii="Times New Roman" w:hAnsi="Times New Roman" w:cs="Times New Roman"/>
          <w:sz w:val="24"/>
          <w:szCs w:val="24"/>
        </w:rPr>
        <w:t xml:space="preserve"> и страной в целом, показатели эмиссионной активности хозяйствующих субъектов Вологодской области за 2017–2023 гг. указывают на тот факт, что эмиссионная активность регионов России (на примере Вологодской области) находится на низком уровне. </w:t>
      </w:r>
    </w:p>
    <w:p w:rsidR="00147BDE" w:rsidRPr="00CE399D" w:rsidRDefault="00202FD7" w:rsidP="00202FD7">
      <w:pPr>
        <w:spacing w:after="0" w:line="240" w:lineRule="auto"/>
        <w:ind w:firstLine="709"/>
        <w:contextualSpacing/>
        <w:jc w:val="right"/>
        <w:rPr>
          <w:rFonts w:ascii="Times New Roman" w:hAnsi="Times New Roman" w:cs="Times New Roman"/>
          <w:sz w:val="24"/>
          <w:szCs w:val="24"/>
        </w:rPr>
      </w:pPr>
      <w:r w:rsidRPr="00FA7C13">
        <w:rPr>
          <w:rFonts w:ascii="Times New Roman" w:hAnsi="Times New Roman" w:cs="Times New Roman"/>
          <w:sz w:val="24"/>
          <w:szCs w:val="24"/>
        </w:rPr>
        <w:t>Таблица 2</w:t>
      </w:r>
    </w:p>
    <w:p w:rsidR="00147BDE" w:rsidRPr="00FA7C13" w:rsidRDefault="00147BDE" w:rsidP="00FA7C13">
      <w:pPr>
        <w:spacing w:after="0" w:line="240" w:lineRule="auto"/>
        <w:jc w:val="center"/>
        <w:rPr>
          <w:rFonts w:ascii="Times New Roman" w:hAnsi="Times New Roman" w:cs="Times New Roman"/>
          <w:sz w:val="24"/>
          <w:szCs w:val="24"/>
        </w:rPr>
      </w:pPr>
      <w:r w:rsidRPr="00FA7C13">
        <w:rPr>
          <w:rFonts w:ascii="Times New Roman" w:hAnsi="Times New Roman" w:cs="Times New Roman"/>
          <w:sz w:val="24"/>
          <w:szCs w:val="24"/>
        </w:rPr>
        <w:t xml:space="preserve">Показатели эмиссионной активности </w:t>
      </w:r>
      <w:bookmarkStart w:id="0" w:name="_Hlk191419115"/>
      <w:r w:rsidRPr="00FA7C13">
        <w:rPr>
          <w:rFonts w:ascii="Times New Roman" w:hAnsi="Times New Roman" w:cs="Times New Roman"/>
          <w:sz w:val="24"/>
          <w:szCs w:val="24"/>
        </w:rPr>
        <w:t>хозяйствующих субъектов Вологодской области за 2017–2023 гг</w:t>
      </w:r>
      <w:bookmarkEnd w:id="0"/>
      <w:r w:rsidRPr="00FA7C13">
        <w:rPr>
          <w:rFonts w:ascii="Times New Roman" w:hAnsi="Times New Roman" w:cs="Times New Roman"/>
          <w:sz w:val="24"/>
          <w:szCs w:val="24"/>
        </w:rPr>
        <w:t>.</w:t>
      </w:r>
    </w:p>
    <w:tbl>
      <w:tblPr>
        <w:tblStyle w:val="a4"/>
        <w:tblW w:w="9579" w:type="dxa"/>
        <w:jc w:val="center"/>
        <w:tblLook w:val="04A0"/>
      </w:tblPr>
      <w:tblGrid>
        <w:gridCol w:w="1914"/>
        <w:gridCol w:w="1915"/>
        <w:gridCol w:w="1916"/>
        <w:gridCol w:w="1915"/>
        <w:gridCol w:w="1919"/>
      </w:tblGrid>
      <w:tr w:rsidR="00147BDE" w:rsidRPr="00FA7C13" w:rsidTr="00FA7C13">
        <w:trPr>
          <w:trHeight w:val="1248"/>
          <w:jc w:val="center"/>
        </w:trPr>
        <w:tc>
          <w:tcPr>
            <w:tcW w:w="1914" w:type="dxa"/>
            <w:vMerge w:val="restart"/>
          </w:tcPr>
          <w:p w:rsidR="00147BDE" w:rsidRPr="00FA7C13" w:rsidRDefault="00147BDE" w:rsidP="00147BDE">
            <w:pPr>
              <w:jc w:val="center"/>
              <w:rPr>
                <w:rFonts w:ascii="Times New Roman" w:hAnsi="Times New Roman" w:cs="Times New Roman"/>
              </w:rPr>
            </w:pPr>
            <w:bookmarkStart w:id="1" w:name="_Hlk190360283"/>
            <w:r w:rsidRPr="00FA7C13">
              <w:rPr>
                <w:rFonts w:ascii="Times New Roman" w:hAnsi="Times New Roman" w:cs="Times New Roman"/>
              </w:rPr>
              <w:t>Год</w:t>
            </w:r>
          </w:p>
        </w:tc>
        <w:tc>
          <w:tcPr>
            <w:tcW w:w="3831" w:type="dxa"/>
            <w:gridSpan w:val="2"/>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Количество зарегистрированных выпусков (дополнительных выпусков) корпоративных эмиссионных ценных бумаг, всего единиц</w:t>
            </w:r>
          </w:p>
        </w:tc>
        <w:tc>
          <w:tcPr>
            <w:tcW w:w="3833" w:type="dxa"/>
            <w:gridSpan w:val="2"/>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Объем зарегистрированных выпусков (дополнительных выпусков) корпоративных эмиссионных ценных бумаг, млн руб.</w:t>
            </w:r>
          </w:p>
        </w:tc>
      </w:tr>
      <w:tr w:rsidR="00147BDE" w:rsidRPr="00FA7C13" w:rsidTr="00FA7C13">
        <w:trPr>
          <w:trHeight w:val="246"/>
          <w:jc w:val="center"/>
        </w:trPr>
        <w:tc>
          <w:tcPr>
            <w:tcW w:w="1914" w:type="dxa"/>
            <w:vMerge/>
          </w:tcPr>
          <w:p w:rsidR="00147BDE" w:rsidRPr="00FA7C13" w:rsidRDefault="00147BDE" w:rsidP="00147BDE">
            <w:pPr>
              <w:rPr>
                <w:rFonts w:ascii="Times New Roman" w:hAnsi="Times New Roman" w:cs="Times New Roman"/>
              </w:rPr>
            </w:pP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акций</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облигаций</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акций</w:t>
            </w:r>
          </w:p>
        </w:tc>
        <w:tc>
          <w:tcPr>
            <w:tcW w:w="1917"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облигаций</w:t>
            </w:r>
          </w:p>
        </w:tc>
      </w:tr>
      <w:tr w:rsidR="00147BDE" w:rsidRPr="00FA7C13" w:rsidTr="00325A89">
        <w:trPr>
          <w:trHeight w:val="274"/>
          <w:jc w:val="center"/>
        </w:trPr>
        <w:tc>
          <w:tcPr>
            <w:tcW w:w="1914"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lastRenderedPageBreak/>
              <w:t>2024</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8</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983</w:t>
            </w:r>
          </w:p>
        </w:tc>
        <w:tc>
          <w:tcPr>
            <w:tcW w:w="1917"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1000</w:t>
            </w:r>
          </w:p>
        </w:tc>
      </w:tr>
      <w:tr w:rsidR="00147BDE" w:rsidRPr="00FA7C13" w:rsidTr="00325A89">
        <w:trPr>
          <w:trHeight w:val="310"/>
          <w:jc w:val="center"/>
        </w:trPr>
        <w:tc>
          <w:tcPr>
            <w:tcW w:w="1914"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2023</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4</w:t>
            </w:r>
          </w:p>
        </w:tc>
        <w:tc>
          <w:tcPr>
            <w:tcW w:w="1915" w:type="dxa"/>
          </w:tcPr>
          <w:p w:rsidR="00147BDE" w:rsidRPr="00FA7C13" w:rsidRDefault="00147BDE" w:rsidP="00147BDE">
            <w:pPr>
              <w:jc w:val="center"/>
              <w:rPr>
                <w:rFonts w:ascii="Times New Roman" w:hAnsi="Times New Roman" w:cs="Times New Roman"/>
              </w:rPr>
            </w:pP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45</w:t>
            </w:r>
          </w:p>
        </w:tc>
        <w:tc>
          <w:tcPr>
            <w:tcW w:w="1917" w:type="dxa"/>
          </w:tcPr>
          <w:p w:rsidR="00147BDE" w:rsidRPr="00FA7C13" w:rsidRDefault="00147BDE" w:rsidP="00147BDE">
            <w:pPr>
              <w:jc w:val="center"/>
              <w:rPr>
                <w:rFonts w:ascii="Times New Roman" w:hAnsi="Times New Roman" w:cs="Times New Roman"/>
              </w:rPr>
            </w:pPr>
          </w:p>
        </w:tc>
      </w:tr>
      <w:tr w:rsidR="00147BDE" w:rsidRPr="00FA7C13" w:rsidTr="00325A89">
        <w:trPr>
          <w:trHeight w:val="301"/>
          <w:jc w:val="center"/>
        </w:trPr>
        <w:tc>
          <w:tcPr>
            <w:tcW w:w="1914"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2022</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77</w:t>
            </w:r>
          </w:p>
        </w:tc>
        <w:tc>
          <w:tcPr>
            <w:tcW w:w="1917"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100</w:t>
            </w:r>
          </w:p>
        </w:tc>
      </w:tr>
      <w:tr w:rsidR="00147BDE" w:rsidRPr="00FA7C13" w:rsidTr="00325A89">
        <w:trPr>
          <w:trHeight w:val="296"/>
          <w:jc w:val="center"/>
        </w:trPr>
        <w:tc>
          <w:tcPr>
            <w:tcW w:w="1914"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2021</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11</w:t>
            </w:r>
          </w:p>
        </w:tc>
        <w:tc>
          <w:tcPr>
            <w:tcW w:w="1915" w:type="dxa"/>
          </w:tcPr>
          <w:p w:rsidR="00147BDE" w:rsidRPr="00FA7C13" w:rsidRDefault="00147BDE" w:rsidP="00147BDE">
            <w:pPr>
              <w:jc w:val="center"/>
              <w:rPr>
                <w:rFonts w:ascii="Times New Roman" w:hAnsi="Times New Roman" w:cs="Times New Roman"/>
              </w:rPr>
            </w:pP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200</w:t>
            </w:r>
          </w:p>
        </w:tc>
        <w:tc>
          <w:tcPr>
            <w:tcW w:w="1917" w:type="dxa"/>
          </w:tcPr>
          <w:p w:rsidR="00147BDE" w:rsidRPr="00FA7C13" w:rsidRDefault="00147BDE" w:rsidP="00147BDE">
            <w:pPr>
              <w:jc w:val="center"/>
              <w:rPr>
                <w:rFonts w:ascii="Times New Roman" w:hAnsi="Times New Roman" w:cs="Times New Roman"/>
              </w:rPr>
            </w:pPr>
          </w:p>
        </w:tc>
      </w:tr>
      <w:tr w:rsidR="00147BDE" w:rsidRPr="00FA7C13" w:rsidTr="00325A89">
        <w:trPr>
          <w:trHeight w:val="328"/>
          <w:jc w:val="center"/>
        </w:trPr>
        <w:tc>
          <w:tcPr>
            <w:tcW w:w="1914"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2020</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6</w:t>
            </w:r>
          </w:p>
        </w:tc>
        <w:tc>
          <w:tcPr>
            <w:tcW w:w="1915" w:type="dxa"/>
          </w:tcPr>
          <w:p w:rsidR="00147BDE" w:rsidRPr="00FA7C13" w:rsidRDefault="00147BDE" w:rsidP="00147BDE">
            <w:pPr>
              <w:jc w:val="center"/>
              <w:rPr>
                <w:rFonts w:ascii="Times New Roman" w:hAnsi="Times New Roman" w:cs="Times New Roman"/>
              </w:rPr>
            </w:pP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685</w:t>
            </w:r>
          </w:p>
        </w:tc>
        <w:tc>
          <w:tcPr>
            <w:tcW w:w="1917" w:type="dxa"/>
          </w:tcPr>
          <w:p w:rsidR="00147BDE" w:rsidRPr="00FA7C13" w:rsidRDefault="00147BDE" w:rsidP="00147BDE">
            <w:pPr>
              <w:jc w:val="center"/>
              <w:rPr>
                <w:rFonts w:ascii="Times New Roman" w:hAnsi="Times New Roman" w:cs="Times New Roman"/>
              </w:rPr>
            </w:pPr>
          </w:p>
        </w:tc>
      </w:tr>
      <w:tr w:rsidR="00147BDE" w:rsidRPr="00FA7C13" w:rsidTr="00325A89">
        <w:trPr>
          <w:trHeight w:val="352"/>
          <w:jc w:val="center"/>
        </w:trPr>
        <w:tc>
          <w:tcPr>
            <w:tcW w:w="1914"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2019</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15</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3</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548</w:t>
            </w:r>
          </w:p>
        </w:tc>
        <w:tc>
          <w:tcPr>
            <w:tcW w:w="1917"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1250</w:t>
            </w:r>
          </w:p>
        </w:tc>
      </w:tr>
      <w:tr w:rsidR="00147BDE" w:rsidRPr="00FA7C13" w:rsidTr="00325A89">
        <w:trPr>
          <w:trHeight w:val="327"/>
          <w:jc w:val="center"/>
        </w:trPr>
        <w:tc>
          <w:tcPr>
            <w:tcW w:w="1914"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2018</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15</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3</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1520</w:t>
            </w:r>
          </w:p>
        </w:tc>
        <w:tc>
          <w:tcPr>
            <w:tcW w:w="1917"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1250</w:t>
            </w:r>
          </w:p>
        </w:tc>
      </w:tr>
      <w:tr w:rsidR="00147BDE" w:rsidRPr="00FA7C13" w:rsidTr="00325A89">
        <w:trPr>
          <w:trHeight w:val="327"/>
          <w:jc w:val="center"/>
        </w:trPr>
        <w:tc>
          <w:tcPr>
            <w:tcW w:w="1914"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2017</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15</w:t>
            </w:r>
          </w:p>
        </w:tc>
        <w:tc>
          <w:tcPr>
            <w:tcW w:w="1915" w:type="dxa"/>
          </w:tcPr>
          <w:p w:rsidR="00147BDE" w:rsidRPr="00FA7C13" w:rsidRDefault="00147BDE" w:rsidP="00147BDE">
            <w:pPr>
              <w:jc w:val="center"/>
              <w:rPr>
                <w:rFonts w:ascii="Times New Roman" w:hAnsi="Times New Roman" w:cs="Times New Roman"/>
              </w:rPr>
            </w:pP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575</w:t>
            </w:r>
          </w:p>
        </w:tc>
        <w:tc>
          <w:tcPr>
            <w:tcW w:w="1917" w:type="dxa"/>
          </w:tcPr>
          <w:p w:rsidR="00147BDE" w:rsidRPr="00FA7C13" w:rsidRDefault="00147BDE" w:rsidP="00147BDE">
            <w:pPr>
              <w:jc w:val="center"/>
              <w:rPr>
                <w:rFonts w:ascii="Times New Roman" w:hAnsi="Times New Roman" w:cs="Times New Roman"/>
              </w:rPr>
            </w:pPr>
          </w:p>
        </w:tc>
      </w:tr>
      <w:tr w:rsidR="00147BDE" w:rsidRPr="00FA7C13" w:rsidTr="00325A89">
        <w:trPr>
          <w:trHeight w:val="432"/>
          <w:jc w:val="center"/>
        </w:trPr>
        <w:tc>
          <w:tcPr>
            <w:tcW w:w="1914"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Итого</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75</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8</w:t>
            </w:r>
          </w:p>
        </w:tc>
        <w:tc>
          <w:tcPr>
            <w:tcW w:w="1915"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4633</w:t>
            </w:r>
          </w:p>
        </w:tc>
        <w:tc>
          <w:tcPr>
            <w:tcW w:w="1917" w:type="dxa"/>
          </w:tcPr>
          <w:p w:rsidR="00147BDE" w:rsidRPr="00FA7C13" w:rsidRDefault="00147BDE" w:rsidP="00147BDE">
            <w:pPr>
              <w:jc w:val="center"/>
              <w:rPr>
                <w:rFonts w:ascii="Times New Roman" w:hAnsi="Times New Roman" w:cs="Times New Roman"/>
              </w:rPr>
            </w:pPr>
            <w:r w:rsidRPr="00FA7C13">
              <w:rPr>
                <w:rFonts w:ascii="Times New Roman" w:hAnsi="Times New Roman" w:cs="Times New Roman"/>
              </w:rPr>
              <w:t>3600</w:t>
            </w:r>
          </w:p>
        </w:tc>
      </w:tr>
      <w:tr w:rsidR="00147BDE" w:rsidRPr="00FA7C13" w:rsidTr="00FA7C13">
        <w:trPr>
          <w:trHeight w:val="505"/>
          <w:jc w:val="center"/>
        </w:trPr>
        <w:tc>
          <w:tcPr>
            <w:tcW w:w="9579" w:type="dxa"/>
            <w:gridSpan w:val="5"/>
          </w:tcPr>
          <w:p w:rsidR="00147BDE" w:rsidRPr="00FA7C13" w:rsidRDefault="001C684C" w:rsidP="00147BDE">
            <w:pPr>
              <w:rPr>
                <w:rFonts w:ascii="Times New Roman" w:hAnsi="Times New Roman" w:cs="Times New Roman"/>
              </w:rPr>
            </w:pPr>
            <w:r>
              <w:rPr>
                <w:rFonts w:ascii="Times New Roman" w:hAnsi="Times New Roman" w:cs="Times New Roman"/>
              </w:rPr>
              <w:t>Источник: составлено авторами</w:t>
            </w:r>
            <w:r w:rsidR="00147BDE" w:rsidRPr="00FA7C13">
              <w:rPr>
                <w:rFonts w:ascii="Times New Roman" w:hAnsi="Times New Roman" w:cs="Times New Roman"/>
              </w:rPr>
              <w:t xml:space="preserve"> на основании статистических данных официального сайта Банка России</w:t>
            </w:r>
          </w:p>
        </w:tc>
      </w:tr>
      <w:bookmarkEnd w:id="1"/>
    </w:tbl>
    <w:p w:rsidR="00FA7C13" w:rsidRDefault="00FA7C13" w:rsidP="00CE399D">
      <w:pPr>
        <w:spacing w:after="0" w:line="240" w:lineRule="auto"/>
        <w:ind w:firstLine="709"/>
        <w:contextualSpacing/>
        <w:jc w:val="both"/>
        <w:rPr>
          <w:rFonts w:ascii="Times New Roman" w:hAnsi="Times New Roman" w:cs="Times New Roman"/>
          <w:sz w:val="24"/>
          <w:szCs w:val="24"/>
        </w:rPr>
      </w:pPr>
    </w:p>
    <w:p w:rsidR="00147BDE" w:rsidRPr="00CE399D" w:rsidRDefault="00147BDE" w:rsidP="00CE399D">
      <w:pPr>
        <w:spacing w:after="0" w:line="240" w:lineRule="auto"/>
        <w:ind w:firstLine="709"/>
        <w:contextualSpacing/>
        <w:jc w:val="both"/>
        <w:rPr>
          <w:rFonts w:ascii="Times New Roman" w:hAnsi="Times New Roman" w:cs="Times New Roman"/>
          <w:b/>
          <w:bCs/>
          <w:sz w:val="24"/>
          <w:szCs w:val="24"/>
        </w:rPr>
      </w:pPr>
      <w:r w:rsidRPr="00CE399D">
        <w:rPr>
          <w:rFonts w:ascii="Times New Roman" w:hAnsi="Times New Roman" w:cs="Times New Roman"/>
          <w:sz w:val="24"/>
          <w:szCs w:val="24"/>
        </w:rPr>
        <w:t xml:space="preserve">Анализ статистических данных официального сайта Банка России, представленных в таблице </w:t>
      </w:r>
      <w:r w:rsidR="00DF332A" w:rsidRPr="00CE399D">
        <w:rPr>
          <w:rFonts w:ascii="Times New Roman" w:hAnsi="Times New Roman" w:cs="Times New Roman"/>
          <w:sz w:val="24"/>
          <w:szCs w:val="24"/>
        </w:rPr>
        <w:t>2, показал</w:t>
      </w:r>
      <w:r w:rsidRPr="00CE399D">
        <w:rPr>
          <w:rFonts w:ascii="Times New Roman" w:hAnsi="Times New Roman" w:cs="Times New Roman"/>
          <w:sz w:val="24"/>
          <w:szCs w:val="24"/>
        </w:rPr>
        <w:t xml:space="preserve">, что за исследуемый период с 2017 года по 2024 год вологодские компании получили разрешение на регистрацию 83 выпусков (дополнительных) выпусков корпоративных эмиссионных ценных бумаг, из них 75 выпусков акций и 8 выпусков облигаций. Общий объем зарегистрированных выпусков (дополнительных) выпусков данных корпоративных ценных бумаг составил 8 233 млн рублей, из них 4 633 млн руб. акций и на 3 600 млн руб. облигаций. </w:t>
      </w: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 xml:space="preserve">Исходя из анализа статистических данных можно сделать вывод, что хозяйствующие </w:t>
      </w:r>
      <w:r w:rsidR="00D46974" w:rsidRPr="00CE399D">
        <w:rPr>
          <w:rFonts w:ascii="Times New Roman" w:hAnsi="Times New Roman" w:cs="Times New Roman"/>
          <w:sz w:val="24"/>
          <w:szCs w:val="24"/>
        </w:rPr>
        <w:t>субъекты Вологодской</w:t>
      </w:r>
      <w:r w:rsidRPr="00CE399D">
        <w:rPr>
          <w:rFonts w:ascii="Times New Roman" w:hAnsi="Times New Roman" w:cs="Times New Roman"/>
          <w:sz w:val="24"/>
          <w:szCs w:val="24"/>
        </w:rPr>
        <w:t xml:space="preserve"> области не пользуются </w:t>
      </w:r>
      <w:r w:rsidR="00D46974" w:rsidRPr="00CE399D">
        <w:rPr>
          <w:rFonts w:ascii="Times New Roman" w:hAnsi="Times New Roman" w:cs="Times New Roman"/>
          <w:sz w:val="24"/>
          <w:szCs w:val="24"/>
        </w:rPr>
        <w:t>возможностью привлечения</w:t>
      </w:r>
      <w:r w:rsidRPr="00CE399D">
        <w:rPr>
          <w:rFonts w:ascii="Times New Roman" w:hAnsi="Times New Roman" w:cs="Times New Roman"/>
          <w:sz w:val="24"/>
          <w:szCs w:val="24"/>
        </w:rPr>
        <w:t xml:space="preserve"> дополнительных финансовых ресурсов через эмиссию ценных бумаг.  При выборе источника финансирования чаще всего предприятия выбирают банковский кредит. По данным статистического бюллетеня банка России, общий объем кредитов, полученных вологодским бизнесом за 2024 год, составил 802 млрд рублей. Можно сделать вывод, что вологодские предприятия активно пользуются возможностью кредитования. Однако нельзя говорить о такой же масштабности задействования механизма финансирования бизнеса региона через инструменты рынка ценных бумаг с привлечением населения как частного инвестора.</w:t>
      </w:r>
    </w:p>
    <w:p w:rsidR="00147BDE" w:rsidRPr="00CE399D" w:rsidRDefault="00147BDE" w:rsidP="00CE399D">
      <w:pPr>
        <w:spacing w:after="0" w:line="240" w:lineRule="auto"/>
        <w:ind w:firstLine="709"/>
        <w:contextualSpacing/>
        <w:jc w:val="both"/>
        <w:rPr>
          <w:rFonts w:ascii="Times New Roman" w:hAnsi="Times New Roman" w:cs="Times New Roman"/>
          <w:bCs/>
          <w:sz w:val="24"/>
          <w:szCs w:val="24"/>
        </w:rPr>
      </w:pPr>
      <w:r w:rsidRPr="00CE399D">
        <w:rPr>
          <w:rFonts w:ascii="Times New Roman" w:hAnsi="Times New Roman" w:cs="Times New Roman"/>
          <w:bCs/>
          <w:sz w:val="24"/>
          <w:szCs w:val="24"/>
        </w:rPr>
        <w:t>На территории Вологодской области есть компании, входящие в перечень системообразующих организаций, имеющих региональное значение и оказывающих существенное влияние на занятость населения и социальную стабильность в регионе</w:t>
      </w:r>
      <w:r w:rsidR="0045554E" w:rsidRPr="0045554E">
        <w:rPr>
          <w:rFonts w:ascii="Times New Roman" w:hAnsi="Times New Roman" w:cs="Times New Roman"/>
          <w:bCs/>
          <w:sz w:val="24"/>
          <w:szCs w:val="24"/>
        </w:rPr>
        <w:t>.</w:t>
      </w:r>
      <w:r w:rsidR="00C87812" w:rsidRPr="00C87812">
        <w:rPr>
          <w:rFonts w:ascii="Times New Roman" w:eastAsia="Times New Roman" w:hAnsi="Times New Roman" w:cs="Times New Roman"/>
          <w:color w:val="402717"/>
          <w:sz w:val="24"/>
          <w:szCs w:val="24"/>
          <w:lang w:eastAsia="ru-RU"/>
        </w:rPr>
        <w:t xml:space="preserve"> </w:t>
      </w:r>
      <w:r w:rsidR="00C87812" w:rsidRPr="00C87812">
        <w:rPr>
          <w:rFonts w:ascii="Times New Roman" w:hAnsi="Times New Roman" w:cs="Times New Roman"/>
          <w:bCs/>
          <w:sz w:val="24"/>
          <w:szCs w:val="24"/>
        </w:rPr>
        <w:t>[</w:t>
      </w:r>
      <w:r w:rsidR="00C87812">
        <w:rPr>
          <w:rFonts w:ascii="Times New Roman" w:hAnsi="Times New Roman" w:cs="Times New Roman"/>
          <w:bCs/>
          <w:sz w:val="24"/>
          <w:szCs w:val="24"/>
        </w:rPr>
        <w:t>3</w:t>
      </w:r>
      <w:r w:rsidR="00C87812" w:rsidRPr="00C87812">
        <w:rPr>
          <w:rFonts w:ascii="Times New Roman" w:hAnsi="Times New Roman" w:cs="Times New Roman"/>
          <w:bCs/>
          <w:sz w:val="24"/>
          <w:szCs w:val="24"/>
        </w:rPr>
        <w:t>]</w:t>
      </w:r>
      <w:r w:rsidRPr="00CE399D">
        <w:rPr>
          <w:rFonts w:ascii="Times New Roman" w:hAnsi="Times New Roman" w:cs="Times New Roman"/>
          <w:bCs/>
          <w:sz w:val="24"/>
          <w:szCs w:val="24"/>
        </w:rPr>
        <w:t xml:space="preserve"> В данном списке находятся 96 предприятий крупного и среднего бизнеса. Одним из критериев включения компаний в этот список является объем выручки от реализации товаров (работ, услуг) не менее 400 млн. рублей. Предприятия из этого перечня являются потенциальными эмитентами, которые в перспективе смогли бы повысить инвестиционную активность региона. </w:t>
      </w: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 xml:space="preserve"> Малоактивная инвестиционная среда приводит к недостаточному уровню вложений в реальный сектор экономики, что, в свою очередь, вызывает медленные темпы и низкое качество обновления основного капитала. Это, как следствие, приводит к отставанию в сфере высоких технологий у регионов страны. Таким образом, реальный сектор экономики должен адаптироваться к изменившимся условиям ведения бизнеса за счет привлечения средств через выпуск ценных бумаг. </w:t>
      </w:r>
    </w:p>
    <w:p w:rsidR="00147BDE" w:rsidRPr="00CE399D" w:rsidRDefault="00D46974"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По нашему мнению, низкая эмиссионная активность региональных компании</w:t>
      </w:r>
      <w:r w:rsidR="00B02E0E" w:rsidRPr="00CE399D">
        <w:rPr>
          <w:rFonts w:ascii="Times New Roman" w:hAnsi="Times New Roman" w:cs="Times New Roman"/>
          <w:sz w:val="24"/>
          <w:szCs w:val="24"/>
        </w:rPr>
        <w:t xml:space="preserve"> связана со следующими основными причинами.</w:t>
      </w:r>
      <w:r w:rsidR="00147BDE" w:rsidRPr="00CE399D">
        <w:rPr>
          <w:rFonts w:ascii="Times New Roman" w:hAnsi="Times New Roman" w:cs="Times New Roman"/>
          <w:sz w:val="24"/>
          <w:szCs w:val="24"/>
        </w:rPr>
        <w:t xml:space="preserve"> </w:t>
      </w:r>
    </w:p>
    <w:p w:rsidR="00147BDE" w:rsidRPr="00CE399D" w:rsidRDefault="00DF332A" w:rsidP="00CE399D">
      <w:pPr>
        <w:spacing w:after="0" w:line="240" w:lineRule="auto"/>
        <w:ind w:firstLine="709"/>
        <w:contextualSpacing/>
        <w:jc w:val="both"/>
        <w:rPr>
          <w:rFonts w:ascii="Times New Roman" w:hAnsi="Times New Roman" w:cs="Times New Roman"/>
          <w:sz w:val="24"/>
          <w:szCs w:val="24"/>
        </w:rPr>
      </w:pPr>
      <w:bookmarkStart w:id="2" w:name="_Hlk192091587"/>
      <w:r w:rsidRPr="00CE399D">
        <w:rPr>
          <w:rFonts w:ascii="Times New Roman" w:hAnsi="Times New Roman" w:cs="Times New Roman"/>
          <w:sz w:val="24"/>
          <w:szCs w:val="24"/>
        </w:rPr>
        <w:t>1.</w:t>
      </w:r>
      <w:r w:rsidR="00147BDE" w:rsidRPr="00CE399D">
        <w:rPr>
          <w:rFonts w:ascii="Times New Roman" w:hAnsi="Times New Roman" w:cs="Times New Roman"/>
          <w:sz w:val="24"/>
          <w:szCs w:val="24"/>
        </w:rPr>
        <w:t xml:space="preserve">Требование больших вложений от компаний для начала эмиссионной деятельности. </w:t>
      </w:r>
      <w:bookmarkEnd w:id="2"/>
      <w:r w:rsidR="00147BDE" w:rsidRPr="00CE399D">
        <w:rPr>
          <w:rFonts w:ascii="Times New Roman" w:hAnsi="Times New Roman" w:cs="Times New Roman"/>
          <w:sz w:val="24"/>
          <w:szCs w:val="24"/>
        </w:rPr>
        <w:t xml:space="preserve">Эмиссия ценных бумаг требует значительных финансовых и организационных ресурсов, поэтому обычно ее предпочитают использовать крупные компании с более стабильным финансовым положением. Кроме того, для эмиссии ценных </w:t>
      </w:r>
      <w:r w:rsidR="00147BDE" w:rsidRPr="00CE399D">
        <w:rPr>
          <w:rFonts w:ascii="Times New Roman" w:hAnsi="Times New Roman" w:cs="Times New Roman"/>
          <w:sz w:val="24"/>
          <w:szCs w:val="24"/>
        </w:rPr>
        <w:lastRenderedPageBreak/>
        <w:t>бумаг необходимо соблюдать определенные правовые нормы и регулирования, что также может быть сложно для малых региональных компаний.</w:t>
      </w:r>
    </w:p>
    <w:p w:rsidR="00B02E0E" w:rsidRPr="00CE399D" w:rsidRDefault="00DF332A" w:rsidP="00CE399D">
      <w:pPr>
        <w:spacing w:after="0" w:line="240" w:lineRule="auto"/>
        <w:ind w:firstLine="709"/>
        <w:contextualSpacing/>
        <w:jc w:val="both"/>
        <w:rPr>
          <w:rFonts w:ascii="Times New Roman" w:hAnsi="Times New Roman" w:cs="Times New Roman"/>
          <w:bCs/>
          <w:sz w:val="24"/>
          <w:szCs w:val="24"/>
        </w:rPr>
      </w:pPr>
      <w:r w:rsidRPr="00CE399D">
        <w:rPr>
          <w:rFonts w:ascii="Times New Roman" w:hAnsi="Times New Roman" w:cs="Times New Roman"/>
          <w:sz w:val="24"/>
          <w:szCs w:val="24"/>
        </w:rPr>
        <w:t>2.</w:t>
      </w:r>
      <w:r w:rsidR="00147BDE" w:rsidRPr="00CE399D">
        <w:rPr>
          <w:rFonts w:ascii="Times New Roman" w:hAnsi="Times New Roman" w:cs="Times New Roman"/>
          <w:sz w:val="24"/>
          <w:szCs w:val="24"/>
        </w:rPr>
        <w:t xml:space="preserve">Страх прозрачности и гласности информации о деятельности компании эмитенте. Согласно Федеральному закону </w:t>
      </w:r>
      <w:r w:rsidR="00147BDE" w:rsidRPr="00CE399D">
        <w:rPr>
          <w:rFonts w:ascii="Times New Roman" w:hAnsi="Times New Roman" w:cs="Times New Roman"/>
          <w:bCs/>
          <w:sz w:val="24"/>
          <w:szCs w:val="24"/>
        </w:rPr>
        <w:t xml:space="preserve">«О рынке ценных бумаг», эмитенты ценных бумаг обязаны обеспечить предоставление инвесторам полной и доступной информации об условиях выпуска и оборота на рынке ценных бумаг, а также гласности финансово-хозяйственной деятельности эмитентов.  </w:t>
      </w: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bCs/>
          <w:sz w:val="24"/>
          <w:szCs w:val="24"/>
        </w:rPr>
        <w:t>Данные условия информационной прозрачности деятельности компаний могут сказаться на решении предприятия об использовании такого источника финансирования.</w:t>
      </w:r>
      <w:r w:rsidRPr="00CE399D">
        <w:rPr>
          <w:rFonts w:ascii="Verdana" w:hAnsi="Verdana"/>
          <w:color w:val="3A3A3A"/>
          <w:sz w:val="24"/>
          <w:szCs w:val="24"/>
        </w:rPr>
        <w:t xml:space="preserve"> </w:t>
      </w:r>
    </w:p>
    <w:p w:rsidR="00147BDE" w:rsidRPr="00CE399D" w:rsidRDefault="00DF332A"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bCs/>
          <w:sz w:val="24"/>
          <w:szCs w:val="24"/>
        </w:rPr>
        <w:t>3.</w:t>
      </w:r>
      <w:r w:rsidR="00147BDE" w:rsidRPr="00CE399D">
        <w:rPr>
          <w:rFonts w:ascii="Times New Roman" w:hAnsi="Times New Roman" w:cs="Times New Roman"/>
          <w:bCs/>
          <w:sz w:val="24"/>
          <w:szCs w:val="24"/>
        </w:rPr>
        <w:t>Отсутствие на рынке труда IR-специалистов, способных вывести компанию на рынок ценных бумаг. Однако у компаний есть возможность воспользоваться услугами андеррайтеров, то есть привлечь участие сторонних </w:t>
      </w:r>
      <w:r w:rsidR="00147BDE" w:rsidRPr="00CE399D">
        <w:rPr>
          <w:rFonts w:ascii="Times New Roman" w:hAnsi="Times New Roman" w:cs="Times New Roman"/>
          <w:sz w:val="24"/>
          <w:szCs w:val="24"/>
        </w:rPr>
        <w:t>компаний </w:t>
      </w:r>
      <w:r w:rsidR="00147BDE" w:rsidRPr="00CE399D">
        <w:rPr>
          <w:rFonts w:ascii="Times New Roman" w:hAnsi="Times New Roman" w:cs="Times New Roman"/>
          <w:bCs/>
          <w:sz w:val="24"/>
          <w:szCs w:val="24"/>
        </w:rPr>
        <w:t xml:space="preserve">в управлении выпуском ценных бумаг и распространении их среди инвесторов, но оплата данных услуг может быть затруднительна для большого количества компаний региона. </w:t>
      </w: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Для того чтобы рынок ценных бумаг стал реальным драйвером экономического роста регионов, необходимы комплексные меры, направленные на решение существующих проблем, с которыми сталкиваются предприятия и инвесторы.</w:t>
      </w: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 xml:space="preserve">Исправлению ситуации нехватки кадров в данной сфере в первую очередь могут способствовать вузы.  Развитие финансового рынка идет быстрыми темпами, но ключевым звеном являются специалисты этой области. Именно знания механизмов инвестирования, процедуры эмиссии и умение их применять будут способствовать привлечению инвестиций в реальный сектор экономики, что в свою очередь повысит эффективность работы предприятий. Пока количество выпускников финансовых специальностей не увеличится в несколько раз, рынок будет испытывать трудности. </w:t>
      </w:r>
    </w:p>
    <w:p w:rsidR="00147BDE" w:rsidRPr="00CE399D" w:rsidRDefault="00147BDE" w:rsidP="00CE399D">
      <w:pPr>
        <w:spacing w:after="0" w:line="240" w:lineRule="auto"/>
        <w:ind w:firstLine="709"/>
        <w:contextualSpacing/>
        <w:jc w:val="both"/>
        <w:rPr>
          <w:rFonts w:ascii="Times New Roman" w:hAnsi="Times New Roman" w:cs="Times New Roman"/>
          <w:bCs/>
          <w:sz w:val="24"/>
          <w:szCs w:val="24"/>
        </w:rPr>
      </w:pPr>
      <w:r w:rsidRPr="00CE399D">
        <w:rPr>
          <w:rFonts w:ascii="Times New Roman" w:hAnsi="Times New Roman" w:cs="Times New Roman"/>
          <w:sz w:val="24"/>
          <w:szCs w:val="24"/>
        </w:rPr>
        <w:t xml:space="preserve">Для того чтобы менеджмент компании для привлечения дополнительных средств начал доверять другим финансовым инструментам помимо банковских кредитов, следует из выпускников экономических специальностей вузов г. Вологды выбирать кандидатов на должность </w:t>
      </w:r>
      <w:r w:rsidRPr="00CE399D">
        <w:rPr>
          <w:rFonts w:ascii="Times New Roman" w:hAnsi="Times New Roman" w:cs="Times New Roman"/>
          <w:bCs/>
          <w:sz w:val="24"/>
          <w:szCs w:val="24"/>
        </w:rPr>
        <w:t xml:space="preserve">IR-специалистов на конкретные предприятия Вологодской области, входящих в упоминавшийся ранее перечень системообразующих организаций, имеющих региональное значение и оказывающих существенное влияние на занятость населения и социальную стабильность в регионе. Это позволит вовлечь компании в процедуру выпуска ценных бумаг с помощью специалистов-выпускников соответствующих специальностей, что привлечет сбережения населения региона для развития реального сектора экономики. В свою очередь, повысится инвестиционная привлекательность Вологодской области. Помимо этого, решается вопрос трудоустройства студентов после окончания вуза. </w:t>
      </w: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Несмотря на потенциальные выгоды от инвестирования, население, также как и предприятия региона сталкивается с рядом препятствий, которые сдерживают его инвестиционную активность. Одним из таких препятствий является низкий уровень финансовой грамотности: многие люди не имеют достаточных знаний о финансовых рынках, инвестиционных инструментах и управлении рисками, что порождает недоверие к финансовым институтам. История финансовых кризисов и мошеннических схем подорвала доверие населения к финансовым институтам.</w:t>
      </w:r>
    </w:p>
    <w:p w:rsidR="00147BDE" w:rsidRPr="00CE399D" w:rsidRDefault="00147BDE" w:rsidP="00CE399D">
      <w:pPr>
        <w:spacing w:after="0" w:line="240" w:lineRule="auto"/>
        <w:ind w:firstLine="709"/>
        <w:contextualSpacing/>
        <w:jc w:val="both"/>
        <w:rPr>
          <w:rFonts w:ascii="Times New Roman" w:hAnsi="Times New Roman" w:cs="Times New Roman"/>
          <w:sz w:val="24"/>
          <w:szCs w:val="24"/>
        </w:rPr>
      </w:pPr>
      <w:r w:rsidRPr="00CE399D">
        <w:rPr>
          <w:rFonts w:ascii="Times New Roman" w:hAnsi="Times New Roman" w:cs="Times New Roman"/>
          <w:sz w:val="24"/>
          <w:szCs w:val="24"/>
        </w:rPr>
        <w:t>Специалистам по инвестициям следует развивать идею о том, что инвестировать в региональные компании безопасно, если заранее знать обо всех рисках и нюансах. Повышение вовлеченности населения в инвестиционный процесс требует комплексного подхода, включающего повышение информационной прозрачности, укрепление доверия, расширение доступности инструментов и инфраструктуры, улучшение регуляторной среды и развитие региональных бирж. Успешное взаимодействие между частными инвесторами и региональными эмитентами станет важным фактором устойчивого экономического развития страны.</w:t>
      </w:r>
    </w:p>
    <w:p w:rsidR="00F066DF" w:rsidRDefault="00E73AA1" w:rsidP="00147BDE">
      <w:pPr>
        <w:spacing w:line="240" w:lineRule="auto"/>
        <w:rPr>
          <w:rFonts w:ascii="Times New Roman" w:hAnsi="Times New Roman" w:cs="Times New Roman"/>
          <w:sz w:val="24"/>
          <w:szCs w:val="24"/>
        </w:rPr>
      </w:pPr>
    </w:p>
    <w:p w:rsidR="0045554E" w:rsidRPr="0045554E" w:rsidRDefault="0045554E" w:rsidP="0045554E">
      <w:pPr>
        <w:spacing w:line="240" w:lineRule="auto"/>
        <w:jc w:val="center"/>
        <w:rPr>
          <w:rFonts w:ascii="Times New Roman" w:hAnsi="Times New Roman" w:cs="Times New Roman"/>
          <w:b/>
          <w:bCs/>
          <w:sz w:val="24"/>
          <w:szCs w:val="24"/>
        </w:rPr>
      </w:pPr>
      <w:bookmarkStart w:id="3" w:name="_Toc191496234"/>
      <w:bookmarkStart w:id="4" w:name="_Hlk198130133"/>
      <w:r w:rsidRPr="0045554E">
        <w:rPr>
          <w:rFonts w:ascii="Times New Roman" w:hAnsi="Times New Roman" w:cs="Times New Roman"/>
          <w:b/>
          <w:bCs/>
          <w:sz w:val="24"/>
          <w:szCs w:val="24"/>
        </w:rPr>
        <w:lastRenderedPageBreak/>
        <w:t>Библиографический список</w:t>
      </w:r>
      <w:bookmarkEnd w:id="3"/>
      <w:r w:rsidRPr="0045554E">
        <w:rPr>
          <w:rFonts w:ascii="Times New Roman" w:hAnsi="Times New Roman" w:cs="Times New Roman"/>
          <w:b/>
          <w:bCs/>
          <w:sz w:val="24"/>
          <w:szCs w:val="24"/>
        </w:rPr>
        <w:t xml:space="preserve"> на русском языке</w:t>
      </w:r>
    </w:p>
    <w:p w:rsidR="0045554E" w:rsidRPr="0045554E" w:rsidRDefault="0045554E" w:rsidP="001A4BFA">
      <w:pPr>
        <w:spacing w:after="0" w:line="240" w:lineRule="auto"/>
        <w:ind w:firstLine="709"/>
        <w:jc w:val="both"/>
        <w:rPr>
          <w:rFonts w:ascii="Times New Roman" w:hAnsi="Times New Roman" w:cs="Times New Roman"/>
          <w:sz w:val="24"/>
          <w:szCs w:val="24"/>
        </w:rPr>
      </w:pPr>
      <w:bookmarkStart w:id="5" w:name="_Hlk191500226"/>
      <w:bookmarkEnd w:id="4"/>
      <w:r>
        <w:rPr>
          <w:rFonts w:ascii="Times New Roman" w:hAnsi="Times New Roman" w:cs="Times New Roman"/>
          <w:sz w:val="24"/>
          <w:szCs w:val="24"/>
        </w:rPr>
        <w:t xml:space="preserve">1. </w:t>
      </w:r>
      <w:r w:rsidRPr="0045554E">
        <w:rPr>
          <w:rFonts w:ascii="Times New Roman" w:hAnsi="Times New Roman" w:cs="Times New Roman"/>
          <w:sz w:val="24"/>
          <w:szCs w:val="24"/>
        </w:rPr>
        <w:t>Российская Федерация. Президент (2024-2029</w:t>
      </w:r>
      <w:proofErr w:type="gramStart"/>
      <w:r w:rsidRPr="0045554E">
        <w:rPr>
          <w:rFonts w:ascii="Times New Roman" w:hAnsi="Times New Roman" w:cs="Times New Roman"/>
          <w:sz w:val="24"/>
          <w:szCs w:val="24"/>
        </w:rPr>
        <w:t xml:space="preserve"> ;</w:t>
      </w:r>
      <w:proofErr w:type="gramEnd"/>
      <w:r w:rsidRPr="0045554E">
        <w:rPr>
          <w:rFonts w:ascii="Times New Roman" w:hAnsi="Times New Roman" w:cs="Times New Roman"/>
          <w:sz w:val="24"/>
          <w:szCs w:val="24"/>
        </w:rPr>
        <w:t xml:space="preserve"> В. В. Путин). Послание Президента Российской Федерации Федеральному Собранию Российской Федерации [текст]: "послание президента Федеральному Собранию" от 29.02.2024</w:t>
      </w:r>
    </w:p>
    <w:p w:rsidR="0045554E" w:rsidRDefault="0045554E" w:rsidP="001A4BFA">
      <w:pPr>
        <w:spacing w:after="0" w:line="240" w:lineRule="auto"/>
        <w:ind w:firstLine="709"/>
        <w:jc w:val="both"/>
        <w:rPr>
          <w:rFonts w:ascii="Times New Roman" w:hAnsi="Times New Roman" w:cs="Times New Roman"/>
          <w:sz w:val="24"/>
          <w:szCs w:val="24"/>
        </w:rPr>
      </w:pPr>
      <w:bookmarkStart w:id="6" w:name="_Hlk191500464"/>
      <w:bookmarkEnd w:id="5"/>
      <w:r>
        <w:rPr>
          <w:rFonts w:ascii="Times New Roman" w:hAnsi="Times New Roman" w:cs="Times New Roman"/>
          <w:sz w:val="24"/>
          <w:szCs w:val="24"/>
        </w:rPr>
        <w:t xml:space="preserve">2. </w:t>
      </w:r>
      <w:r w:rsidRPr="0045554E">
        <w:rPr>
          <w:rFonts w:ascii="Times New Roman" w:hAnsi="Times New Roman" w:cs="Times New Roman"/>
          <w:sz w:val="24"/>
          <w:szCs w:val="24"/>
        </w:rPr>
        <w:t>Информация Банка России от 25 октября 2024 года "Основные направления развития финансового рынка Российской Федерации на 2025 год и период 2026 и 2027 годов (проект от 25 октября 2024 года)".</w:t>
      </w:r>
      <w:bookmarkEnd w:id="6"/>
    </w:p>
    <w:p w:rsidR="0045554E" w:rsidRPr="0045554E" w:rsidRDefault="0045554E" w:rsidP="001A4BF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45554E">
        <w:rPr>
          <w:rFonts w:ascii="Times New Roman" w:hAnsi="Times New Roman" w:cs="Times New Roman"/>
          <w:sz w:val="24"/>
          <w:szCs w:val="24"/>
        </w:rPr>
        <w:t>Об утверждении Перечня системообразующих организаций, имеющих региональное значение и оказывающих существенное влияние на занятость населения и социальную стабильность в Вологодской области: Постановление Губернатора Вологодской области от 06.04.2020 № 88. – Текст</w:t>
      </w:r>
      <w:proofErr w:type="gramStart"/>
      <w:r w:rsidRPr="0045554E">
        <w:rPr>
          <w:rFonts w:ascii="Times New Roman" w:hAnsi="Times New Roman" w:cs="Times New Roman"/>
          <w:sz w:val="24"/>
          <w:szCs w:val="24"/>
        </w:rPr>
        <w:t xml:space="preserve"> :</w:t>
      </w:r>
      <w:proofErr w:type="gramEnd"/>
      <w:r w:rsidRPr="0045554E">
        <w:rPr>
          <w:rFonts w:ascii="Times New Roman" w:hAnsi="Times New Roman" w:cs="Times New Roman"/>
          <w:sz w:val="24"/>
          <w:szCs w:val="24"/>
        </w:rPr>
        <w:t xml:space="preserve"> электронный // Интернет-портал правовой информации : сайт. – URL: http://publication.pravo.gov.r</w:t>
      </w:r>
      <w:r w:rsidRPr="0045554E">
        <w:rPr>
          <w:rFonts w:ascii="Times New Roman" w:hAnsi="Times New Roman" w:cs="Times New Roman"/>
          <w:sz w:val="24"/>
          <w:szCs w:val="24"/>
          <w:lang w:val="en-US"/>
        </w:rPr>
        <w:t>u</w:t>
      </w:r>
    </w:p>
    <w:p w:rsidR="001A4BFA" w:rsidRPr="001A4BFA" w:rsidRDefault="001A4BFA" w:rsidP="001A4BFA">
      <w:pPr>
        <w:suppressAutoHyphens/>
        <w:spacing w:after="0" w:line="240" w:lineRule="auto"/>
        <w:ind w:firstLine="567"/>
        <w:jc w:val="center"/>
        <w:rPr>
          <w:rFonts w:ascii="Times New Roman" w:eastAsia="Calibri" w:hAnsi="Times New Roman" w:cs="Times New Roman"/>
          <w:b/>
          <w:sz w:val="24"/>
          <w:szCs w:val="24"/>
        </w:rPr>
      </w:pPr>
      <w:r w:rsidRPr="001A4BFA">
        <w:rPr>
          <w:rFonts w:ascii="Times New Roman" w:eastAsia="Calibri" w:hAnsi="Times New Roman" w:cs="Times New Roman"/>
          <w:b/>
          <w:sz w:val="24"/>
          <w:szCs w:val="24"/>
        </w:rPr>
        <w:t>Информация об авторе</w:t>
      </w:r>
      <w:proofErr w:type="gramStart"/>
      <w:r w:rsidRPr="001A4BFA">
        <w:rPr>
          <w:rFonts w:ascii="Times New Roman" w:eastAsia="Calibri" w:hAnsi="Times New Roman" w:cs="Times New Roman"/>
          <w:b/>
          <w:sz w:val="24"/>
          <w:szCs w:val="24"/>
        </w:rPr>
        <w:t xml:space="preserve"> (-</w:t>
      </w:r>
      <w:proofErr w:type="gramEnd"/>
      <w:r w:rsidRPr="001A4BFA">
        <w:rPr>
          <w:rFonts w:ascii="Times New Roman" w:eastAsia="Calibri" w:hAnsi="Times New Roman" w:cs="Times New Roman"/>
          <w:b/>
          <w:sz w:val="24"/>
          <w:szCs w:val="24"/>
        </w:rPr>
        <w:t>ах) на русском языке</w:t>
      </w:r>
    </w:p>
    <w:p w:rsidR="001A4BFA" w:rsidRPr="001A4BFA" w:rsidRDefault="001A4BFA" w:rsidP="001A4BFA">
      <w:pPr>
        <w:suppressAutoHyphens/>
        <w:spacing w:after="0" w:line="240" w:lineRule="auto"/>
        <w:ind w:firstLine="709"/>
        <w:jc w:val="both"/>
        <w:rPr>
          <w:rFonts w:ascii="Times New Roman" w:eastAsia="Calibri" w:hAnsi="Times New Roman" w:cs="Times New Roman"/>
          <w:sz w:val="24"/>
          <w:szCs w:val="24"/>
        </w:rPr>
      </w:pPr>
      <w:proofErr w:type="spellStart"/>
      <w:r w:rsidRPr="001A4BFA">
        <w:rPr>
          <w:rFonts w:ascii="Times New Roman" w:eastAsia="Calibri" w:hAnsi="Times New Roman" w:cs="Times New Roman"/>
          <w:sz w:val="24"/>
          <w:szCs w:val="24"/>
        </w:rPr>
        <w:t>Харионовская</w:t>
      </w:r>
      <w:proofErr w:type="spellEnd"/>
      <w:r w:rsidRPr="001A4BFA">
        <w:rPr>
          <w:rFonts w:ascii="Times New Roman" w:eastAsia="Calibri" w:hAnsi="Times New Roman" w:cs="Times New Roman"/>
          <w:sz w:val="24"/>
          <w:szCs w:val="24"/>
        </w:rPr>
        <w:t xml:space="preserve"> Татьяна Леонидовна (Россия, Вологда) – кандидат экономических наук, доцент, ФГБОУ ВО Вологодский государственный университет (160000 Вологодская область г. Вологда ул. Ленина 15, </w:t>
      </w:r>
      <w:hyperlink r:id="rId8" w:history="1">
        <w:r w:rsidRPr="001A4BFA">
          <w:rPr>
            <w:rStyle w:val="ac"/>
            <w:rFonts w:ascii="Times New Roman" w:eastAsia="Calibri" w:hAnsi="Times New Roman" w:cs="Times New Roman"/>
            <w:sz w:val="24"/>
            <w:szCs w:val="24"/>
            <w:lang w:val="en-US"/>
          </w:rPr>
          <w:t>kanz</w:t>
        </w:r>
        <w:r w:rsidRPr="001A4BFA">
          <w:rPr>
            <w:rStyle w:val="ac"/>
            <w:rFonts w:ascii="Times New Roman" w:eastAsia="Calibri" w:hAnsi="Times New Roman" w:cs="Times New Roman"/>
            <w:sz w:val="24"/>
            <w:szCs w:val="24"/>
          </w:rPr>
          <w:t>@</w:t>
        </w:r>
        <w:r w:rsidRPr="001A4BFA">
          <w:rPr>
            <w:rStyle w:val="ac"/>
            <w:rFonts w:ascii="Times New Roman" w:eastAsia="Calibri" w:hAnsi="Times New Roman" w:cs="Times New Roman"/>
            <w:sz w:val="24"/>
            <w:szCs w:val="24"/>
            <w:lang w:val="en-US"/>
          </w:rPr>
          <w:t>vogu</w:t>
        </w:r>
        <w:r w:rsidRPr="001A4BFA">
          <w:rPr>
            <w:rStyle w:val="ac"/>
            <w:rFonts w:ascii="Times New Roman" w:eastAsia="Calibri" w:hAnsi="Times New Roman" w:cs="Times New Roman"/>
            <w:sz w:val="24"/>
            <w:szCs w:val="24"/>
          </w:rPr>
          <w:t>35.</w:t>
        </w:r>
        <w:r w:rsidRPr="001A4BFA">
          <w:rPr>
            <w:rStyle w:val="ac"/>
            <w:rFonts w:ascii="Times New Roman" w:eastAsia="Calibri" w:hAnsi="Times New Roman" w:cs="Times New Roman"/>
            <w:sz w:val="24"/>
            <w:szCs w:val="24"/>
            <w:lang w:val="en-US"/>
          </w:rPr>
          <w:t>ru</w:t>
        </w:r>
      </w:hyperlink>
      <w:r w:rsidRPr="001A4BFA">
        <w:rPr>
          <w:rFonts w:ascii="Times New Roman" w:eastAsia="Calibri" w:hAnsi="Times New Roman" w:cs="Times New Roman"/>
          <w:sz w:val="24"/>
          <w:szCs w:val="24"/>
        </w:rPr>
        <w:t>).</w:t>
      </w:r>
    </w:p>
    <w:p w:rsidR="001A4BFA" w:rsidRPr="001C684C" w:rsidRDefault="001A4BFA" w:rsidP="001A4BFA">
      <w:pPr>
        <w:suppressAutoHyphens/>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Романова Наталия Алексеевна (Россия, Вологда) </w:t>
      </w:r>
      <w:r w:rsidRPr="001A4BFA">
        <w:rPr>
          <w:rFonts w:ascii="Times New Roman" w:eastAsia="Calibri" w:hAnsi="Times New Roman" w:cs="Times New Roman"/>
          <w:sz w:val="24"/>
          <w:szCs w:val="24"/>
        </w:rPr>
        <w:t>–</w:t>
      </w:r>
      <w:r>
        <w:rPr>
          <w:rFonts w:ascii="Times New Roman" w:eastAsia="Calibri" w:hAnsi="Times New Roman" w:cs="Times New Roman"/>
          <w:sz w:val="24"/>
          <w:szCs w:val="24"/>
        </w:rPr>
        <w:t xml:space="preserve"> студент </w:t>
      </w:r>
      <w:r w:rsidRPr="001A4BFA">
        <w:rPr>
          <w:rFonts w:ascii="Times New Roman" w:eastAsia="Calibri" w:hAnsi="Times New Roman" w:cs="Times New Roman"/>
          <w:sz w:val="24"/>
          <w:szCs w:val="24"/>
        </w:rPr>
        <w:t xml:space="preserve">ФГБОУ </w:t>
      </w:r>
      <w:proofErr w:type="gramStart"/>
      <w:r w:rsidRPr="001A4BFA">
        <w:rPr>
          <w:rFonts w:ascii="Times New Roman" w:eastAsia="Calibri" w:hAnsi="Times New Roman" w:cs="Times New Roman"/>
          <w:sz w:val="24"/>
          <w:szCs w:val="24"/>
        </w:rPr>
        <w:t>ВО</w:t>
      </w:r>
      <w:proofErr w:type="gramEnd"/>
      <w:r w:rsidRPr="001A4BFA">
        <w:rPr>
          <w:rFonts w:ascii="Times New Roman" w:eastAsia="Calibri" w:hAnsi="Times New Roman" w:cs="Times New Roman"/>
          <w:sz w:val="24"/>
          <w:szCs w:val="24"/>
        </w:rPr>
        <w:t xml:space="preserve"> Вологодский государственный университет (160000 Вологодская область г. Вологда ул. Ленина</w:t>
      </w:r>
      <w:r w:rsidRPr="00C87812">
        <w:rPr>
          <w:rFonts w:ascii="Times New Roman" w:eastAsia="Calibri" w:hAnsi="Times New Roman" w:cs="Times New Roman"/>
          <w:sz w:val="24"/>
          <w:szCs w:val="24"/>
          <w:lang w:val="en-US"/>
        </w:rPr>
        <w:t xml:space="preserve"> 15, </w:t>
      </w:r>
      <w:hyperlink r:id="rId9" w:history="1">
        <w:r w:rsidRPr="001A4BFA">
          <w:rPr>
            <w:rStyle w:val="ac"/>
            <w:rFonts w:ascii="Times New Roman" w:eastAsia="Calibri" w:hAnsi="Times New Roman" w:cs="Times New Roman"/>
            <w:sz w:val="24"/>
            <w:szCs w:val="24"/>
            <w:lang w:val="en-US"/>
          </w:rPr>
          <w:t>kanz</w:t>
        </w:r>
        <w:r w:rsidRPr="00C87812">
          <w:rPr>
            <w:rStyle w:val="ac"/>
            <w:rFonts w:ascii="Times New Roman" w:eastAsia="Calibri" w:hAnsi="Times New Roman" w:cs="Times New Roman"/>
            <w:sz w:val="24"/>
            <w:szCs w:val="24"/>
            <w:lang w:val="en-US"/>
          </w:rPr>
          <w:t>@</w:t>
        </w:r>
        <w:r w:rsidRPr="001A4BFA">
          <w:rPr>
            <w:rStyle w:val="ac"/>
            <w:rFonts w:ascii="Times New Roman" w:eastAsia="Calibri" w:hAnsi="Times New Roman" w:cs="Times New Roman"/>
            <w:sz w:val="24"/>
            <w:szCs w:val="24"/>
            <w:lang w:val="en-US"/>
          </w:rPr>
          <w:t>vogu</w:t>
        </w:r>
        <w:r w:rsidRPr="00C87812">
          <w:rPr>
            <w:rStyle w:val="ac"/>
            <w:rFonts w:ascii="Times New Roman" w:eastAsia="Calibri" w:hAnsi="Times New Roman" w:cs="Times New Roman"/>
            <w:sz w:val="24"/>
            <w:szCs w:val="24"/>
            <w:lang w:val="en-US"/>
          </w:rPr>
          <w:t>35.</w:t>
        </w:r>
        <w:r w:rsidRPr="001A4BFA">
          <w:rPr>
            <w:rStyle w:val="ac"/>
            <w:rFonts w:ascii="Times New Roman" w:eastAsia="Calibri" w:hAnsi="Times New Roman" w:cs="Times New Roman"/>
            <w:sz w:val="24"/>
            <w:szCs w:val="24"/>
            <w:lang w:val="en-US"/>
          </w:rPr>
          <w:t>ru</w:t>
        </w:r>
      </w:hyperlink>
      <w:r w:rsidRPr="00C87812">
        <w:rPr>
          <w:rFonts w:ascii="Times New Roman" w:eastAsia="Calibri" w:hAnsi="Times New Roman" w:cs="Times New Roman"/>
          <w:sz w:val="24"/>
          <w:szCs w:val="24"/>
          <w:lang w:val="en-US"/>
        </w:rPr>
        <w:t>).</w:t>
      </w:r>
    </w:p>
    <w:p w:rsidR="001C684C" w:rsidRDefault="001C684C" w:rsidP="001A4BFA">
      <w:pPr>
        <w:suppressAutoHyphens/>
        <w:spacing w:after="0" w:line="240" w:lineRule="auto"/>
        <w:ind w:firstLine="709"/>
        <w:jc w:val="both"/>
        <w:rPr>
          <w:rFonts w:ascii="Times New Roman" w:eastAsia="Calibri" w:hAnsi="Times New Roman" w:cs="Times New Roman"/>
          <w:sz w:val="24"/>
          <w:szCs w:val="24"/>
        </w:rPr>
      </w:pPr>
    </w:p>
    <w:p w:rsidR="001A4BFA" w:rsidRPr="001A4BFA" w:rsidRDefault="001A4BFA" w:rsidP="001A4BFA">
      <w:pPr>
        <w:suppressAutoHyphens/>
        <w:spacing w:after="0" w:line="240" w:lineRule="auto"/>
        <w:ind w:firstLine="567"/>
        <w:jc w:val="right"/>
        <w:rPr>
          <w:rFonts w:ascii="Times New Roman" w:eastAsia="Calibri" w:hAnsi="Times New Roman" w:cs="Times New Roman"/>
          <w:b/>
          <w:bCs/>
          <w:sz w:val="24"/>
          <w:szCs w:val="24"/>
          <w:lang w:val="en-US"/>
        </w:rPr>
      </w:pPr>
      <w:proofErr w:type="spellStart"/>
      <w:r w:rsidRPr="001A4BFA">
        <w:rPr>
          <w:rFonts w:ascii="Times New Roman" w:eastAsia="Calibri" w:hAnsi="Times New Roman" w:cs="Times New Roman"/>
          <w:b/>
          <w:bCs/>
          <w:sz w:val="24"/>
          <w:szCs w:val="24"/>
          <w:lang w:val="en-US"/>
        </w:rPr>
        <w:t>Kharionovskaya</w:t>
      </w:r>
      <w:proofErr w:type="spellEnd"/>
      <w:r w:rsidRPr="001A4BFA">
        <w:rPr>
          <w:rFonts w:ascii="Times New Roman" w:eastAsia="Calibri" w:hAnsi="Times New Roman" w:cs="Times New Roman"/>
          <w:b/>
          <w:bCs/>
          <w:sz w:val="24"/>
          <w:szCs w:val="24"/>
          <w:lang w:val="en-US"/>
        </w:rPr>
        <w:t xml:space="preserve"> T.L., </w:t>
      </w:r>
      <w:proofErr w:type="spellStart"/>
      <w:r w:rsidRPr="001A4BFA">
        <w:rPr>
          <w:rFonts w:ascii="Times New Roman" w:eastAsia="Calibri" w:hAnsi="Times New Roman" w:cs="Times New Roman"/>
          <w:b/>
          <w:bCs/>
          <w:sz w:val="24"/>
          <w:szCs w:val="24"/>
          <w:lang w:val="en-US"/>
        </w:rPr>
        <w:t>Romanova</w:t>
      </w:r>
      <w:proofErr w:type="spellEnd"/>
      <w:r w:rsidRPr="001A4BFA">
        <w:rPr>
          <w:rFonts w:ascii="Times New Roman" w:eastAsia="Calibri" w:hAnsi="Times New Roman" w:cs="Times New Roman"/>
          <w:b/>
          <w:bCs/>
          <w:sz w:val="24"/>
          <w:szCs w:val="24"/>
          <w:lang w:val="en-US"/>
        </w:rPr>
        <w:t xml:space="preserve"> N.A. </w:t>
      </w:r>
    </w:p>
    <w:p w:rsidR="001A4BFA" w:rsidRDefault="001A4BFA" w:rsidP="001A4BFA">
      <w:pPr>
        <w:suppressAutoHyphens/>
        <w:spacing w:after="0" w:line="240" w:lineRule="auto"/>
        <w:jc w:val="center"/>
        <w:rPr>
          <w:rFonts w:ascii="Times New Roman" w:eastAsia="Calibri" w:hAnsi="Times New Roman" w:cs="Times New Roman"/>
          <w:b/>
          <w:bCs/>
          <w:sz w:val="24"/>
          <w:szCs w:val="24"/>
          <w:lang w:val="en-US"/>
        </w:rPr>
      </w:pPr>
      <w:r w:rsidRPr="001A4BFA">
        <w:rPr>
          <w:rFonts w:ascii="Times New Roman" w:eastAsia="Calibri" w:hAnsi="Times New Roman" w:cs="Times New Roman"/>
          <w:b/>
          <w:bCs/>
          <w:sz w:val="24"/>
          <w:szCs w:val="24"/>
          <w:lang w:val="en-US"/>
        </w:rPr>
        <w:t>INCREASING THE EMISSION ACTIVITY OF ECONOMIC ENTITIES OF THE VOLOGDA OBLAST</w:t>
      </w:r>
    </w:p>
    <w:p w:rsidR="001A4BFA" w:rsidRPr="001A4BFA" w:rsidRDefault="001A4BFA" w:rsidP="001A4BFA">
      <w:pPr>
        <w:suppressAutoHyphens/>
        <w:spacing w:after="0" w:line="240" w:lineRule="auto"/>
        <w:jc w:val="center"/>
        <w:rPr>
          <w:rFonts w:ascii="Times New Roman" w:eastAsia="Calibri" w:hAnsi="Times New Roman" w:cs="Times New Roman"/>
          <w:b/>
          <w:bCs/>
          <w:sz w:val="24"/>
          <w:szCs w:val="24"/>
          <w:lang w:val="en-US"/>
        </w:rPr>
      </w:pPr>
    </w:p>
    <w:p w:rsidR="00DF332A" w:rsidRDefault="001A4BFA" w:rsidP="001A4BFA">
      <w:pPr>
        <w:spacing w:after="0" w:line="240" w:lineRule="auto"/>
        <w:ind w:firstLine="709"/>
        <w:jc w:val="both"/>
        <w:rPr>
          <w:rFonts w:ascii="Times New Roman" w:hAnsi="Times New Roman" w:cs="Times New Roman"/>
          <w:bCs/>
          <w:sz w:val="24"/>
          <w:szCs w:val="24"/>
          <w:lang w:val="en-US"/>
        </w:rPr>
      </w:pPr>
      <w:r w:rsidRPr="001A4BFA">
        <w:rPr>
          <w:rFonts w:ascii="Times New Roman" w:hAnsi="Times New Roman" w:cs="Times New Roman"/>
          <w:b/>
          <w:sz w:val="24"/>
          <w:szCs w:val="24"/>
        </w:rPr>
        <w:t>Аннотация</w:t>
      </w:r>
      <w:r w:rsidRPr="001A4BFA">
        <w:rPr>
          <w:rFonts w:ascii="Times New Roman" w:hAnsi="Times New Roman" w:cs="Times New Roman"/>
          <w:b/>
          <w:sz w:val="24"/>
          <w:szCs w:val="24"/>
          <w:lang w:val="en-US"/>
        </w:rPr>
        <w:t xml:space="preserve"> </w:t>
      </w:r>
      <w:r w:rsidRPr="001A4BFA">
        <w:rPr>
          <w:rFonts w:ascii="Times New Roman" w:hAnsi="Times New Roman" w:cs="Times New Roman"/>
          <w:b/>
          <w:sz w:val="24"/>
          <w:szCs w:val="24"/>
        </w:rPr>
        <w:t>статьи</w:t>
      </w:r>
      <w:r w:rsidRPr="001A4BFA">
        <w:rPr>
          <w:rFonts w:ascii="Times New Roman" w:hAnsi="Times New Roman" w:cs="Times New Roman"/>
          <w:b/>
          <w:sz w:val="24"/>
          <w:szCs w:val="24"/>
          <w:lang w:val="en-US"/>
        </w:rPr>
        <w:t xml:space="preserve"> </w:t>
      </w:r>
      <w:r w:rsidRPr="001A4BFA">
        <w:rPr>
          <w:rFonts w:ascii="Times New Roman" w:hAnsi="Times New Roman" w:cs="Times New Roman"/>
          <w:b/>
          <w:sz w:val="24"/>
          <w:szCs w:val="24"/>
        </w:rPr>
        <w:t>на</w:t>
      </w:r>
      <w:r w:rsidRPr="001A4BFA">
        <w:rPr>
          <w:rFonts w:ascii="Times New Roman" w:hAnsi="Times New Roman" w:cs="Times New Roman"/>
          <w:b/>
          <w:sz w:val="24"/>
          <w:szCs w:val="24"/>
          <w:lang w:val="en-US"/>
        </w:rPr>
        <w:t xml:space="preserve"> </w:t>
      </w:r>
      <w:r w:rsidRPr="001A4BFA">
        <w:rPr>
          <w:rFonts w:ascii="Times New Roman" w:hAnsi="Times New Roman" w:cs="Times New Roman"/>
          <w:b/>
          <w:sz w:val="24"/>
          <w:szCs w:val="24"/>
        </w:rPr>
        <w:t>английском</w:t>
      </w:r>
      <w:r w:rsidRPr="001A4BFA">
        <w:rPr>
          <w:rFonts w:ascii="Times New Roman" w:hAnsi="Times New Roman" w:cs="Times New Roman"/>
          <w:b/>
          <w:sz w:val="24"/>
          <w:szCs w:val="24"/>
          <w:lang w:val="en-US"/>
        </w:rPr>
        <w:t xml:space="preserve"> </w:t>
      </w:r>
      <w:r w:rsidRPr="001A4BFA">
        <w:rPr>
          <w:rFonts w:ascii="Times New Roman" w:hAnsi="Times New Roman" w:cs="Times New Roman"/>
          <w:b/>
          <w:sz w:val="24"/>
          <w:szCs w:val="24"/>
        </w:rPr>
        <w:t>языке</w:t>
      </w:r>
      <w:r w:rsidRPr="001A4BFA">
        <w:rPr>
          <w:rFonts w:ascii="Times New Roman" w:hAnsi="Times New Roman" w:cs="Times New Roman"/>
          <w:b/>
          <w:sz w:val="24"/>
          <w:szCs w:val="24"/>
          <w:lang w:val="en-US"/>
        </w:rPr>
        <w:t xml:space="preserve"> </w:t>
      </w:r>
      <w:r w:rsidRPr="001A4BFA">
        <w:rPr>
          <w:rFonts w:ascii="Times New Roman" w:hAnsi="Times New Roman" w:cs="Times New Roman"/>
          <w:bCs/>
          <w:sz w:val="24"/>
          <w:szCs w:val="24"/>
          <w:lang w:val="en-US"/>
        </w:rPr>
        <w:t>This article examines the issues of regional securities markets as a component of the country's investment climate. The regional securities market of the Vologda Oblast is analyzed and the factors hindering the development of the investment environment of the regions are touched upon.</w:t>
      </w:r>
    </w:p>
    <w:p w:rsidR="001A4BFA" w:rsidRDefault="001A4BFA" w:rsidP="001A4BFA">
      <w:pPr>
        <w:spacing w:after="0" w:line="240" w:lineRule="auto"/>
        <w:ind w:firstLine="709"/>
        <w:jc w:val="both"/>
        <w:rPr>
          <w:rFonts w:ascii="Times New Roman" w:hAnsi="Times New Roman" w:cs="Times New Roman"/>
          <w:bCs/>
          <w:i/>
          <w:iCs/>
          <w:sz w:val="24"/>
          <w:szCs w:val="24"/>
          <w:lang w:val="en-US"/>
        </w:rPr>
      </w:pPr>
      <w:r w:rsidRPr="001A4BFA">
        <w:rPr>
          <w:rFonts w:ascii="Times New Roman" w:hAnsi="Times New Roman" w:cs="Times New Roman"/>
          <w:b/>
          <w:sz w:val="24"/>
          <w:szCs w:val="24"/>
        </w:rPr>
        <w:t>Ключевые</w:t>
      </w:r>
      <w:r w:rsidRPr="001A4BFA">
        <w:rPr>
          <w:rFonts w:ascii="Times New Roman" w:hAnsi="Times New Roman" w:cs="Times New Roman"/>
          <w:b/>
          <w:sz w:val="24"/>
          <w:szCs w:val="24"/>
          <w:lang w:val="en-US"/>
        </w:rPr>
        <w:t xml:space="preserve"> </w:t>
      </w:r>
      <w:r w:rsidRPr="001A4BFA">
        <w:rPr>
          <w:rFonts w:ascii="Times New Roman" w:hAnsi="Times New Roman" w:cs="Times New Roman"/>
          <w:b/>
          <w:sz w:val="24"/>
          <w:szCs w:val="24"/>
        </w:rPr>
        <w:t>слова</w:t>
      </w:r>
      <w:r w:rsidRPr="001A4BFA">
        <w:rPr>
          <w:rFonts w:ascii="Times New Roman" w:hAnsi="Times New Roman" w:cs="Times New Roman"/>
          <w:b/>
          <w:sz w:val="24"/>
          <w:szCs w:val="24"/>
          <w:lang w:val="en-US"/>
        </w:rPr>
        <w:t xml:space="preserve"> </w:t>
      </w:r>
      <w:r w:rsidRPr="001A4BFA">
        <w:rPr>
          <w:rFonts w:ascii="Times New Roman" w:hAnsi="Times New Roman" w:cs="Times New Roman"/>
          <w:b/>
          <w:sz w:val="24"/>
          <w:szCs w:val="24"/>
        </w:rPr>
        <w:t>на</w:t>
      </w:r>
      <w:r w:rsidRPr="001A4BFA">
        <w:rPr>
          <w:rFonts w:ascii="Times New Roman" w:hAnsi="Times New Roman" w:cs="Times New Roman"/>
          <w:b/>
          <w:sz w:val="24"/>
          <w:szCs w:val="24"/>
          <w:lang w:val="en-US"/>
        </w:rPr>
        <w:t xml:space="preserve"> </w:t>
      </w:r>
      <w:r w:rsidRPr="001A4BFA">
        <w:rPr>
          <w:rFonts w:ascii="Times New Roman" w:hAnsi="Times New Roman" w:cs="Times New Roman"/>
          <w:b/>
          <w:sz w:val="24"/>
          <w:szCs w:val="24"/>
        </w:rPr>
        <w:t>английском</w:t>
      </w:r>
      <w:r w:rsidRPr="001A4BFA">
        <w:rPr>
          <w:rFonts w:ascii="Times New Roman" w:hAnsi="Times New Roman" w:cs="Times New Roman"/>
          <w:b/>
          <w:sz w:val="24"/>
          <w:szCs w:val="24"/>
          <w:lang w:val="en-US"/>
        </w:rPr>
        <w:t xml:space="preserve"> </w:t>
      </w:r>
      <w:r w:rsidRPr="001A4BFA">
        <w:rPr>
          <w:rFonts w:ascii="Times New Roman" w:hAnsi="Times New Roman" w:cs="Times New Roman"/>
          <w:b/>
          <w:sz w:val="24"/>
          <w:szCs w:val="24"/>
        </w:rPr>
        <w:t>языке</w:t>
      </w:r>
      <w:r w:rsidRPr="001A4BFA">
        <w:rPr>
          <w:rFonts w:ascii="Times New Roman" w:hAnsi="Times New Roman" w:cs="Times New Roman"/>
          <w:b/>
          <w:sz w:val="24"/>
          <w:szCs w:val="24"/>
          <w:lang w:val="en-US"/>
        </w:rPr>
        <w:t xml:space="preserve"> </w:t>
      </w:r>
      <w:r w:rsidRPr="001A4BFA">
        <w:rPr>
          <w:rFonts w:ascii="Times New Roman" w:hAnsi="Times New Roman" w:cs="Times New Roman"/>
          <w:bCs/>
          <w:i/>
          <w:iCs/>
          <w:sz w:val="24"/>
          <w:szCs w:val="24"/>
          <w:lang w:val="en-US"/>
        </w:rPr>
        <w:t>Regional securities market, investment climate, emission activity.</w:t>
      </w:r>
    </w:p>
    <w:p w:rsidR="001A4BFA" w:rsidRPr="00C87812" w:rsidRDefault="001A4BFA" w:rsidP="001A4BFA">
      <w:pPr>
        <w:spacing w:after="0" w:line="240" w:lineRule="auto"/>
        <w:ind w:firstLine="709"/>
        <w:jc w:val="both"/>
        <w:rPr>
          <w:rFonts w:ascii="Times New Roman" w:hAnsi="Times New Roman" w:cs="Times New Roman"/>
          <w:bCs/>
          <w:sz w:val="24"/>
          <w:szCs w:val="24"/>
          <w:lang w:val="en-US"/>
        </w:rPr>
      </w:pPr>
    </w:p>
    <w:p w:rsidR="001A4BFA" w:rsidRPr="001A4BFA" w:rsidRDefault="001A4BFA" w:rsidP="001A4BFA">
      <w:pPr>
        <w:suppressAutoHyphens/>
        <w:spacing w:after="0" w:line="360" w:lineRule="auto"/>
        <w:jc w:val="center"/>
        <w:rPr>
          <w:rFonts w:ascii="Times New Roman" w:eastAsia="Calibri" w:hAnsi="Times New Roman" w:cs="Times New Roman"/>
          <w:b/>
          <w:sz w:val="24"/>
          <w:szCs w:val="24"/>
        </w:rPr>
      </w:pPr>
      <w:r w:rsidRPr="001A4BFA">
        <w:rPr>
          <w:rFonts w:ascii="Times New Roman" w:eastAsia="Calibri" w:hAnsi="Times New Roman" w:cs="Times New Roman"/>
          <w:b/>
          <w:sz w:val="24"/>
          <w:szCs w:val="24"/>
        </w:rPr>
        <w:t>Информация об авторе (-ах) на английском языке</w:t>
      </w:r>
    </w:p>
    <w:p w:rsidR="001A4BFA" w:rsidRPr="001A4BFA" w:rsidRDefault="001A4BFA" w:rsidP="001A4BFA">
      <w:pPr>
        <w:suppressAutoHyphens/>
        <w:spacing w:after="0" w:line="240" w:lineRule="auto"/>
        <w:ind w:firstLine="709"/>
        <w:jc w:val="both"/>
        <w:rPr>
          <w:rFonts w:ascii="Times New Roman" w:eastAsia="Calibri" w:hAnsi="Times New Roman" w:cs="Times New Roman"/>
          <w:bCs/>
          <w:sz w:val="24"/>
          <w:szCs w:val="24"/>
          <w:lang w:val="en-US"/>
        </w:rPr>
      </w:pPr>
      <w:r w:rsidRPr="001A4BFA">
        <w:rPr>
          <w:rFonts w:ascii="Times New Roman" w:eastAsia="Calibri" w:hAnsi="Times New Roman" w:cs="Times New Roman"/>
          <w:bCs/>
          <w:sz w:val="24"/>
          <w:szCs w:val="24"/>
          <w:lang w:val="en-US"/>
        </w:rPr>
        <w:t xml:space="preserve">Tatyana </w:t>
      </w:r>
      <w:proofErr w:type="spellStart"/>
      <w:r w:rsidR="00202FD7">
        <w:rPr>
          <w:rFonts w:ascii="Times New Roman" w:eastAsia="Calibri" w:hAnsi="Times New Roman" w:cs="Times New Roman"/>
          <w:bCs/>
          <w:sz w:val="24"/>
          <w:szCs w:val="24"/>
          <w:lang w:val="en-US"/>
        </w:rPr>
        <w:t>K</w:t>
      </w:r>
      <w:r w:rsidRPr="001A4BFA">
        <w:rPr>
          <w:rFonts w:ascii="Times New Roman" w:eastAsia="Calibri" w:hAnsi="Times New Roman" w:cs="Times New Roman"/>
          <w:bCs/>
          <w:sz w:val="24"/>
          <w:szCs w:val="24"/>
          <w:lang w:val="en-US"/>
        </w:rPr>
        <w:t>harionovskaya</w:t>
      </w:r>
      <w:proofErr w:type="spellEnd"/>
      <w:r w:rsidRPr="001A4BFA">
        <w:rPr>
          <w:rFonts w:ascii="Times New Roman" w:eastAsia="Calibri" w:hAnsi="Times New Roman" w:cs="Times New Roman"/>
          <w:bCs/>
          <w:sz w:val="24"/>
          <w:szCs w:val="24"/>
          <w:lang w:val="en-US"/>
        </w:rPr>
        <w:t xml:space="preserve"> (Russia, Vologda) - candidate of economic Sciences, associate Professor, Vologda state University (160000 Vologda region, Vologda, Lenin street 15, kanz@vogu35.ru).</w:t>
      </w:r>
    </w:p>
    <w:p w:rsidR="001A4BFA" w:rsidRDefault="00202FD7" w:rsidP="001A4BFA">
      <w:pPr>
        <w:spacing w:after="0" w:line="240" w:lineRule="auto"/>
        <w:ind w:firstLine="709"/>
        <w:jc w:val="both"/>
        <w:rPr>
          <w:rFonts w:ascii="Times New Roman" w:hAnsi="Times New Roman" w:cs="Times New Roman"/>
          <w:bCs/>
          <w:sz w:val="24"/>
          <w:szCs w:val="24"/>
          <w:lang w:val="en-US"/>
        </w:rPr>
      </w:pPr>
      <w:r w:rsidRPr="00202FD7">
        <w:rPr>
          <w:rFonts w:ascii="Times New Roman" w:hAnsi="Times New Roman" w:cs="Times New Roman"/>
          <w:bCs/>
          <w:sz w:val="24"/>
          <w:szCs w:val="24"/>
          <w:lang w:val="en-US"/>
        </w:rPr>
        <w:t xml:space="preserve">Natalia Alekseevna Romanova (Vologda, Russia) is a student at Vologda State University (15 Lenin St., Vologda, 160000 Vologda Region, </w:t>
      </w:r>
      <w:proofErr w:type="gramStart"/>
      <w:r w:rsidRPr="00202FD7">
        <w:rPr>
          <w:rFonts w:ascii="Times New Roman" w:hAnsi="Times New Roman" w:cs="Times New Roman"/>
          <w:bCs/>
          <w:sz w:val="24"/>
          <w:szCs w:val="24"/>
          <w:lang w:val="en-US"/>
        </w:rPr>
        <w:t>kanz@vogu35.ru )</w:t>
      </w:r>
      <w:proofErr w:type="gramEnd"/>
      <w:r w:rsidRPr="00202FD7">
        <w:rPr>
          <w:rFonts w:ascii="Times New Roman" w:hAnsi="Times New Roman" w:cs="Times New Roman"/>
          <w:bCs/>
          <w:sz w:val="24"/>
          <w:szCs w:val="24"/>
          <w:lang w:val="en-US"/>
        </w:rPr>
        <w:t>.</w:t>
      </w:r>
    </w:p>
    <w:p w:rsidR="00202FD7" w:rsidRDefault="00202FD7" w:rsidP="00202FD7">
      <w:pPr>
        <w:spacing w:after="0" w:line="240" w:lineRule="auto"/>
        <w:jc w:val="both"/>
        <w:rPr>
          <w:rFonts w:ascii="Times New Roman" w:hAnsi="Times New Roman" w:cs="Times New Roman"/>
          <w:bCs/>
          <w:sz w:val="24"/>
          <w:szCs w:val="24"/>
          <w:lang w:val="en-US"/>
        </w:rPr>
      </w:pPr>
    </w:p>
    <w:p w:rsidR="00202FD7" w:rsidRDefault="00202FD7" w:rsidP="00202FD7">
      <w:pPr>
        <w:spacing w:line="240" w:lineRule="auto"/>
        <w:jc w:val="center"/>
        <w:rPr>
          <w:rFonts w:ascii="Times New Roman" w:hAnsi="Times New Roman" w:cs="Times New Roman"/>
          <w:b/>
          <w:bCs/>
          <w:sz w:val="24"/>
          <w:szCs w:val="24"/>
        </w:rPr>
      </w:pPr>
      <w:r w:rsidRPr="0045554E">
        <w:rPr>
          <w:rFonts w:ascii="Times New Roman" w:hAnsi="Times New Roman" w:cs="Times New Roman"/>
          <w:b/>
          <w:bCs/>
          <w:sz w:val="24"/>
          <w:szCs w:val="24"/>
        </w:rPr>
        <w:t xml:space="preserve">Библиографический список на </w:t>
      </w:r>
      <w:r>
        <w:rPr>
          <w:rFonts w:ascii="Times New Roman" w:hAnsi="Times New Roman" w:cs="Times New Roman"/>
          <w:b/>
          <w:bCs/>
          <w:sz w:val="24"/>
          <w:szCs w:val="24"/>
        </w:rPr>
        <w:t>английс</w:t>
      </w:r>
      <w:r w:rsidRPr="0045554E">
        <w:rPr>
          <w:rFonts w:ascii="Times New Roman" w:hAnsi="Times New Roman" w:cs="Times New Roman"/>
          <w:b/>
          <w:bCs/>
          <w:sz w:val="24"/>
          <w:szCs w:val="24"/>
        </w:rPr>
        <w:t>ком языке</w:t>
      </w:r>
    </w:p>
    <w:p w:rsidR="00202FD7" w:rsidRPr="00202FD7" w:rsidRDefault="00202FD7" w:rsidP="00202FD7">
      <w:pPr>
        <w:spacing w:after="0" w:line="240" w:lineRule="auto"/>
        <w:ind w:firstLine="709"/>
        <w:jc w:val="both"/>
        <w:rPr>
          <w:rFonts w:ascii="Times New Roman" w:hAnsi="Times New Roman" w:cs="Times New Roman"/>
          <w:sz w:val="24"/>
          <w:szCs w:val="24"/>
          <w:lang w:val="en-US"/>
        </w:rPr>
      </w:pPr>
      <w:r w:rsidRPr="00C87812">
        <w:rPr>
          <w:rFonts w:ascii="Times New Roman" w:hAnsi="Times New Roman" w:cs="Times New Roman"/>
          <w:sz w:val="24"/>
          <w:szCs w:val="24"/>
        </w:rPr>
        <w:t xml:space="preserve">1. </w:t>
      </w:r>
      <w:r w:rsidRPr="00202FD7">
        <w:rPr>
          <w:rFonts w:ascii="Times New Roman" w:hAnsi="Times New Roman" w:cs="Times New Roman"/>
          <w:sz w:val="24"/>
          <w:szCs w:val="24"/>
          <w:lang w:val="en-US"/>
        </w:rPr>
        <w:t>The</w:t>
      </w:r>
      <w:r w:rsidRPr="00C87812">
        <w:rPr>
          <w:rFonts w:ascii="Times New Roman" w:hAnsi="Times New Roman" w:cs="Times New Roman"/>
          <w:sz w:val="24"/>
          <w:szCs w:val="24"/>
        </w:rPr>
        <w:t xml:space="preserve"> </w:t>
      </w:r>
      <w:r w:rsidRPr="00202FD7">
        <w:rPr>
          <w:rFonts w:ascii="Times New Roman" w:hAnsi="Times New Roman" w:cs="Times New Roman"/>
          <w:sz w:val="24"/>
          <w:szCs w:val="24"/>
          <w:lang w:val="en-US"/>
        </w:rPr>
        <w:t>Russian</w:t>
      </w:r>
      <w:r w:rsidRPr="00C87812">
        <w:rPr>
          <w:rFonts w:ascii="Times New Roman" w:hAnsi="Times New Roman" w:cs="Times New Roman"/>
          <w:sz w:val="24"/>
          <w:szCs w:val="24"/>
        </w:rPr>
        <w:t xml:space="preserve"> </w:t>
      </w:r>
      <w:r w:rsidRPr="00202FD7">
        <w:rPr>
          <w:rFonts w:ascii="Times New Roman" w:hAnsi="Times New Roman" w:cs="Times New Roman"/>
          <w:sz w:val="24"/>
          <w:szCs w:val="24"/>
          <w:lang w:val="en-US"/>
        </w:rPr>
        <w:t>Federation</w:t>
      </w:r>
      <w:r w:rsidRPr="00C87812">
        <w:rPr>
          <w:rFonts w:ascii="Times New Roman" w:hAnsi="Times New Roman" w:cs="Times New Roman"/>
          <w:sz w:val="24"/>
          <w:szCs w:val="24"/>
        </w:rPr>
        <w:t xml:space="preserve">. </w:t>
      </w:r>
      <w:r w:rsidRPr="00202FD7">
        <w:rPr>
          <w:rFonts w:ascii="Times New Roman" w:hAnsi="Times New Roman" w:cs="Times New Roman"/>
          <w:sz w:val="24"/>
          <w:szCs w:val="24"/>
          <w:lang w:val="en-US"/>
        </w:rPr>
        <w:t xml:space="preserve">President (2024-2029; Vladimir Putin). Message of the President of the Russian Federation to the Federal Assembly of the Russian Federation [text]: "Message of the President to the Federal Assembly" dated 02/29/2024 </w:t>
      </w:r>
    </w:p>
    <w:p w:rsidR="00202FD7" w:rsidRPr="00202FD7" w:rsidRDefault="00202FD7" w:rsidP="00202FD7">
      <w:pPr>
        <w:spacing w:after="0" w:line="240" w:lineRule="auto"/>
        <w:ind w:firstLine="709"/>
        <w:jc w:val="both"/>
        <w:rPr>
          <w:rFonts w:ascii="Times New Roman" w:hAnsi="Times New Roman" w:cs="Times New Roman"/>
          <w:sz w:val="24"/>
          <w:szCs w:val="24"/>
          <w:lang w:val="en-US"/>
        </w:rPr>
      </w:pPr>
      <w:r w:rsidRPr="00202FD7">
        <w:rPr>
          <w:rFonts w:ascii="Times New Roman" w:hAnsi="Times New Roman" w:cs="Times New Roman"/>
          <w:sz w:val="24"/>
          <w:szCs w:val="24"/>
          <w:lang w:val="en-US"/>
        </w:rPr>
        <w:t xml:space="preserve">2. Information from the Bank of Russia dated October 25, 2024 "Main directions of development of the financial market of the Russian Federation for 2025 and the period 2026 and 2027 (draft dated October 25, 2024)". </w:t>
      </w:r>
    </w:p>
    <w:p w:rsidR="00202FD7" w:rsidRPr="00202FD7" w:rsidRDefault="00202FD7" w:rsidP="00E73AA1">
      <w:pPr>
        <w:spacing w:after="0" w:line="240" w:lineRule="auto"/>
        <w:ind w:firstLine="709"/>
        <w:jc w:val="both"/>
        <w:rPr>
          <w:rFonts w:ascii="Times New Roman" w:hAnsi="Times New Roman" w:cs="Times New Roman"/>
          <w:b/>
          <w:bCs/>
          <w:vanish/>
          <w:sz w:val="24"/>
          <w:szCs w:val="24"/>
          <w:lang w:val="en-US"/>
        </w:rPr>
      </w:pPr>
      <w:r w:rsidRPr="00202FD7">
        <w:rPr>
          <w:rFonts w:ascii="Times New Roman" w:hAnsi="Times New Roman" w:cs="Times New Roman"/>
          <w:sz w:val="24"/>
          <w:szCs w:val="24"/>
          <w:lang w:val="en-US"/>
        </w:rPr>
        <w:t xml:space="preserve">3. On approval of the List of system–forming organizations of regional importance and having a significant impact on employment and social stability in the Vologda Region: Decree of the Governor of the Vologda Region dated 04/06/2020 No. 88. - </w:t>
      </w:r>
      <w:proofErr w:type="gramStart"/>
      <w:r w:rsidRPr="00202FD7">
        <w:rPr>
          <w:rFonts w:ascii="Times New Roman" w:hAnsi="Times New Roman" w:cs="Times New Roman"/>
          <w:sz w:val="24"/>
          <w:szCs w:val="24"/>
          <w:lang w:val="en-US"/>
        </w:rPr>
        <w:t>Text :</w:t>
      </w:r>
      <w:proofErr w:type="gramEnd"/>
      <w:r w:rsidRPr="00202FD7">
        <w:rPr>
          <w:rFonts w:ascii="Times New Roman" w:hAnsi="Times New Roman" w:cs="Times New Roman"/>
          <w:sz w:val="24"/>
          <w:szCs w:val="24"/>
          <w:lang w:val="en-US"/>
        </w:rPr>
        <w:t xml:space="preserve"> electronic // Internet portal of legal information : website. – URL: http://publication.pravo.gov.ru</w:t>
      </w:r>
      <w:r w:rsidRPr="00202FD7">
        <w:rPr>
          <w:rFonts w:ascii="Times New Roman" w:hAnsi="Times New Roman" w:cs="Times New Roman"/>
          <w:b/>
          <w:bCs/>
          <w:vanish/>
          <w:sz w:val="24"/>
          <w:szCs w:val="24"/>
        </w:rPr>
        <w:t>Начало</w:t>
      </w:r>
      <w:r w:rsidRPr="00202FD7">
        <w:rPr>
          <w:rFonts w:ascii="Times New Roman" w:hAnsi="Times New Roman" w:cs="Times New Roman"/>
          <w:b/>
          <w:bCs/>
          <w:vanish/>
          <w:sz w:val="24"/>
          <w:szCs w:val="24"/>
          <w:lang w:val="en-US"/>
        </w:rPr>
        <w:t xml:space="preserve"> </w:t>
      </w:r>
      <w:r w:rsidRPr="00202FD7">
        <w:rPr>
          <w:rFonts w:ascii="Times New Roman" w:hAnsi="Times New Roman" w:cs="Times New Roman"/>
          <w:b/>
          <w:bCs/>
          <w:vanish/>
          <w:sz w:val="24"/>
          <w:szCs w:val="24"/>
        </w:rPr>
        <w:t>формы</w:t>
      </w:r>
    </w:p>
    <w:p w:rsidR="00202FD7" w:rsidRPr="0045554E" w:rsidRDefault="00202FD7" w:rsidP="00202FD7">
      <w:pPr>
        <w:spacing w:line="240" w:lineRule="auto"/>
        <w:rPr>
          <w:rFonts w:ascii="Times New Roman" w:hAnsi="Times New Roman" w:cs="Times New Roman"/>
          <w:b/>
          <w:bCs/>
          <w:sz w:val="24"/>
          <w:szCs w:val="24"/>
          <w:lang w:val="en-US"/>
        </w:rPr>
      </w:pPr>
    </w:p>
    <w:p w:rsidR="00202FD7" w:rsidRPr="00202FD7" w:rsidRDefault="00202FD7" w:rsidP="001A4BFA">
      <w:pPr>
        <w:spacing w:after="0" w:line="240" w:lineRule="auto"/>
        <w:ind w:firstLine="709"/>
        <w:jc w:val="both"/>
        <w:rPr>
          <w:rFonts w:ascii="Times New Roman" w:hAnsi="Times New Roman" w:cs="Times New Roman"/>
          <w:bCs/>
          <w:sz w:val="24"/>
          <w:szCs w:val="24"/>
          <w:lang w:val="en-US"/>
        </w:rPr>
      </w:pPr>
    </w:p>
    <w:sectPr w:rsidR="00202FD7" w:rsidRPr="00202FD7" w:rsidSect="004408F3">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5BB1" w:rsidRDefault="00075BB1" w:rsidP="00147BDE">
      <w:pPr>
        <w:spacing w:after="0" w:line="240" w:lineRule="auto"/>
      </w:pPr>
      <w:r>
        <w:separator/>
      </w:r>
    </w:p>
  </w:endnote>
  <w:endnote w:type="continuationSeparator" w:id="0">
    <w:p w:rsidR="00075BB1" w:rsidRDefault="00075BB1" w:rsidP="00147B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5BB1" w:rsidRDefault="00075BB1" w:rsidP="00147BDE">
      <w:pPr>
        <w:spacing w:after="0" w:line="240" w:lineRule="auto"/>
      </w:pPr>
      <w:r>
        <w:separator/>
      </w:r>
    </w:p>
  </w:footnote>
  <w:footnote w:type="continuationSeparator" w:id="0">
    <w:p w:rsidR="00075BB1" w:rsidRDefault="00075BB1" w:rsidP="00147BD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8619EF"/>
    <w:multiLevelType w:val="multilevel"/>
    <w:tmpl w:val="30A8E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50AD4BB8"/>
    <w:multiLevelType w:val="hybridMultilevel"/>
    <w:tmpl w:val="9D3A5782"/>
    <w:lvl w:ilvl="0" w:tplc="75D840D4">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0B00222"/>
    <w:multiLevelType w:val="hybridMultilevel"/>
    <w:tmpl w:val="D512ABA4"/>
    <w:lvl w:ilvl="0" w:tplc="3AD8F5CA">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characterSpacingControl w:val="doNotCompress"/>
  <w:footnotePr>
    <w:footnote w:id="-1"/>
    <w:footnote w:id="0"/>
  </w:footnotePr>
  <w:endnotePr>
    <w:endnote w:id="-1"/>
    <w:endnote w:id="0"/>
  </w:endnotePr>
  <w:compat/>
  <w:rsids>
    <w:rsidRoot w:val="00CC786E"/>
    <w:rsid w:val="00075BB1"/>
    <w:rsid w:val="00147BDE"/>
    <w:rsid w:val="001A4BFA"/>
    <w:rsid w:val="001C684C"/>
    <w:rsid w:val="00202FD7"/>
    <w:rsid w:val="00343D48"/>
    <w:rsid w:val="00370C9A"/>
    <w:rsid w:val="004031B6"/>
    <w:rsid w:val="004408F3"/>
    <w:rsid w:val="0045554E"/>
    <w:rsid w:val="008675F1"/>
    <w:rsid w:val="00A175F1"/>
    <w:rsid w:val="00A360BB"/>
    <w:rsid w:val="00B02E0E"/>
    <w:rsid w:val="00C20CBB"/>
    <w:rsid w:val="00C372F4"/>
    <w:rsid w:val="00C87812"/>
    <w:rsid w:val="00CC786E"/>
    <w:rsid w:val="00CE399D"/>
    <w:rsid w:val="00D46974"/>
    <w:rsid w:val="00DF332A"/>
    <w:rsid w:val="00E73AA1"/>
    <w:rsid w:val="00F95627"/>
    <w:rsid w:val="00FA7C1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7BDE"/>
  </w:style>
  <w:style w:type="paragraph" w:styleId="1">
    <w:name w:val="heading 1"/>
    <w:basedOn w:val="a"/>
    <w:next w:val="a"/>
    <w:link w:val="10"/>
    <w:uiPriority w:val="9"/>
    <w:qFormat/>
    <w:rsid w:val="00147BDE"/>
    <w:pPr>
      <w:keepNext/>
      <w:keepLines/>
      <w:spacing w:before="240" w:after="0"/>
      <w:outlineLvl w:val="0"/>
    </w:pPr>
    <w:rPr>
      <w:rFonts w:ascii="Times New Roman" w:eastAsiaTheme="majorEastAsia" w:hAnsi="Times New Roman" w:cstheme="majorBidi"/>
      <w:sz w:val="28"/>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47BDE"/>
    <w:rPr>
      <w:rFonts w:ascii="Times New Roman" w:eastAsiaTheme="majorEastAsia" w:hAnsi="Times New Roman" w:cstheme="majorBidi"/>
      <w:sz w:val="28"/>
      <w:szCs w:val="32"/>
    </w:rPr>
  </w:style>
  <w:style w:type="paragraph" w:styleId="a3">
    <w:name w:val="List Paragraph"/>
    <w:basedOn w:val="a"/>
    <w:uiPriority w:val="34"/>
    <w:qFormat/>
    <w:rsid w:val="00147BDE"/>
    <w:pPr>
      <w:ind w:left="720"/>
      <w:contextualSpacing/>
    </w:pPr>
  </w:style>
  <w:style w:type="table" w:styleId="a4">
    <w:name w:val="Table Grid"/>
    <w:basedOn w:val="a1"/>
    <w:uiPriority w:val="39"/>
    <w:rsid w:val="00147B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footnote text"/>
    <w:basedOn w:val="a"/>
    <w:link w:val="a6"/>
    <w:uiPriority w:val="99"/>
    <w:semiHidden/>
    <w:unhideWhenUsed/>
    <w:rsid w:val="00147BDE"/>
    <w:pPr>
      <w:spacing w:after="0" w:line="240" w:lineRule="auto"/>
    </w:pPr>
    <w:rPr>
      <w:sz w:val="20"/>
      <w:szCs w:val="20"/>
    </w:rPr>
  </w:style>
  <w:style w:type="character" w:customStyle="1" w:styleId="a6">
    <w:name w:val="Текст сноски Знак"/>
    <w:basedOn w:val="a0"/>
    <w:link w:val="a5"/>
    <w:uiPriority w:val="99"/>
    <w:semiHidden/>
    <w:rsid w:val="00147BDE"/>
    <w:rPr>
      <w:sz w:val="20"/>
      <w:szCs w:val="20"/>
    </w:rPr>
  </w:style>
  <w:style w:type="character" w:styleId="a7">
    <w:name w:val="footnote reference"/>
    <w:basedOn w:val="a0"/>
    <w:uiPriority w:val="99"/>
    <w:semiHidden/>
    <w:unhideWhenUsed/>
    <w:rsid w:val="00147BDE"/>
    <w:rPr>
      <w:vertAlign w:val="superscript"/>
    </w:rPr>
  </w:style>
  <w:style w:type="character" w:customStyle="1" w:styleId="docdata">
    <w:name w:val="docdata"/>
    <w:aliases w:val="docy,v5,2463,bqiaagaaeyqcaaagiaiaaamgcqaabrqjaaaaaaaaaaaaaaaaaaaaaaaaaaaaaaaaaaaaaaaaaaaaaaaaaaaaaaaaaaaaaaaaaaaaaaaaaaaaaaaaaaaaaaaaaaaaaaaaaaaaaaaaaaaaaaaaaaaaaaaaaaaaaaaaaaaaaaaaaaaaaaaaaaaaaaaaaaaaaaaaaaaaaaaaaaaaaaaaaaaaaaaaaaaaaaaaaaaaaaaa"/>
    <w:basedOn w:val="a0"/>
    <w:rsid w:val="00147BDE"/>
  </w:style>
  <w:style w:type="paragraph" w:customStyle="1" w:styleId="rvps33">
    <w:name w:val="rvps33"/>
    <w:basedOn w:val="a"/>
    <w:rsid w:val="00C20CB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C20CB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34">
    <w:name w:val="rvps34"/>
    <w:basedOn w:val="a"/>
    <w:rsid w:val="00C20C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C20CBB"/>
  </w:style>
  <w:style w:type="character" w:customStyle="1" w:styleId="rvts54">
    <w:name w:val="rvts54"/>
    <w:basedOn w:val="a0"/>
    <w:rsid w:val="00370C9A"/>
  </w:style>
  <w:style w:type="paragraph" w:styleId="a8">
    <w:name w:val="header"/>
    <w:basedOn w:val="a"/>
    <w:link w:val="a9"/>
    <w:uiPriority w:val="99"/>
    <w:unhideWhenUsed/>
    <w:rsid w:val="00FA7C13"/>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FA7C13"/>
  </w:style>
  <w:style w:type="paragraph" w:styleId="aa">
    <w:name w:val="footer"/>
    <w:basedOn w:val="a"/>
    <w:link w:val="ab"/>
    <w:uiPriority w:val="99"/>
    <w:unhideWhenUsed/>
    <w:rsid w:val="00FA7C13"/>
    <w:pPr>
      <w:tabs>
        <w:tab w:val="center" w:pos="4677"/>
        <w:tab w:val="right" w:pos="9355"/>
      </w:tabs>
      <w:spacing w:after="0" w:line="240" w:lineRule="auto"/>
    </w:pPr>
  </w:style>
  <w:style w:type="character" w:customStyle="1" w:styleId="ab">
    <w:name w:val="Нижний колонтитул Знак"/>
    <w:basedOn w:val="a0"/>
    <w:link w:val="aa"/>
    <w:uiPriority w:val="99"/>
    <w:rsid w:val="00FA7C13"/>
  </w:style>
  <w:style w:type="character" w:styleId="ac">
    <w:name w:val="Hyperlink"/>
    <w:basedOn w:val="a0"/>
    <w:uiPriority w:val="99"/>
    <w:unhideWhenUsed/>
    <w:rsid w:val="001A4BFA"/>
    <w:rPr>
      <w:color w:val="0563C1" w:themeColor="hyperlink"/>
      <w:u w:val="single"/>
    </w:rPr>
  </w:style>
  <w:style w:type="character" w:customStyle="1" w:styleId="UnresolvedMention">
    <w:name w:val="Unresolved Mention"/>
    <w:basedOn w:val="a0"/>
    <w:uiPriority w:val="99"/>
    <w:semiHidden/>
    <w:unhideWhenUsed/>
    <w:rsid w:val="001A4BFA"/>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665592949">
      <w:bodyDiv w:val="1"/>
      <w:marLeft w:val="0"/>
      <w:marRight w:val="0"/>
      <w:marTop w:val="0"/>
      <w:marBottom w:val="0"/>
      <w:divBdr>
        <w:top w:val="none" w:sz="0" w:space="0" w:color="auto"/>
        <w:left w:val="none" w:sz="0" w:space="0" w:color="auto"/>
        <w:bottom w:val="none" w:sz="0" w:space="0" w:color="auto"/>
        <w:right w:val="none" w:sz="0" w:space="0" w:color="auto"/>
      </w:divBdr>
      <w:divsChild>
        <w:div w:id="1533375123">
          <w:marLeft w:val="0"/>
          <w:marRight w:val="0"/>
          <w:marTop w:val="0"/>
          <w:marBottom w:val="0"/>
          <w:divBdr>
            <w:top w:val="none" w:sz="0" w:space="0" w:color="auto"/>
            <w:left w:val="none" w:sz="0" w:space="0" w:color="auto"/>
            <w:bottom w:val="none" w:sz="0" w:space="0" w:color="auto"/>
            <w:right w:val="none" w:sz="0" w:space="0" w:color="auto"/>
          </w:divBdr>
          <w:divsChild>
            <w:div w:id="191694774">
              <w:marLeft w:val="0"/>
              <w:marRight w:val="0"/>
              <w:marTop w:val="0"/>
              <w:marBottom w:val="0"/>
              <w:divBdr>
                <w:top w:val="none" w:sz="0" w:space="0" w:color="auto"/>
                <w:left w:val="none" w:sz="0" w:space="0" w:color="auto"/>
                <w:bottom w:val="none" w:sz="0" w:space="0" w:color="auto"/>
                <w:right w:val="none" w:sz="0" w:space="0" w:color="auto"/>
              </w:divBdr>
              <w:divsChild>
                <w:div w:id="1450591971">
                  <w:marLeft w:val="0"/>
                  <w:marRight w:val="0"/>
                  <w:marTop w:val="0"/>
                  <w:marBottom w:val="0"/>
                  <w:divBdr>
                    <w:top w:val="none" w:sz="0" w:space="0" w:color="auto"/>
                    <w:left w:val="none" w:sz="0" w:space="0" w:color="auto"/>
                    <w:bottom w:val="none" w:sz="0" w:space="0" w:color="auto"/>
                    <w:right w:val="none" w:sz="0" w:space="0" w:color="auto"/>
                  </w:divBdr>
                  <w:divsChild>
                    <w:div w:id="1051656705">
                      <w:marLeft w:val="-240"/>
                      <w:marRight w:val="-240"/>
                      <w:marTop w:val="0"/>
                      <w:marBottom w:val="0"/>
                      <w:divBdr>
                        <w:top w:val="none" w:sz="0" w:space="0" w:color="auto"/>
                        <w:left w:val="none" w:sz="0" w:space="0" w:color="auto"/>
                        <w:bottom w:val="none" w:sz="0" w:space="0" w:color="auto"/>
                        <w:right w:val="none" w:sz="0" w:space="0" w:color="auto"/>
                      </w:divBdr>
                      <w:divsChild>
                        <w:div w:id="169569458">
                          <w:marLeft w:val="0"/>
                          <w:marRight w:val="0"/>
                          <w:marTop w:val="0"/>
                          <w:marBottom w:val="0"/>
                          <w:divBdr>
                            <w:top w:val="none" w:sz="0" w:space="0" w:color="auto"/>
                            <w:left w:val="none" w:sz="0" w:space="0" w:color="auto"/>
                            <w:bottom w:val="none" w:sz="0" w:space="0" w:color="auto"/>
                            <w:right w:val="none" w:sz="0" w:space="0" w:color="auto"/>
                          </w:divBdr>
                          <w:divsChild>
                            <w:div w:id="736974354">
                              <w:marLeft w:val="0"/>
                              <w:marRight w:val="0"/>
                              <w:marTop w:val="0"/>
                              <w:marBottom w:val="0"/>
                              <w:divBdr>
                                <w:top w:val="none" w:sz="0" w:space="0" w:color="auto"/>
                                <w:left w:val="none" w:sz="0" w:space="0" w:color="auto"/>
                                <w:bottom w:val="none" w:sz="0" w:space="0" w:color="auto"/>
                                <w:right w:val="none" w:sz="0" w:space="0" w:color="auto"/>
                              </w:divBdr>
                              <w:divsChild>
                                <w:div w:id="952638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024123">
                          <w:marLeft w:val="0"/>
                          <w:marRight w:val="0"/>
                          <w:marTop w:val="0"/>
                          <w:marBottom w:val="0"/>
                          <w:divBdr>
                            <w:top w:val="none" w:sz="0" w:space="0" w:color="auto"/>
                            <w:left w:val="none" w:sz="0" w:space="0" w:color="auto"/>
                            <w:bottom w:val="none" w:sz="0" w:space="0" w:color="auto"/>
                            <w:right w:val="none" w:sz="0" w:space="0" w:color="auto"/>
                          </w:divBdr>
                          <w:divsChild>
                            <w:div w:id="1958221317">
                              <w:marLeft w:val="240"/>
                              <w:marRight w:val="660"/>
                              <w:marTop w:val="105"/>
                              <w:marBottom w:val="600"/>
                              <w:divBdr>
                                <w:top w:val="none" w:sz="0" w:space="0" w:color="auto"/>
                                <w:left w:val="none" w:sz="0" w:space="0" w:color="auto"/>
                                <w:bottom w:val="none" w:sz="0" w:space="0" w:color="auto"/>
                                <w:right w:val="none" w:sz="0" w:space="0" w:color="auto"/>
                              </w:divBdr>
                              <w:divsChild>
                                <w:div w:id="547380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nz@vogu35.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kanz@vogu35.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E65C4A-7968-410E-9488-C83BCD6D46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2284</Words>
  <Characters>13019</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kharonovskaiatl</cp:lastModifiedBy>
  <cp:revision>3</cp:revision>
  <dcterms:created xsi:type="dcterms:W3CDTF">2025-05-14T13:26:00Z</dcterms:created>
  <dcterms:modified xsi:type="dcterms:W3CDTF">2025-05-14T13:45:00Z</dcterms:modified>
</cp:coreProperties>
</file>