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AA994D" w14:textId="48A9A5F7" w:rsidR="00EB10BE" w:rsidRPr="00EB10BE" w:rsidRDefault="00EB10BE" w:rsidP="00EB10BE">
      <w:pPr>
        <w:rPr>
          <w:rFonts w:ascii="Times New Roman" w:hAnsi="Times New Roman" w:cs="Times New Roman"/>
          <w:sz w:val="24"/>
          <w:szCs w:val="24"/>
        </w:rPr>
      </w:pPr>
      <w:r w:rsidRPr="00EB10BE">
        <w:rPr>
          <w:rFonts w:ascii="Times New Roman" w:hAnsi="Times New Roman" w:cs="Times New Roman"/>
          <w:sz w:val="24"/>
          <w:szCs w:val="24"/>
        </w:rPr>
        <w:t>УДК 338.47</w:t>
      </w:r>
    </w:p>
    <w:p w14:paraId="7EB80533" w14:textId="7717EB4B" w:rsidR="00EB10BE" w:rsidRDefault="00EB10BE" w:rsidP="00EB10BE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Кудревич Арина Юрьевна</w:t>
      </w:r>
    </w:p>
    <w:p w14:paraId="1C07391C" w14:textId="1237B8C4" w:rsidR="004F6BE9" w:rsidRPr="00943D08" w:rsidRDefault="00E303F1" w:rsidP="004F6B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Современные тенденции трансформации логистики морских грузоперевозок (на примере регионов СЗФО)</w:t>
      </w:r>
    </w:p>
    <w:p w14:paraId="5F534661" w14:textId="18BFD414" w:rsidR="00EB10BE" w:rsidRDefault="00FA4DB8" w:rsidP="00E303F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</w:rPr>
      </w:pPr>
      <w:r w:rsidRPr="00FA4DB8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proofErr w:type="gramStart"/>
      <w:r w:rsidR="00A346D0" w:rsidRPr="00FA4DB8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A346D0">
        <w:rPr>
          <w:rFonts w:ascii="Times New Roman" w:hAnsi="Times New Roman" w:cs="Times New Roman"/>
          <w:i/>
          <w:iCs/>
        </w:rPr>
        <w:t>В</w:t>
      </w:r>
      <w:r w:rsidR="00A346D0" w:rsidRPr="00E303F1">
        <w:rPr>
          <w:rFonts w:ascii="Times New Roman" w:hAnsi="Times New Roman" w:cs="Times New Roman"/>
          <w:i/>
          <w:iCs/>
        </w:rPr>
        <w:t xml:space="preserve"> условиях</w:t>
      </w:r>
      <w:proofErr w:type="gramEnd"/>
      <w:r w:rsidR="00E303F1" w:rsidRPr="00E303F1">
        <w:rPr>
          <w:rFonts w:ascii="Times New Roman" w:hAnsi="Times New Roman" w:cs="Times New Roman"/>
          <w:i/>
          <w:iCs/>
        </w:rPr>
        <w:t xml:space="preserve"> глобальных изменений в логистике, вызванных санкционным давлением, переориентацией торговых потоков, морские грузоперевозки в Северо-Западном федеральном округе (СЗФО) претерпевают значительные трансформации. </w:t>
      </w:r>
      <w:r w:rsidR="00EB10BE">
        <w:rPr>
          <w:rFonts w:ascii="Times New Roman" w:hAnsi="Times New Roman" w:cs="Times New Roman"/>
          <w:i/>
          <w:iCs/>
        </w:rPr>
        <w:t>Текущее</w:t>
      </w:r>
      <w:r w:rsidR="00E303F1">
        <w:rPr>
          <w:rFonts w:ascii="Times New Roman" w:hAnsi="Times New Roman" w:cs="Times New Roman"/>
          <w:i/>
          <w:iCs/>
        </w:rPr>
        <w:t xml:space="preserve"> и</w:t>
      </w:r>
      <w:r w:rsidR="00E303F1" w:rsidRPr="00E303F1">
        <w:rPr>
          <w:rFonts w:ascii="Times New Roman" w:hAnsi="Times New Roman" w:cs="Times New Roman"/>
          <w:i/>
          <w:iCs/>
        </w:rPr>
        <w:t>сследование направлено на анализ ключевых тенденций</w:t>
      </w:r>
      <w:r w:rsidR="00EB10BE">
        <w:rPr>
          <w:rFonts w:ascii="Times New Roman" w:hAnsi="Times New Roman" w:cs="Times New Roman"/>
          <w:i/>
          <w:iCs/>
        </w:rPr>
        <w:t xml:space="preserve"> </w:t>
      </w:r>
      <w:r w:rsidR="00E303F1" w:rsidRPr="00E303F1">
        <w:rPr>
          <w:rFonts w:ascii="Times New Roman" w:hAnsi="Times New Roman" w:cs="Times New Roman"/>
          <w:i/>
          <w:iCs/>
        </w:rPr>
        <w:t xml:space="preserve">развития </w:t>
      </w:r>
      <w:r w:rsidR="00EB10BE">
        <w:rPr>
          <w:rFonts w:ascii="Times New Roman" w:hAnsi="Times New Roman" w:cs="Times New Roman"/>
          <w:i/>
          <w:iCs/>
        </w:rPr>
        <w:t>логистики</w:t>
      </w:r>
      <w:r w:rsidR="00E303F1" w:rsidRPr="00E303F1">
        <w:rPr>
          <w:rFonts w:ascii="Times New Roman" w:hAnsi="Times New Roman" w:cs="Times New Roman"/>
          <w:i/>
          <w:iCs/>
        </w:rPr>
        <w:t xml:space="preserve"> региона.</w:t>
      </w:r>
    </w:p>
    <w:p w14:paraId="0092727B" w14:textId="77785B4B" w:rsidR="00FA4DB8" w:rsidRDefault="00FA4DB8" w:rsidP="00E303F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="00A346D0">
        <w:rPr>
          <w:rFonts w:ascii="Times New Roman" w:hAnsi="Times New Roman"/>
          <w:i/>
          <w:iCs/>
          <w:spacing w:val="-2"/>
        </w:rPr>
        <w:t>морской транспорт</w:t>
      </w:r>
      <w:r w:rsidR="00482707" w:rsidRPr="00DF6341">
        <w:rPr>
          <w:rFonts w:ascii="Times New Roman" w:hAnsi="Times New Roman"/>
          <w:i/>
          <w:iCs/>
          <w:spacing w:val="-2"/>
        </w:rPr>
        <w:t>,</w:t>
      </w:r>
      <w:r w:rsidR="00A346D0">
        <w:rPr>
          <w:rFonts w:ascii="Times New Roman" w:hAnsi="Times New Roman"/>
          <w:i/>
          <w:iCs/>
          <w:spacing w:val="-2"/>
        </w:rPr>
        <w:t xml:space="preserve"> грузоперевозки, грузооборот,</w:t>
      </w:r>
      <w:r w:rsidR="00482707" w:rsidRPr="00DF6341">
        <w:rPr>
          <w:rFonts w:ascii="Times New Roman" w:hAnsi="Times New Roman"/>
          <w:i/>
          <w:iCs/>
          <w:spacing w:val="-2"/>
        </w:rPr>
        <w:t xml:space="preserve"> логистика, Северо-Западный федеральный округ</w:t>
      </w:r>
      <w:r w:rsidR="00482707">
        <w:rPr>
          <w:rFonts w:ascii="Times New Roman" w:hAnsi="Times New Roman"/>
          <w:i/>
          <w:iCs/>
          <w:spacing w:val="-2"/>
        </w:rPr>
        <w:t>.</w:t>
      </w:r>
    </w:p>
    <w:p w14:paraId="344A987B" w14:textId="77777777" w:rsidR="00EB10BE" w:rsidRDefault="00EB10BE" w:rsidP="00EB10BE">
      <w:pPr>
        <w:spacing w:after="0" w:line="360" w:lineRule="auto"/>
        <w:jc w:val="both"/>
        <w:rPr>
          <w:rFonts w:ascii="Times New Roman" w:hAnsi="Times New Roman"/>
          <w:spacing w:val="-6"/>
          <w:sz w:val="24"/>
          <w:szCs w:val="24"/>
        </w:rPr>
      </w:pPr>
    </w:p>
    <w:p w14:paraId="66B0CD51" w14:textId="2AA4AD00" w:rsidR="00A346D0" w:rsidRPr="00E301FC" w:rsidRDefault="00A346D0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6"/>
          <w:sz w:val="24"/>
          <w:szCs w:val="24"/>
        </w:rPr>
      </w:pPr>
      <w:r w:rsidRPr="00E301FC">
        <w:rPr>
          <w:rFonts w:ascii="Times New Roman" w:hAnsi="Times New Roman"/>
          <w:spacing w:val="-6"/>
          <w:sz w:val="24"/>
          <w:szCs w:val="24"/>
        </w:rPr>
        <w:t>Морские грузоперевозки являются стратегически важным элементом транспортной системы России. В условиях глобальных экономических и политических изменений последних лет российская логистика переживает масштабную трансформацию, связанную с переориентацией товарных потоков с европейского на азиатское направление, развитием альтернативных транспортных коридоров.</w:t>
      </w:r>
    </w:p>
    <w:p w14:paraId="49F3C4EC" w14:textId="77777777" w:rsidR="00A346D0" w:rsidRPr="00E301FC" w:rsidRDefault="00A346D0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6"/>
          <w:sz w:val="24"/>
          <w:szCs w:val="24"/>
        </w:rPr>
      </w:pPr>
      <w:r w:rsidRPr="00E301FC">
        <w:rPr>
          <w:rFonts w:ascii="Times New Roman" w:hAnsi="Times New Roman"/>
          <w:spacing w:val="-6"/>
          <w:sz w:val="24"/>
          <w:szCs w:val="24"/>
        </w:rPr>
        <w:t>Особую значимость в этом процессе приобретают порты Северо-Западного федерального округа, которые исторически играли ключевую роль в торговле с Европой, а теперь адаптируются к новым экономическим реалиям. Такие крупные транспортные узлы, как Большой порт Санкт-Петербург, Усть-Луга и Мурманск, не только сохраняют свое значение, но и получают новые импульсы для развития в связи с ростом перевалки грузов в направлениях Азии и активизацией Северного морского пути.</w:t>
      </w:r>
    </w:p>
    <w:p w14:paraId="4C0E685A" w14:textId="46F1EBE7" w:rsidR="00E303F1" w:rsidRPr="00E301FC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6"/>
          <w:sz w:val="24"/>
          <w:szCs w:val="24"/>
        </w:rPr>
      </w:pPr>
      <w:r w:rsidRPr="00E301FC">
        <w:rPr>
          <w:rFonts w:ascii="Times New Roman" w:hAnsi="Times New Roman"/>
          <w:spacing w:val="-6"/>
          <w:sz w:val="24"/>
          <w:szCs w:val="24"/>
        </w:rPr>
        <w:t>В 2024 году совокупная перевалка грузов морских портов Северо-Запада составила 276 млн тонн. Несмотря на то, что основную долю грузов составляют наливные (53%), объем их перевалки продолжает сокращаться (-7% к 2023 г.). За исследуемый период отмечен небольшой прирост показателя перевозок сухогрузов (+4% к 2023 г.). Объем отправленных грузов морским транспортом в СЗФО снизился на 2% (табл.). Положительной динамикой показателя отличились: Калининградская область (+32%), Архангельская область (+8%), г. Санкт-Петербург (+4%).</w:t>
      </w:r>
    </w:p>
    <w:p w14:paraId="5FC6353C" w14:textId="77777777" w:rsidR="00E303F1" w:rsidRDefault="00E303F1" w:rsidP="00E303F1">
      <w:pPr>
        <w:spacing w:after="0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14:paraId="51F53841" w14:textId="77777777" w:rsidR="00E303F1" w:rsidRPr="007A097E" w:rsidRDefault="00E303F1" w:rsidP="00E303F1">
      <w:pPr>
        <w:suppressAutoHyphens/>
        <w:spacing w:after="120" w:line="240" w:lineRule="auto"/>
        <w:outlineLvl w:val="2"/>
        <w:rPr>
          <w:rFonts w:ascii="Arial Narrow" w:hAnsi="Arial Narrow" w:cs="Arial"/>
          <w:color w:val="0079C2"/>
          <w:sz w:val="24"/>
          <w:szCs w:val="24"/>
        </w:rPr>
      </w:pPr>
      <w:proofErr w:type="gramStart"/>
      <w:r>
        <w:rPr>
          <w:rFonts w:ascii="Arial Narrow" w:hAnsi="Arial Narrow" w:cs="Arial"/>
          <w:color w:val="0079C2"/>
          <w:sz w:val="24"/>
          <w:szCs w:val="24"/>
        </w:rPr>
        <w:t xml:space="preserve">Таблица </w:t>
      </w:r>
      <w:r w:rsidRPr="007A097E">
        <w:rPr>
          <w:rFonts w:ascii="Arial Narrow" w:hAnsi="Arial Narrow" w:cs="Arial"/>
          <w:color w:val="0079C2"/>
          <w:sz w:val="24"/>
          <w:szCs w:val="24"/>
        </w:rPr>
        <w:t>.</w:t>
      </w:r>
      <w:proofErr w:type="gramEnd"/>
      <w:r w:rsidRPr="007A097E">
        <w:rPr>
          <w:rFonts w:ascii="Arial Narrow" w:hAnsi="Arial Narrow" w:cs="Arial"/>
          <w:color w:val="0079C2"/>
          <w:sz w:val="24"/>
          <w:szCs w:val="24"/>
        </w:rPr>
        <w:t xml:space="preserve"> </w:t>
      </w:r>
      <w:r w:rsidRPr="007A097E">
        <w:rPr>
          <w:rFonts w:ascii="Arial Narrow" w:hAnsi="Arial Narrow" w:cs="Arial"/>
          <w:b/>
          <w:bCs/>
          <w:color w:val="0079C2"/>
          <w:sz w:val="24"/>
          <w:szCs w:val="24"/>
        </w:rPr>
        <w:t xml:space="preserve">Динамика </w:t>
      </w:r>
      <w:r>
        <w:rPr>
          <w:rFonts w:ascii="Arial Narrow" w:hAnsi="Arial Narrow" w:cs="Arial"/>
          <w:b/>
          <w:bCs/>
          <w:color w:val="0079C2"/>
          <w:sz w:val="24"/>
          <w:szCs w:val="24"/>
        </w:rPr>
        <w:t>междупортовых перевозок морским транспортом</w:t>
      </w:r>
      <w:r w:rsidRPr="007A097E">
        <w:rPr>
          <w:rFonts w:ascii="Arial Narrow" w:hAnsi="Arial Narrow" w:cs="Arial"/>
          <w:b/>
          <w:bCs/>
          <w:color w:val="0079C2"/>
          <w:sz w:val="24"/>
          <w:szCs w:val="24"/>
        </w:rPr>
        <w:t xml:space="preserve"> регионов СЗФО </w:t>
      </w:r>
      <w:r w:rsidRPr="007A097E">
        <w:rPr>
          <w:rFonts w:ascii="Arial Narrow" w:hAnsi="Arial Narrow" w:cs="Arial"/>
          <w:b/>
          <w:color w:val="0079C2"/>
          <w:sz w:val="24"/>
          <w:szCs w:val="24"/>
        </w:rPr>
        <w:t>в 202</w:t>
      </w:r>
      <w:r>
        <w:rPr>
          <w:rFonts w:ascii="Arial Narrow" w:hAnsi="Arial Narrow" w:cs="Arial"/>
          <w:b/>
          <w:color w:val="0079C2"/>
          <w:sz w:val="24"/>
          <w:szCs w:val="24"/>
        </w:rPr>
        <w:t>2</w:t>
      </w:r>
      <w:r w:rsidRPr="007A097E">
        <w:rPr>
          <w:rFonts w:ascii="Arial Narrow" w:hAnsi="Arial Narrow" w:cs="Arial"/>
          <w:b/>
          <w:color w:val="0079C2"/>
          <w:sz w:val="24"/>
          <w:szCs w:val="24"/>
        </w:rPr>
        <w:t>–202</w:t>
      </w:r>
      <w:r>
        <w:rPr>
          <w:rFonts w:ascii="Arial Narrow" w:hAnsi="Arial Narrow" w:cs="Arial"/>
          <w:b/>
          <w:color w:val="0079C2"/>
          <w:sz w:val="24"/>
          <w:szCs w:val="24"/>
        </w:rPr>
        <w:t>4</w:t>
      </w:r>
      <w:r w:rsidRPr="007A097E">
        <w:rPr>
          <w:rFonts w:ascii="Arial Narrow" w:hAnsi="Arial Narrow" w:cs="Arial"/>
          <w:b/>
          <w:color w:val="0079C2"/>
          <w:sz w:val="24"/>
          <w:szCs w:val="24"/>
        </w:rPr>
        <w:t xml:space="preserve"> </w:t>
      </w:r>
      <w:proofErr w:type="spellStart"/>
      <w:proofErr w:type="gramStart"/>
      <w:r w:rsidRPr="007A097E">
        <w:rPr>
          <w:rFonts w:ascii="Arial Narrow" w:hAnsi="Arial Narrow" w:cs="Arial"/>
          <w:b/>
          <w:color w:val="0079C2"/>
          <w:sz w:val="24"/>
          <w:szCs w:val="24"/>
        </w:rPr>
        <w:t>гг.</w:t>
      </w:r>
      <w:r>
        <w:rPr>
          <w:rFonts w:ascii="Arial Narrow" w:hAnsi="Arial Narrow" w:cs="Arial"/>
          <w:color w:val="0079C2"/>
          <w:sz w:val="24"/>
          <w:szCs w:val="24"/>
        </w:rPr>
        <w:t>,</w:t>
      </w:r>
      <w:r w:rsidRPr="007A097E">
        <w:rPr>
          <w:rFonts w:ascii="Arial Narrow" w:hAnsi="Arial Narrow" w:cs="Arial"/>
          <w:color w:val="0079C2"/>
          <w:sz w:val="24"/>
          <w:szCs w:val="24"/>
        </w:rPr>
        <w:t>в</w:t>
      </w:r>
      <w:proofErr w:type="spellEnd"/>
      <w:proofErr w:type="gramEnd"/>
      <w:r w:rsidRPr="007A097E">
        <w:rPr>
          <w:rFonts w:ascii="Arial Narrow" w:hAnsi="Arial Narrow" w:cs="Arial"/>
          <w:color w:val="0079C2"/>
          <w:sz w:val="24"/>
          <w:szCs w:val="24"/>
        </w:rPr>
        <w:t xml:space="preserve"> % к соответствующему периоду предыдущего года</w:t>
      </w:r>
    </w:p>
    <w:p w14:paraId="477C0050" w14:textId="77777777" w:rsidR="00E303F1" w:rsidRDefault="00E303F1" w:rsidP="00E303F1">
      <w:pPr>
        <w:jc w:val="both"/>
        <w:rPr>
          <w:rFonts w:ascii="Times New Roman" w:hAnsi="Times New Roman"/>
          <w:spacing w:val="-2"/>
          <w:sz w:val="24"/>
          <w:szCs w:val="24"/>
        </w:rPr>
      </w:pPr>
      <w:r w:rsidRPr="002D2FC6">
        <w:rPr>
          <w:noProof/>
        </w:rPr>
        <w:lastRenderedPageBreak/>
        <w:drawing>
          <wp:inline distT="0" distB="0" distL="0" distR="0" wp14:anchorId="205448ED" wp14:editId="5C7E7394">
            <wp:extent cx="5838825" cy="21050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24C9B6" w14:textId="77777777" w:rsidR="00E303F1" w:rsidRDefault="00E303F1" w:rsidP="00E303F1">
      <w:pPr>
        <w:spacing w:after="0"/>
        <w:jc w:val="both"/>
        <w:rPr>
          <w:rFonts w:ascii="Arial Narrow" w:hAnsi="Arial Narrow" w:cs="Arial"/>
          <w:sz w:val="18"/>
          <w:szCs w:val="18"/>
        </w:rPr>
      </w:pPr>
      <w:r w:rsidRPr="007A097E">
        <w:rPr>
          <w:rFonts w:ascii="Arial Narrow" w:hAnsi="Arial Narrow" w:cs="Arial"/>
          <w:sz w:val="18"/>
          <w:szCs w:val="18"/>
        </w:rPr>
        <w:t>**Ранг соответствующего региона и федерального округа по объему п</w:t>
      </w:r>
      <w:r>
        <w:rPr>
          <w:rFonts w:ascii="Arial Narrow" w:hAnsi="Arial Narrow" w:cs="Arial"/>
          <w:sz w:val="18"/>
          <w:szCs w:val="18"/>
        </w:rPr>
        <w:t>роизводства на 1 жителя среди 26</w:t>
      </w:r>
      <w:r w:rsidRPr="007A097E">
        <w:rPr>
          <w:rFonts w:ascii="Arial Narrow" w:hAnsi="Arial Narrow" w:cs="Arial"/>
          <w:sz w:val="18"/>
          <w:szCs w:val="18"/>
        </w:rPr>
        <w:t xml:space="preserve"> субъектов федерации и 8 федеральных округов.</w:t>
      </w:r>
    </w:p>
    <w:p w14:paraId="4D5B445A" w14:textId="77777777" w:rsidR="00E303F1" w:rsidRDefault="00E303F1" w:rsidP="00E303F1">
      <w:pPr>
        <w:spacing w:before="240" w:after="0"/>
        <w:jc w:val="both"/>
        <w:rPr>
          <w:rFonts w:ascii="Arial Narrow" w:hAnsi="Arial Narrow" w:cs="Arial"/>
          <w:sz w:val="18"/>
          <w:szCs w:val="18"/>
          <w:lang w:val="en-US"/>
        </w:rPr>
      </w:pPr>
      <w:r w:rsidRPr="002F48E0">
        <w:rPr>
          <w:rFonts w:ascii="Arial Narrow" w:hAnsi="Arial Narrow" w:cs="Arial"/>
          <w:sz w:val="18"/>
          <w:szCs w:val="18"/>
        </w:rPr>
        <w:t>Источники: составлен</w:t>
      </w:r>
      <w:r>
        <w:rPr>
          <w:rFonts w:ascii="Arial Narrow" w:hAnsi="Arial Narrow" w:cs="Arial"/>
          <w:sz w:val="18"/>
          <w:szCs w:val="18"/>
        </w:rPr>
        <w:t>о на основе данных Росстата и ЕМИСС (Объем междупортовых перевозок грузов морским транспортом</w:t>
      </w:r>
      <w:r w:rsidRPr="002F48E0">
        <w:rPr>
          <w:rFonts w:ascii="Arial Narrow" w:hAnsi="Arial Narrow" w:cs="Arial"/>
          <w:sz w:val="18"/>
          <w:szCs w:val="18"/>
        </w:rPr>
        <w:t xml:space="preserve">. </w:t>
      </w:r>
      <w:r w:rsidRPr="002F48E0">
        <w:rPr>
          <w:rFonts w:ascii="Arial Narrow" w:hAnsi="Arial Narrow" w:cs="Arial"/>
          <w:sz w:val="18"/>
          <w:szCs w:val="18"/>
          <w:lang w:val="en-US"/>
        </w:rPr>
        <w:t>URL</w:t>
      </w:r>
      <w:r w:rsidRPr="002F48E0">
        <w:rPr>
          <w:rFonts w:ascii="Arial Narrow" w:hAnsi="Arial Narrow" w:cs="Arial"/>
          <w:sz w:val="18"/>
          <w:szCs w:val="18"/>
        </w:rPr>
        <w:t xml:space="preserve">: </w:t>
      </w:r>
      <w:r w:rsidRPr="00FF4973">
        <w:rPr>
          <w:rFonts w:ascii="Arial Narrow" w:hAnsi="Arial Narrow" w:cs="Arial"/>
          <w:sz w:val="18"/>
          <w:szCs w:val="18"/>
        </w:rPr>
        <w:t>https://www.fedstat.ru/indicator/39233</w:t>
      </w:r>
      <w:r w:rsidRPr="002F48E0">
        <w:rPr>
          <w:rFonts w:ascii="Arial Narrow" w:hAnsi="Arial Narrow" w:cs="Arial"/>
          <w:sz w:val="18"/>
          <w:szCs w:val="18"/>
        </w:rPr>
        <w:t xml:space="preserve">; Объем отгруженных товаров собственного производства … по субъектам РФ. Годовые данные. </w:t>
      </w:r>
      <w:r w:rsidRPr="002F48E0">
        <w:rPr>
          <w:rFonts w:ascii="Arial Narrow" w:hAnsi="Arial Narrow" w:cs="Arial"/>
          <w:sz w:val="18"/>
          <w:szCs w:val="18"/>
          <w:lang w:val="en-US"/>
        </w:rPr>
        <w:t>URL</w:t>
      </w:r>
      <w:r w:rsidRPr="002F48E0">
        <w:rPr>
          <w:rFonts w:ascii="Arial Narrow" w:hAnsi="Arial Narrow" w:cs="Arial"/>
          <w:sz w:val="18"/>
          <w:szCs w:val="18"/>
        </w:rPr>
        <w:t xml:space="preserve">: </w:t>
      </w:r>
      <w:hyperlink r:id="rId8" w:history="1">
        <w:r w:rsidRPr="0004400D">
          <w:rPr>
            <w:rStyle w:val="a5"/>
            <w:rFonts w:ascii="Arial Narrow" w:hAnsi="Arial Narrow"/>
            <w:sz w:val="18"/>
            <w:szCs w:val="18"/>
          </w:rPr>
          <w:t>https://www.fedstat.ru/indicator/57711</w:t>
        </w:r>
      </w:hyperlink>
      <w:r>
        <w:rPr>
          <w:rFonts w:ascii="Arial Narrow" w:hAnsi="Arial Narrow" w:cs="Arial"/>
          <w:sz w:val="18"/>
          <w:szCs w:val="18"/>
        </w:rPr>
        <w:t xml:space="preserve">; </w:t>
      </w:r>
      <w:r w:rsidRPr="002F48E0">
        <w:rPr>
          <w:rFonts w:ascii="Arial Narrow" w:hAnsi="Arial Narrow" w:cs="Arial"/>
          <w:sz w:val="18"/>
          <w:szCs w:val="18"/>
        </w:rPr>
        <w:t>Оценка численности постоянного населения на 1 января 202</w:t>
      </w:r>
      <w:r>
        <w:rPr>
          <w:rFonts w:ascii="Arial Narrow" w:hAnsi="Arial Narrow" w:cs="Arial"/>
          <w:sz w:val="18"/>
          <w:szCs w:val="18"/>
        </w:rPr>
        <w:t>4</w:t>
      </w:r>
      <w:r w:rsidRPr="002F48E0">
        <w:rPr>
          <w:rFonts w:ascii="Arial Narrow" w:hAnsi="Arial Narrow" w:cs="Arial"/>
          <w:sz w:val="18"/>
          <w:szCs w:val="18"/>
        </w:rPr>
        <w:t xml:space="preserve"> г. и в среднем за 202</w:t>
      </w:r>
      <w:r>
        <w:rPr>
          <w:rFonts w:ascii="Arial Narrow" w:hAnsi="Arial Narrow" w:cs="Arial"/>
          <w:sz w:val="18"/>
          <w:szCs w:val="18"/>
        </w:rPr>
        <w:t>3</w:t>
      </w:r>
      <w:r w:rsidRPr="002F48E0">
        <w:rPr>
          <w:rFonts w:ascii="Arial Narrow" w:hAnsi="Arial Narrow" w:cs="Arial"/>
          <w:sz w:val="18"/>
          <w:szCs w:val="18"/>
        </w:rPr>
        <w:t xml:space="preserve"> г. и компоненты ее изменения. </w:t>
      </w:r>
      <w:r w:rsidRPr="002F48E0">
        <w:rPr>
          <w:rFonts w:ascii="Arial Narrow" w:hAnsi="Arial Narrow" w:cs="Arial"/>
          <w:sz w:val="18"/>
          <w:szCs w:val="18"/>
          <w:lang w:val="en-US"/>
        </w:rPr>
        <w:t xml:space="preserve">URL: </w:t>
      </w:r>
      <w:hyperlink r:id="rId9" w:history="1">
        <w:r w:rsidRPr="00D22BF3">
          <w:rPr>
            <w:rStyle w:val="a5"/>
            <w:rFonts w:ascii="Arial Narrow" w:hAnsi="Arial Narrow"/>
            <w:sz w:val="18"/>
            <w:szCs w:val="18"/>
            <w:lang w:val="en-US"/>
          </w:rPr>
          <w:t>https://rosstat.gov.ru/storage/mediabank/Popul_Comp2023_site.xls</w:t>
        </w:r>
      </w:hyperlink>
      <w:r w:rsidRPr="002F48E0">
        <w:rPr>
          <w:rFonts w:ascii="Arial Narrow" w:hAnsi="Arial Narrow" w:cs="Arial"/>
          <w:sz w:val="18"/>
          <w:szCs w:val="18"/>
          <w:lang w:val="en-US"/>
        </w:rPr>
        <w:t>).</w:t>
      </w:r>
    </w:p>
    <w:p w14:paraId="415A06A3" w14:textId="77777777" w:rsidR="00E303F1" w:rsidRPr="007370B4" w:rsidRDefault="00E303F1" w:rsidP="00E303F1">
      <w:pPr>
        <w:jc w:val="both"/>
        <w:rPr>
          <w:rFonts w:ascii="Times New Roman" w:hAnsi="Times New Roman"/>
          <w:spacing w:val="-2"/>
          <w:sz w:val="24"/>
          <w:szCs w:val="24"/>
          <w:lang w:val="en-US"/>
        </w:rPr>
      </w:pPr>
    </w:p>
    <w:p w14:paraId="35BD822B" w14:textId="77777777" w:rsidR="00E303F1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Объем перевозок грузов морским транспортом в Балтийском бассейне уменьшился на 0,2% и составил 232 млн тонн. Спад показателя связан со снижением объемов перевалки наливных грузов (-7%), в особенности в Санкт-Петербурге (-25%), что связано с перестройкой транспортных цепочек порта в сторону контейнерных перевозок.  Несмотря на спад объемов перевалки, вырос показатель грузооборота, что указывает на увеличение расстояния маршрутов и поиск новых транзитных портов. </w:t>
      </w:r>
      <w:r w:rsidRPr="00074FB3">
        <w:rPr>
          <w:rFonts w:ascii="Times New Roman" w:hAnsi="Times New Roman"/>
          <w:spacing w:val="-2"/>
          <w:sz w:val="24"/>
          <w:szCs w:val="24"/>
        </w:rPr>
        <w:t>Грузооборот морских портов Балтийского бассейна составил 273 млн тонн (+0,6%), из них объ</w:t>
      </w:r>
      <w:r>
        <w:rPr>
          <w:rFonts w:ascii="Times New Roman" w:hAnsi="Times New Roman"/>
          <w:spacing w:val="-2"/>
          <w:sz w:val="24"/>
          <w:szCs w:val="24"/>
        </w:rPr>
        <w:t>е</w:t>
      </w:r>
      <w:r w:rsidRPr="00074FB3">
        <w:rPr>
          <w:rFonts w:ascii="Times New Roman" w:hAnsi="Times New Roman"/>
          <w:spacing w:val="-2"/>
          <w:sz w:val="24"/>
          <w:szCs w:val="24"/>
        </w:rPr>
        <w:t>м перевалки сухих грузов составил 12</w:t>
      </w:r>
      <w:r>
        <w:rPr>
          <w:rFonts w:ascii="Times New Roman" w:hAnsi="Times New Roman"/>
          <w:spacing w:val="-2"/>
          <w:sz w:val="24"/>
          <w:szCs w:val="24"/>
        </w:rPr>
        <w:t>4</w:t>
      </w:r>
      <w:r w:rsidRPr="00074FB3">
        <w:rPr>
          <w:rFonts w:ascii="Times New Roman" w:hAnsi="Times New Roman"/>
          <w:spacing w:val="-2"/>
          <w:sz w:val="24"/>
          <w:szCs w:val="24"/>
        </w:rPr>
        <w:t xml:space="preserve"> млн тонн (+7%), наливных грузов – 149 млн тонн (-</w:t>
      </w:r>
      <w:r>
        <w:rPr>
          <w:rFonts w:ascii="Times New Roman" w:hAnsi="Times New Roman"/>
          <w:spacing w:val="-2"/>
          <w:sz w:val="24"/>
          <w:szCs w:val="24"/>
        </w:rPr>
        <w:t>4</w:t>
      </w:r>
      <w:r w:rsidRPr="00074FB3">
        <w:rPr>
          <w:rFonts w:ascii="Times New Roman" w:hAnsi="Times New Roman"/>
          <w:spacing w:val="-2"/>
          <w:sz w:val="24"/>
          <w:szCs w:val="24"/>
        </w:rPr>
        <w:t>%). Грузооборот порта Усть-Луга составил 135 млн т (-0,2%), Приморск – 6</w:t>
      </w:r>
      <w:r>
        <w:rPr>
          <w:rFonts w:ascii="Times New Roman" w:hAnsi="Times New Roman"/>
          <w:spacing w:val="-2"/>
          <w:sz w:val="24"/>
          <w:szCs w:val="24"/>
        </w:rPr>
        <w:t>1</w:t>
      </w:r>
      <w:r w:rsidRPr="00074FB3">
        <w:rPr>
          <w:rFonts w:ascii="Times New Roman" w:hAnsi="Times New Roman"/>
          <w:spacing w:val="-2"/>
          <w:sz w:val="24"/>
          <w:szCs w:val="24"/>
        </w:rPr>
        <w:t xml:space="preserve"> млн т (-</w:t>
      </w:r>
      <w:r>
        <w:rPr>
          <w:rFonts w:ascii="Times New Roman" w:hAnsi="Times New Roman"/>
          <w:spacing w:val="-2"/>
          <w:sz w:val="24"/>
          <w:szCs w:val="24"/>
        </w:rPr>
        <w:t>4</w:t>
      </w:r>
      <w:r w:rsidRPr="00074FB3">
        <w:rPr>
          <w:rFonts w:ascii="Times New Roman" w:hAnsi="Times New Roman"/>
          <w:spacing w:val="-2"/>
          <w:sz w:val="24"/>
          <w:szCs w:val="24"/>
        </w:rPr>
        <w:t>%), Большой порт Санкт-Петербург – 52 млн т (+</w:t>
      </w:r>
      <w:r>
        <w:rPr>
          <w:rFonts w:ascii="Times New Roman" w:hAnsi="Times New Roman"/>
          <w:spacing w:val="-2"/>
          <w:sz w:val="24"/>
          <w:szCs w:val="24"/>
        </w:rPr>
        <w:t>7</w:t>
      </w:r>
      <w:r w:rsidRPr="00074FB3">
        <w:rPr>
          <w:rFonts w:ascii="Times New Roman" w:hAnsi="Times New Roman"/>
          <w:spacing w:val="-2"/>
          <w:sz w:val="24"/>
          <w:szCs w:val="24"/>
        </w:rPr>
        <w:t>%), Высоцк – 12 млн т (-3%)</w:t>
      </w:r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1"/>
      </w:r>
      <w:r w:rsidRPr="00074FB3">
        <w:rPr>
          <w:rFonts w:ascii="Times New Roman" w:hAnsi="Times New Roman"/>
          <w:spacing w:val="-2"/>
          <w:sz w:val="24"/>
          <w:szCs w:val="24"/>
        </w:rPr>
        <w:t>.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</w:p>
    <w:p w14:paraId="42377520" w14:textId="77777777" w:rsidR="00E303F1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Поскольку подход к Санкт-Петербургу для крупнотоннажных кораблей ограничен глубиной морского канала, потребовалось найти новые транспортные хабы для транзита грузов, которые распределяли бы крупные поставки на более мелкие суда. В качестве таких портов выступили Танжер (Марокко) и Порт-Элизабет (ЮАР). Таким образом, грузооборот порта Санкт-Петербург вырос на 44% к показателю 2023 года, а рост всего Балтийского бассейна – в 2 раза до 2,1 млн тонн</w:t>
      </w:r>
      <w:r w:rsidRPr="00561727">
        <w:rPr>
          <w:rStyle w:val="a8"/>
          <w:rFonts w:ascii="Times New Roman" w:hAnsi="Times New Roman"/>
          <w:spacing w:val="-2"/>
          <w:sz w:val="24"/>
          <w:szCs w:val="24"/>
        </w:rPr>
        <w:footnoteReference w:id="2"/>
      </w:r>
      <w:r>
        <w:rPr>
          <w:rFonts w:ascii="Times New Roman" w:hAnsi="Times New Roman"/>
          <w:spacing w:val="-2"/>
          <w:sz w:val="24"/>
          <w:szCs w:val="24"/>
        </w:rPr>
        <w:t>.</w:t>
      </w:r>
    </w:p>
    <w:p w14:paraId="64952DBB" w14:textId="77777777" w:rsidR="00E303F1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Сохраняется тренд на усиление роли каботажных перевозок. Так, в значительно пострадавшей от санкций Калининградской области продолжает расти объем каботажа сухогрузов (в 3 раза к 2023 г.). </w:t>
      </w:r>
      <w:r w:rsidRPr="00A2794D">
        <w:rPr>
          <w:rFonts w:ascii="Times New Roman" w:hAnsi="Times New Roman"/>
          <w:spacing w:val="-2"/>
          <w:sz w:val="24"/>
          <w:szCs w:val="24"/>
        </w:rPr>
        <w:t>Морское сообщение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A2794D">
        <w:rPr>
          <w:rFonts w:ascii="Times New Roman" w:hAnsi="Times New Roman"/>
          <w:spacing w:val="-2"/>
          <w:sz w:val="24"/>
          <w:szCs w:val="24"/>
        </w:rPr>
        <w:t xml:space="preserve">– </w:t>
      </w:r>
      <w:r>
        <w:rPr>
          <w:rFonts w:ascii="Times New Roman" w:hAnsi="Times New Roman"/>
          <w:spacing w:val="-2"/>
          <w:sz w:val="24"/>
          <w:szCs w:val="24"/>
        </w:rPr>
        <w:t xml:space="preserve">основной вариант для перевозки грузов </w:t>
      </w:r>
      <w:r w:rsidRPr="00A2794D">
        <w:rPr>
          <w:rFonts w:ascii="Times New Roman" w:hAnsi="Times New Roman"/>
          <w:spacing w:val="-2"/>
          <w:sz w:val="24"/>
          <w:szCs w:val="24"/>
        </w:rPr>
        <w:lastRenderedPageBreak/>
        <w:t xml:space="preserve">в регион </w:t>
      </w:r>
      <w:r>
        <w:rPr>
          <w:rFonts w:ascii="Times New Roman" w:hAnsi="Times New Roman"/>
          <w:spacing w:val="-2"/>
          <w:sz w:val="24"/>
          <w:szCs w:val="24"/>
        </w:rPr>
        <w:t>по причине</w:t>
      </w:r>
      <w:r w:rsidRPr="00A2794D">
        <w:rPr>
          <w:rFonts w:ascii="Times New Roman" w:hAnsi="Times New Roman"/>
          <w:spacing w:val="-2"/>
          <w:sz w:val="24"/>
          <w:szCs w:val="24"/>
        </w:rPr>
        <w:t xml:space="preserve"> санкционного давления и сокращения наземного транзита через Литву.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A2794D">
        <w:rPr>
          <w:rFonts w:ascii="Times New Roman" w:hAnsi="Times New Roman"/>
          <w:spacing w:val="-2"/>
          <w:sz w:val="24"/>
          <w:szCs w:val="24"/>
        </w:rPr>
        <w:t>Состав флота: специализированные ж/д паромы, грузопассажирские паромы, универсальные суда, контейнеровозы, наливные суда</w:t>
      </w:r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3"/>
      </w:r>
      <w:r>
        <w:rPr>
          <w:rFonts w:ascii="Times New Roman" w:hAnsi="Times New Roman"/>
          <w:spacing w:val="-2"/>
          <w:sz w:val="24"/>
          <w:szCs w:val="24"/>
        </w:rPr>
        <w:t>.</w:t>
      </w:r>
    </w:p>
    <w:p w14:paraId="4A08485B" w14:textId="77777777" w:rsidR="00E303F1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Объем грузоперевозок морским транспортом в Арктическом бассейне регионов СЗФО сократился на 10% к 2023 г. </w:t>
      </w:r>
      <w:r w:rsidRPr="00951A73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074FB3">
        <w:rPr>
          <w:rFonts w:ascii="Times New Roman" w:hAnsi="Times New Roman"/>
          <w:spacing w:val="-2"/>
          <w:sz w:val="24"/>
          <w:szCs w:val="24"/>
        </w:rPr>
        <w:t xml:space="preserve">Грузооборот морских портов составил </w:t>
      </w:r>
      <w:r>
        <w:rPr>
          <w:rFonts w:ascii="Times New Roman" w:hAnsi="Times New Roman"/>
          <w:spacing w:val="-2"/>
          <w:sz w:val="24"/>
          <w:szCs w:val="24"/>
        </w:rPr>
        <w:t>59,8</w:t>
      </w:r>
      <w:r w:rsidRPr="00074FB3">
        <w:rPr>
          <w:rFonts w:ascii="Times New Roman" w:hAnsi="Times New Roman"/>
          <w:spacing w:val="-2"/>
          <w:sz w:val="24"/>
          <w:szCs w:val="24"/>
        </w:rPr>
        <w:t xml:space="preserve"> млн тонн (-</w:t>
      </w:r>
      <w:r>
        <w:rPr>
          <w:rFonts w:ascii="Times New Roman" w:hAnsi="Times New Roman"/>
          <w:spacing w:val="-2"/>
          <w:sz w:val="24"/>
          <w:szCs w:val="24"/>
        </w:rPr>
        <w:t>4</w:t>
      </w:r>
      <w:r w:rsidRPr="00074FB3">
        <w:rPr>
          <w:rFonts w:ascii="Times New Roman" w:hAnsi="Times New Roman"/>
          <w:spacing w:val="-2"/>
          <w:sz w:val="24"/>
          <w:szCs w:val="24"/>
        </w:rPr>
        <w:t>%)</w:t>
      </w:r>
      <w:r>
        <w:rPr>
          <w:rFonts w:ascii="Times New Roman" w:hAnsi="Times New Roman"/>
          <w:spacing w:val="-2"/>
          <w:sz w:val="24"/>
          <w:szCs w:val="24"/>
        </w:rPr>
        <w:t>.  Самое значительное падение показателя было отмечено в Мурманской области (-14%), причиной которого стала</w:t>
      </w:r>
      <w:r w:rsidRPr="00B34D12">
        <w:rPr>
          <w:rFonts w:ascii="Times New Roman" w:hAnsi="Times New Roman"/>
          <w:spacing w:val="-2"/>
          <w:sz w:val="24"/>
          <w:szCs w:val="24"/>
        </w:rPr>
        <w:t xml:space="preserve"> низкая рентабельность перевозок </w:t>
      </w:r>
      <w:r>
        <w:rPr>
          <w:rFonts w:ascii="Times New Roman" w:hAnsi="Times New Roman"/>
          <w:spacing w:val="-2"/>
          <w:sz w:val="24"/>
          <w:szCs w:val="24"/>
        </w:rPr>
        <w:t>в данном направлений</w:t>
      </w:r>
      <w:r w:rsidRPr="00B34D12"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и</w:t>
      </w:r>
      <w:r w:rsidRPr="00B34D12">
        <w:rPr>
          <w:rFonts w:ascii="Times New Roman" w:hAnsi="Times New Roman"/>
          <w:spacing w:val="-2"/>
          <w:sz w:val="24"/>
          <w:szCs w:val="24"/>
        </w:rPr>
        <w:t xml:space="preserve"> удаленност</w:t>
      </w:r>
      <w:r>
        <w:rPr>
          <w:rFonts w:ascii="Times New Roman" w:hAnsi="Times New Roman"/>
          <w:spacing w:val="-2"/>
          <w:sz w:val="24"/>
          <w:szCs w:val="24"/>
        </w:rPr>
        <w:t>ь</w:t>
      </w:r>
      <w:r w:rsidRPr="00B34D12">
        <w:rPr>
          <w:rFonts w:ascii="Times New Roman" w:hAnsi="Times New Roman"/>
          <w:spacing w:val="-2"/>
          <w:sz w:val="24"/>
          <w:szCs w:val="24"/>
        </w:rPr>
        <w:t xml:space="preserve"> порта от других гаваней Северо-Запада</w:t>
      </w:r>
      <w:bookmarkStart w:id="0" w:name="_Hlk196837206"/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4"/>
      </w:r>
      <w:bookmarkEnd w:id="0"/>
      <w:r w:rsidRPr="00B34D12">
        <w:rPr>
          <w:rFonts w:ascii="Times New Roman" w:hAnsi="Times New Roman"/>
          <w:spacing w:val="-2"/>
          <w:sz w:val="24"/>
          <w:szCs w:val="24"/>
        </w:rPr>
        <w:t xml:space="preserve">. </w:t>
      </w:r>
      <w:r>
        <w:rPr>
          <w:rFonts w:ascii="Times New Roman" w:hAnsi="Times New Roman"/>
          <w:spacing w:val="-2"/>
          <w:sz w:val="24"/>
          <w:szCs w:val="24"/>
        </w:rPr>
        <w:t xml:space="preserve">Основная загрузка мощностей порта Мурманск приходится на экспорт угля, вместе с тем для грузовладельцев рентабельность его перевозки стала отрицательной.  Снижение отмечено также в объемах грузооборота Мурманска, который </w:t>
      </w:r>
      <w:r w:rsidRPr="00074FB3">
        <w:rPr>
          <w:rFonts w:ascii="Times New Roman" w:hAnsi="Times New Roman"/>
          <w:spacing w:val="-2"/>
          <w:sz w:val="24"/>
          <w:szCs w:val="24"/>
        </w:rPr>
        <w:t>составил 52 млн т</w:t>
      </w:r>
      <w:r>
        <w:rPr>
          <w:rFonts w:ascii="Times New Roman" w:hAnsi="Times New Roman"/>
          <w:spacing w:val="-2"/>
          <w:sz w:val="24"/>
          <w:szCs w:val="24"/>
        </w:rPr>
        <w:t xml:space="preserve">онн, что на </w:t>
      </w:r>
      <w:r w:rsidRPr="00074FB3">
        <w:rPr>
          <w:rFonts w:ascii="Times New Roman" w:hAnsi="Times New Roman"/>
          <w:spacing w:val="-2"/>
          <w:sz w:val="24"/>
          <w:szCs w:val="24"/>
        </w:rPr>
        <w:t>10%</w:t>
      </w:r>
      <w:r>
        <w:rPr>
          <w:rFonts w:ascii="Times New Roman" w:hAnsi="Times New Roman"/>
          <w:spacing w:val="-2"/>
          <w:sz w:val="24"/>
          <w:szCs w:val="24"/>
        </w:rPr>
        <w:t xml:space="preserve"> меньше</w:t>
      </w:r>
      <w:r w:rsidRPr="00074FB3">
        <w:rPr>
          <w:rFonts w:ascii="Times New Roman" w:hAnsi="Times New Roman"/>
          <w:spacing w:val="-2"/>
          <w:sz w:val="24"/>
          <w:szCs w:val="24"/>
        </w:rPr>
        <w:t>,</w:t>
      </w:r>
      <w:r>
        <w:rPr>
          <w:rFonts w:ascii="Times New Roman" w:hAnsi="Times New Roman"/>
          <w:spacing w:val="-2"/>
          <w:sz w:val="24"/>
          <w:szCs w:val="24"/>
        </w:rPr>
        <w:t xml:space="preserve"> чем в 2023 году.</w:t>
      </w:r>
    </w:p>
    <w:p w14:paraId="3ACCBAB4" w14:textId="77777777" w:rsidR="00E303F1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Объем погрузки грузов в Ненецком АО также демонстрирует отрицательную динамику (-3% к 2023 году), отмечено и снижение грузооборота в порту </w:t>
      </w:r>
      <w:proofErr w:type="spellStart"/>
      <w:r>
        <w:rPr>
          <w:rFonts w:ascii="Times New Roman" w:hAnsi="Times New Roman"/>
          <w:spacing w:val="-2"/>
          <w:sz w:val="24"/>
          <w:szCs w:val="24"/>
        </w:rPr>
        <w:t>Варандей</w:t>
      </w:r>
      <w:proofErr w:type="spellEnd"/>
      <w:r>
        <w:rPr>
          <w:rFonts w:ascii="Times New Roman" w:hAnsi="Times New Roman"/>
          <w:spacing w:val="-2"/>
          <w:sz w:val="24"/>
          <w:szCs w:val="24"/>
        </w:rPr>
        <w:t xml:space="preserve"> (</w:t>
      </w:r>
      <w:r w:rsidRPr="00074FB3">
        <w:rPr>
          <w:rFonts w:ascii="Times New Roman" w:hAnsi="Times New Roman"/>
          <w:spacing w:val="-2"/>
          <w:sz w:val="24"/>
          <w:szCs w:val="24"/>
        </w:rPr>
        <w:t>5,1 млн т</w:t>
      </w:r>
      <w:r>
        <w:rPr>
          <w:rFonts w:ascii="Times New Roman" w:hAnsi="Times New Roman"/>
          <w:spacing w:val="-2"/>
          <w:sz w:val="24"/>
          <w:szCs w:val="24"/>
        </w:rPr>
        <w:t>онн</w:t>
      </w:r>
      <w:r w:rsidRPr="00074FB3">
        <w:rPr>
          <w:rFonts w:ascii="Times New Roman" w:hAnsi="Times New Roman"/>
          <w:spacing w:val="-2"/>
          <w:sz w:val="24"/>
          <w:szCs w:val="24"/>
        </w:rPr>
        <w:t xml:space="preserve"> (-2,6%)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06899">
        <w:rPr>
          <w:rFonts w:ascii="Times New Roman" w:hAnsi="Times New Roman"/>
          <w:spacing w:val="-2"/>
          <w:sz w:val="24"/>
          <w:szCs w:val="24"/>
          <w:vertAlign w:val="superscript"/>
        </w:rPr>
        <w:t>10</w:t>
      </w:r>
      <w:r>
        <w:rPr>
          <w:rFonts w:ascii="Times New Roman" w:hAnsi="Times New Roman"/>
          <w:spacing w:val="-2"/>
          <w:sz w:val="24"/>
          <w:szCs w:val="24"/>
        </w:rPr>
        <w:t>. Причиной стали колебания цен на рынке нефти и нефтепродуктов. С учетом того, что в январе 2025 года администрацией США были введены санкции на экспорт российской нефти, следует ожидать дальнейшее снижение грузооборота порта, поскольку работа танкерного флота будет приостановлена.</w:t>
      </w:r>
    </w:p>
    <w:p w14:paraId="5B235797" w14:textId="77777777" w:rsidR="00E303F1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trike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Порт Архангельск в 2024 году напротив демонстрирует рост показателей перевалки грузов (+8%) и грузооборота (+39%), что во много связано с развитием экспортно-импортных (рост в 3 раза) и каботажных перевозок (+5%)</w:t>
      </w:r>
      <w:r w:rsidRPr="00D06899">
        <w:rPr>
          <w:rFonts w:ascii="Times New Roman" w:hAnsi="Times New Roman"/>
          <w:spacing w:val="-2"/>
          <w:sz w:val="24"/>
          <w:szCs w:val="24"/>
          <w:vertAlign w:val="superscript"/>
        </w:rPr>
        <w:t>10</w:t>
      </w:r>
      <w:r w:rsidRPr="00D06899">
        <w:rPr>
          <w:rFonts w:ascii="Times New Roman" w:hAnsi="Times New Roman"/>
          <w:spacing w:val="-2"/>
          <w:sz w:val="24"/>
          <w:szCs w:val="24"/>
        </w:rPr>
        <w:t>.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CA12CE">
        <w:rPr>
          <w:rFonts w:ascii="Times New Roman" w:hAnsi="Times New Roman"/>
          <w:spacing w:val="-2"/>
          <w:sz w:val="24"/>
          <w:szCs w:val="24"/>
        </w:rPr>
        <w:t>География каботажных маршрутов архангельского порта охватывает всю акваторию российских арктических морей. Отработаны</w:t>
      </w:r>
      <w:r>
        <w:rPr>
          <w:rFonts w:ascii="Times New Roman" w:hAnsi="Times New Roman"/>
          <w:spacing w:val="-2"/>
          <w:sz w:val="24"/>
          <w:szCs w:val="24"/>
        </w:rPr>
        <w:t xml:space="preserve"> направления</w:t>
      </w:r>
      <w:r w:rsidRPr="00CA12CE">
        <w:rPr>
          <w:rFonts w:ascii="Times New Roman" w:hAnsi="Times New Roman"/>
          <w:spacing w:val="-2"/>
          <w:sz w:val="24"/>
          <w:szCs w:val="24"/>
        </w:rPr>
        <w:t xml:space="preserve"> снабжения на Новую Землю, Землю Франца-Иосифа, остров Врангеля, мыс Шмидта, Обскую и </w:t>
      </w:r>
      <w:proofErr w:type="spellStart"/>
      <w:r w:rsidRPr="00CA12CE">
        <w:rPr>
          <w:rFonts w:ascii="Times New Roman" w:hAnsi="Times New Roman"/>
          <w:spacing w:val="-2"/>
          <w:sz w:val="24"/>
          <w:szCs w:val="24"/>
        </w:rPr>
        <w:t>Байдарацкую</w:t>
      </w:r>
      <w:proofErr w:type="spellEnd"/>
      <w:r w:rsidRPr="00CA12CE">
        <w:rPr>
          <w:rFonts w:ascii="Times New Roman" w:hAnsi="Times New Roman"/>
          <w:spacing w:val="-2"/>
          <w:sz w:val="24"/>
          <w:szCs w:val="24"/>
        </w:rPr>
        <w:t xml:space="preserve"> губы</w:t>
      </w:r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5"/>
      </w:r>
      <w:r w:rsidRPr="00CA12CE">
        <w:rPr>
          <w:rFonts w:ascii="Times New Roman" w:hAnsi="Times New Roman"/>
          <w:spacing w:val="-2"/>
          <w:sz w:val="24"/>
          <w:szCs w:val="24"/>
        </w:rPr>
        <w:t xml:space="preserve">. </w:t>
      </w:r>
      <w:r>
        <w:rPr>
          <w:rFonts w:ascii="Times New Roman" w:hAnsi="Times New Roman"/>
          <w:spacing w:val="-2"/>
          <w:sz w:val="24"/>
          <w:szCs w:val="24"/>
        </w:rPr>
        <w:t xml:space="preserve">Новым транспортным маршрутом в логистической цепочке Архангельской области стал Египет. В направлении Александрии было отправлено шесть судов с сосновыми пиломатериалами Онежского лесопильного комбината </w:t>
      </w:r>
      <w:proofErr w:type="spellStart"/>
      <w:r>
        <w:rPr>
          <w:rFonts w:ascii="Times New Roman" w:hAnsi="Times New Roman"/>
          <w:spacing w:val="-2"/>
          <w:sz w:val="24"/>
          <w:szCs w:val="24"/>
          <w:lang w:val="en-US"/>
        </w:rPr>
        <w:t>Segezha</w:t>
      </w:r>
      <w:proofErr w:type="spellEnd"/>
      <w:r w:rsidRPr="001A00A5"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  <w:lang w:val="en-US"/>
        </w:rPr>
        <w:t>Group</w:t>
      </w:r>
      <w:r>
        <w:rPr>
          <w:rStyle w:val="a8"/>
          <w:rFonts w:ascii="Times New Roman" w:hAnsi="Times New Roman"/>
          <w:spacing w:val="-2"/>
          <w:sz w:val="24"/>
          <w:szCs w:val="24"/>
          <w:lang w:val="en-US"/>
        </w:rPr>
        <w:footnoteReference w:id="6"/>
      </w:r>
      <w:r w:rsidRPr="001A00A5">
        <w:rPr>
          <w:rFonts w:ascii="Times New Roman" w:hAnsi="Times New Roman"/>
          <w:spacing w:val="-2"/>
          <w:sz w:val="24"/>
          <w:szCs w:val="24"/>
        </w:rPr>
        <w:t>.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</w:p>
    <w:p w14:paraId="638B124D" w14:textId="5554894D" w:rsidR="00A346D0" w:rsidRDefault="00E303F1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6450BD">
        <w:rPr>
          <w:rFonts w:ascii="Times New Roman" w:hAnsi="Times New Roman"/>
          <w:spacing w:val="-2"/>
          <w:sz w:val="24"/>
          <w:szCs w:val="24"/>
        </w:rPr>
        <w:t xml:space="preserve">В 2024 году по Северному морскому пути </w:t>
      </w:r>
      <w:r>
        <w:rPr>
          <w:rFonts w:ascii="Times New Roman" w:hAnsi="Times New Roman"/>
          <w:spacing w:val="-2"/>
          <w:sz w:val="24"/>
          <w:szCs w:val="24"/>
        </w:rPr>
        <w:t>(СМП) было перевезено более 37,3 мл тонн грузов, как сообщает зам. Министра по развитию Дальнего Востока и Арктики данный показатель стал рекордным</w:t>
      </w:r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7"/>
      </w:r>
      <w:r>
        <w:rPr>
          <w:rFonts w:ascii="Times New Roman" w:hAnsi="Times New Roman"/>
          <w:spacing w:val="-2"/>
          <w:sz w:val="24"/>
          <w:szCs w:val="24"/>
        </w:rPr>
        <w:t xml:space="preserve">. Однако вопросы показателей развития СМП являются </w:t>
      </w:r>
      <w:r>
        <w:rPr>
          <w:rFonts w:ascii="Times New Roman" w:hAnsi="Times New Roman"/>
          <w:spacing w:val="-2"/>
          <w:sz w:val="24"/>
          <w:szCs w:val="24"/>
        </w:rPr>
        <w:lastRenderedPageBreak/>
        <w:t xml:space="preserve">дискуссионными в научной среде. На </w:t>
      </w:r>
      <w:r>
        <w:rPr>
          <w:rFonts w:ascii="Times New Roman" w:hAnsi="Times New Roman"/>
          <w:spacing w:val="-2"/>
          <w:sz w:val="24"/>
          <w:szCs w:val="24"/>
          <w:lang w:val="en-US"/>
        </w:rPr>
        <w:t>X</w:t>
      </w:r>
      <w:r>
        <w:rPr>
          <w:rFonts w:ascii="Times New Roman" w:hAnsi="Times New Roman"/>
          <w:spacing w:val="-2"/>
          <w:sz w:val="24"/>
          <w:szCs w:val="24"/>
        </w:rPr>
        <w:t xml:space="preserve"> конференции «Дальний Восток и Арктика», состоявшейся в марте 2024 года, глава ФГБУ «</w:t>
      </w:r>
      <w:proofErr w:type="spellStart"/>
      <w:r>
        <w:rPr>
          <w:rFonts w:ascii="Times New Roman" w:hAnsi="Times New Roman"/>
          <w:spacing w:val="-2"/>
          <w:sz w:val="24"/>
          <w:szCs w:val="24"/>
        </w:rPr>
        <w:t>Главсевморпуть</w:t>
      </w:r>
      <w:proofErr w:type="spellEnd"/>
      <w:r>
        <w:rPr>
          <w:rFonts w:ascii="Times New Roman" w:hAnsi="Times New Roman"/>
          <w:spacing w:val="-2"/>
          <w:sz w:val="24"/>
          <w:szCs w:val="24"/>
        </w:rPr>
        <w:t>» докладывал о результативности работы СМП – рост грузооборота, проход судов с глубокой посадкой, совершенствование ледовых маршрутов, однако его доклад был встречен неоднозначной реакцией</w:t>
      </w:r>
      <w:r w:rsidRPr="006450BD">
        <w:rPr>
          <w:rStyle w:val="a8"/>
          <w:rFonts w:ascii="Times New Roman" w:hAnsi="Times New Roman"/>
          <w:spacing w:val="-2"/>
          <w:sz w:val="24"/>
          <w:szCs w:val="24"/>
        </w:rPr>
        <w:footnoteReference w:id="8"/>
      </w:r>
      <w:r>
        <w:rPr>
          <w:rFonts w:ascii="Times New Roman" w:hAnsi="Times New Roman"/>
          <w:spacing w:val="-2"/>
          <w:sz w:val="24"/>
          <w:szCs w:val="24"/>
        </w:rPr>
        <w:t xml:space="preserve">. </w:t>
      </w:r>
      <w:r w:rsidRPr="00AB4FDB">
        <w:rPr>
          <w:rFonts w:ascii="Times New Roman" w:hAnsi="Times New Roman"/>
          <w:spacing w:val="-2"/>
          <w:sz w:val="24"/>
          <w:szCs w:val="24"/>
        </w:rPr>
        <w:t>Модератор и спикер форума Михаил Григорьев, директор компании «</w:t>
      </w:r>
      <w:proofErr w:type="spellStart"/>
      <w:r w:rsidRPr="00AB4FDB">
        <w:rPr>
          <w:rFonts w:ascii="Times New Roman" w:hAnsi="Times New Roman"/>
          <w:spacing w:val="-2"/>
          <w:sz w:val="24"/>
          <w:szCs w:val="24"/>
        </w:rPr>
        <w:t>Гекон</w:t>
      </w:r>
      <w:proofErr w:type="spellEnd"/>
      <w:r w:rsidRPr="00AB4FDB">
        <w:rPr>
          <w:rFonts w:ascii="Times New Roman" w:hAnsi="Times New Roman"/>
          <w:spacing w:val="-2"/>
          <w:sz w:val="24"/>
          <w:szCs w:val="24"/>
        </w:rPr>
        <w:t>» и член Научного совета РАН по изучению Арктики и Антарктики</w:t>
      </w:r>
      <w:r>
        <w:rPr>
          <w:rFonts w:ascii="Times New Roman" w:hAnsi="Times New Roman"/>
          <w:spacing w:val="-2"/>
          <w:sz w:val="24"/>
          <w:szCs w:val="24"/>
        </w:rPr>
        <w:t xml:space="preserve"> указал на то, что планы загрузки СМП выполнены наполовину, а текущие результаты лишь превышают советские показатели</w:t>
      </w:r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9"/>
      </w:r>
      <w:r>
        <w:rPr>
          <w:rFonts w:ascii="Times New Roman" w:hAnsi="Times New Roman"/>
          <w:spacing w:val="-2"/>
          <w:sz w:val="24"/>
          <w:szCs w:val="24"/>
        </w:rPr>
        <w:t>.</w:t>
      </w:r>
      <w:r w:rsidRPr="002763EF"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К тому же текущие планы выполняются всего двумя компаниями – «</w:t>
      </w:r>
      <w:proofErr w:type="spellStart"/>
      <w:r>
        <w:rPr>
          <w:rFonts w:ascii="Times New Roman" w:hAnsi="Times New Roman"/>
          <w:spacing w:val="-2"/>
          <w:sz w:val="24"/>
          <w:szCs w:val="24"/>
        </w:rPr>
        <w:t>НоваТЭК</w:t>
      </w:r>
      <w:proofErr w:type="spellEnd"/>
      <w:r>
        <w:rPr>
          <w:rFonts w:ascii="Times New Roman" w:hAnsi="Times New Roman"/>
          <w:spacing w:val="-2"/>
          <w:sz w:val="24"/>
          <w:szCs w:val="24"/>
        </w:rPr>
        <w:t xml:space="preserve">» и «Газпром нефть». </w:t>
      </w:r>
      <w:r w:rsidRPr="002763EF">
        <w:rPr>
          <w:rFonts w:ascii="Times New Roman" w:hAnsi="Times New Roman"/>
          <w:spacing w:val="-2"/>
          <w:sz w:val="24"/>
          <w:szCs w:val="24"/>
        </w:rPr>
        <w:t>Вновь развернулась дискуссия о транзитном судоходстве по Северному морскому пути и его показателях.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2763EF">
        <w:rPr>
          <w:rFonts w:ascii="Times New Roman" w:hAnsi="Times New Roman"/>
          <w:spacing w:val="-2"/>
          <w:sz w:val="24"/>
          <w:szCs w:val="24"/>
        </w:rPr>
        <w:t>Традиционное представление о транзитном судоходстве как о переходе из одного иностранного порта в другой, минуя российские, вс</w:t>
      </w:r>
      <w:r>
        <w:rPr>
          <w:rFonts w:ascii="Times New Roman" w:hAnsi="Times New Roman"/>
          <w:spacing w:val="-2"/>
          <w:sz w:val="24"/>
          <w:szCs w:val="24"/>
        </w:rPr>
        <w:t>е</w:t>
      </w:r>
      <w:r w:rsidRPr="002763EF">
        <w:rPr>
          <w:rFonts w:ascii="Times New Roman" w:hAnsi="Times New Roman"/>
          <w:spacing w:val="-2"/>
          <w:sz w:val="24"/>
          <w:szCs w:val="24"/>
        </w:rPr>
        <w:t xml:space="preserve"> объясняет. И если придерживаться этого определения, то текущий транзит по СМП </w:t>
      </w:r>
      <w:r>
        <w:rPr>
          <w:rFonts w:ascii="Times New Roman" w:hAnsi="Times New Roman"/>
          <w:spacing w:val="-2"/>
          <w:sz w:val="24"/>
          <w:szCs w:val="24"/>
        </w:rPr>
        <w:t xml:space="preserve">можно считать </w:t>
      </w:r>
      <w:r w:rsidRPr="002763EF">
        <w:rPr>
          <w:rFonts w:ascii="Times New Roman" w:hAnsi="Times New Roman"/>
          <w:spacing w:val="-2"/>
          <w:sz w:val="24"/>
          <w:szCs w:val="24"/>
        </w:rPr>
        <w:t>нулевым.</w:t>
      </w:r>
    </w:p>
    <w:p w14:paraId="32A8B4F1" w14:textId="77777777" w:rsidR="00A346D0" w:rsidRDefault="00A346D0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Подводя итоги за 2024 год, стоит отметить, что санкционная политика Запада продолжает оказывать влияние на логистику регионов Северо-Запада, что вынуждает Россию искать новые логистические маршруты, таковыми стали СМП и международный транспортный коридор «Север-Юг».</w:t>
      </w:r>
    </w:p>
    <w:p w14:paraId="0D32466A" w14:textId="2F50CB33" w:rsidR="00A346D0" w:rsidRDefault="00A346D0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Несмотря на то, что объемы перекачки газа по российским газопроводам были сокращены, а «Северные потоки» приостановили работу, увеличилось значение транспортировки сжиженного природного газа (СПГ) через порты Балтийского и Арктического бассейнов по маршруту Северного морского пути. Вопреки запретам на продажи топлива, Россия в 2024 году увеличила экспорт СПГ на 4% и достигла рекордных 33,6 млн тонн</w:t>
      </w:r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10"/>
      </w:r>
      <w:r>
        <w:rPr>
          <w:rFonts w:ascii="Times New Roman" w:hAnsi="Times New Roman"/>
          <w:spacing w:val="-2"/>
          <w:sz w:val="24"/>
          <w:szCs w:val="24"/>
        </w:rPr>
        <w:t>. О</w:t>
      </w:r>
      <w:r w:rsidRPr="00134E9B">
        <w:rPr>
          <w:rFonts w:ascii="Times New Roman" w:hAnsi="Times New Roman"/>
          <w:spacing w:val="-2"/>
          <w:sz w:val="24"/>
          <w:szCs w:val="24"/>
        </w:rPr>
        <w:t>коло 17,4 млн т, или 52%, всего экспортированного из России СПГ пришлось на рынок Европы</w:t>
      </w:r>
      <w:r>
        <w:rPr>
          <w:rStyle w:val="a8"/>
          <w:rFonts w:ascii="Times New Roman" w:hAnsi="Times New Roman"/>
          <w:spacing w:val="-2"/>
          <w:sz w:val="24"/>
          <w:szCs w:val="24"/>
        </w:rPr>
        <w:footnoteReference w:id="11"/>
      </w:r>
      <w:r w:rsidRPr="00134E9B">
        <w:rPr>
          <w:rFonts w:ascii="Times New Roman" w:hAnsi="Times New Roman"/>
          <w:spacing w:val="-2"/>
          <w:sz w:val="24"/>
          <w:szCs w:val="24"/>
        </w:rPr>
        <w:t>.</w:t>
      </w:r>
      <w:r>
        <w:rPr>
          <w:rFonts w:ascii="Times New Roman" w:hAnsi="Times New Roman"/>
          <w:spacing w:val="-2"/>
          <w:sz w:val="24"/>
          <w:szCs w:val="24"/>
        </w:rPr>
        <w:t xml:space="preserve"> Подобная ситуация демонстрирует успешную трансформацию логистической системы России и портов Северо-Запада. Развитие СПГ и его транспортировка через Северный морской путь могут оказаться перспективными технологиями для экспорта природного газа. Однако п</w:t>
      </w:r>
      <w:r w:rsidRPr="00134E9B">
        <w:rPr>
          <w:rFonts w:ascii="Times New Roman" w:hAnsi="Times New Roman"/>
          <w:spacing w:val="-2"/>
          <w:sz w:val="24"/>
          <w:szCs w:val="24"/>
        </w:rPr>
        <w:t xml:space="preserve">отребление газа в мире растет, </w:t>
      </w:r>
      <w:r>
        <w:rPr>
          <w:rFonts w:ascii="Times New Roman" w:hAnsi="Times New Roman"/>
          <w:spacing w:val="-2"/>
          <w:sz w:val="24"/>
          <w:szCs w:val="24"/>
        </w:rPr>
        <w:t>но</w:t>
      </w:r>
      <w:r w:rsidRPr="00134E9B">
        <w:rPr>
          <w:rFonts w:ascii="Times New Roman" w:hAnsi="Times New Roman"/>
          <w:spacing w:val="-2"/>
          <w:sz w:val="24"/>
          <w:szCs w:val="24"/>
        </w:rPr>
        <w:t xml:space="preserve"> из-за ухудшения экспортных ожиданий, особенно в части СПГ, через два года Россия может замедлить темпы газодобычи, которая в 2024 году выросла на 7,5%.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</w:p>
    <w:p w14:paraId="49902E88" w14:textId="3B55EA6D" w:rsidR="00EB10BE" w:rsidRDefault="00EB10BE" w:rsidP="00A346D0">
      <w:pPr>
        <w:spacing w:after="0" w:line="36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14:paraId="722E653D" w14:textId="77777777" w:rsidR="00EB10BE" w:rsidRDefault="00EB10BE" w:rsidP="00EB10BE">
      <w:pPr>
        <w:spacing w:after="0" w:line="360" w:lineRule="auto"/>
        <w:ind w:firstLine="709"/>
        <w:jc w:val="both"/>
        <w:rPr>
          <w:rFonts w:ascii="Times New Roman" w:hAnsi="Times New Roman"/>
          <w:spacing w:val="-6"/>
          <w:sz w:val="24"/>
          <w:szCs w:val="24"/>
        </w:rPr>
      </w:pPr>
      <w:r w:rsidRPr="00EB10BE">
        <w:rPr>
          <w:rFonts w:ascii="Times New Roman" w:hAnsi="Times New Roman"/>
          <w:i/>
          <w:iCs/>
          <w:spacing w:val="-6"/>
          <w:sz w:val="24"/>
          <w:szCs w:val="24"/>
        </w:rPr>
        <w:lastRenderedPageBreak/>
        <w:t>Финансирование:</w:t>
      </w:r>
      <w:r w:rsidRPr="00EB10BE">
        <w:rPr>
          <w:rFonts w:ascii="Times New Roman" w:hAnsi="Times New Roman"/>
          <w:spacing w:val="-6"/>
          <w:sz w:val="24"/>
          <w:szCs w:val="24"/>
        </w:rPr>
        <w:t xml:space="preserve"> Статья подготовлена в соответствии с государственным заданием для ФГБУН </w:t>
      </w:r>
      <w:proofErr w:type="spellStart"/>
      <w:r w:rsidRPr="00EB10BE">
        <w:rPr>
          <w:rFonts w:ascii="Times New Roman" w:hAnsi="Times New Roman"/>
          <w:spacing w:val="-6"/>
          <w:sz w:val="24"/>
          <w:szCs w:val="24"/>
        </w:rPr>
        <w:t>ВолНЦ</w:t>
      </w:r>
      <w:proofErr w:type="spellEnd"/>
      <w:r w:rsidRPr="00EB10BE">
        <w:rPr>
          <w:rFonts w:ascii="Times New Roman" w:hAnsi="Times New Roman"/>
          <w:spacing w:val="-6"/>
          <w:sz w:val="24"/>
          <w:szCs w:val="24"/>
        </w:rPr>
        <w:t xml:space="preserve"> РАН по теме НИР FMGZ-2025-0012 «Структурно-технологическая трансформация региональной экономики в условиях обеспечения национальной безопасности Российской Федерации: мониторинг, регулирование и прогноз».</w:t>
      </w:r>
    </w:p>
    <w:p w14:paraId="7CD428CE" w14:textId="77777777" w:rsidR="00EB10BE" w:rsidRDefault="00EB10BE" w:rsidP="00EB10BE">
      <w:pPr>
        <w:spacing w:after="0" w:line="360" w:lineRule="auto"/>
        <w:ind w:firstLine="709"/>
        <w:jc w:val="center"/>
        <w:rPr>
          <w:rFonts w:ascii="Times New Roman" w:hAnsi="Times New Roman"/>
          <w:spacing w:val="-2"/>
          <w:sz w:val="24"/>
          <w:szCs w:val="24"/>
        </w:rPr>
      </w:pPr>
    </w:p>
    <w:p w14:paraId="6A0F3B53" w14:textId="1FCFAAB2" w:rsidR="00EB10BE" w:rsidRPr="00EB10BE" w:rsidRDefault="00EB10BE" w:rsidP="00EB10BE">
      <w:pPr>
        <w:spacing w:after="0" w:line="360" w:lineRule="auto"/>
        <w:ind w:firstLine="709"/>
        <w:jc w:val="center"/>
        <w:rPr>
          <w:rFonts w:ascii="Times New Roman" w:hAnsi="Times New Roman"/>
          <w:spacing w:val="-2"/>
          <w:sz w:val="24"/>
          <w:szCs w:val="24"/>
        </w:rPr>
      </w:pPr>
      <w:r w:rsidRPr="00EB10BE">
        <w:rPr>
          <w:rFonts w:ascii="Times New Roman" w:hAnsi="Times New Roman"/>
          <w:spacing w:val="-2"/>
          <w:sz w:val="24"/>
          <w:szCs w:val="24"/>
        </w:rPr>
        <w:t>Информация об авторе</w:t>
      </w:r>
    </w:p>
    <w:p w14:paraId="27243241" w14:textId="66F39B96" w:rsidR="00A346D0" w:rsidRPr="00EB10BE" w:rsidRDefault="00EB10BE" w:rsidP="00EB10BE">
      <w:pPr>
        <w:spacing w:after="0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EB10BE">
        <w:rPr>
          <w:rFonts w:ascii="Times New Roman" w:hAnsi="Times New Roman"/>
          <w:spacing w:val="-2"/>
          <w:sz w:val="24"/>
          <w:szCs w:val="24"/>
        </w:rPr>
        <w:t>А.Ю. Кудревич</w:t>
      </w:r>
      <w:r w:rsidRPr="00EB10BE">
        <w:rPr>
          <w:rFonts w:ascii="Times New Roman" w:hAnsi="Times New Roman"/>
          <w:spacing w:val="-2"/>
          <w:sz w:val="24"/>
          <w:szCs w:val="24"/>
        </w:rPr>
        <w:t xml:space="preserve"> – </w:t>
      </w:r>
      <w:r w:rsidRPr="00EB10BE">
        <w:rPr>
          <w:rFonts w:ascii="Times New Roman" w:hAnsi="Times New Roman"/>
          <w:spacing w:val="-2"/>
          <w:sz w:val="24"/>
          <w:szCs w:val="24"/>
        </w:rPr>
        <w:t>младший научный сотрудник центра структурных исследований и прогнозирования территориального развития Вологодского научного центра РАН, г. Вологда, Россия</w:t>
      </w:r>
    </w:p>
    <w:sectPr w:rsidR="00A346D0" w:rsidRPr="00EB10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502667" w14:textId="77777777" w:rsidR="00793919" w:rsidRDefault="00793919" w:rsidP="00FA4DB8">
      <w:pPr>
        <w:spacing w:after="0" w:line="240" w:lineRule="auto"/>
      </w:pPr>
      <w:r>
        <w:separator/>
      </w:r>
    </w:p>
  </w:endnote>
  <w:endnote w:type="continuationSeparator" w:id="0">
    <w:p w14:paraId="53F36167" w14:textId="77777777" w:rsidR="00793919" w:rsidRDefault="00793919" w:rsidP="00FA4D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EFF02" w14:textId="77777777" w:rsidR="00793919" w:rsidRDefault="00793919" w:rsidP="00FA4DB8">
      <w:pPr>
        <w:spacing w:after="0" w:line="240" w:lineRule="auto"/>
      </w:pPr>
      <w:r>
        <w:separator/>
      </w:r>
    </w:p>
  </w:footnote>
  <w:footnote w:type="continuationSeparator" w:id="0">
    <w:p w14:paraId="14555847" w14:textId="77777777" w:rsidR="00793919" w:rsidRDefault="00793919" w:rsidP="00FA4DB8">
      <w:pPr>
        <w:spacing w:after="0" w:line="240" w:lineRule="auto"/>
      </w:pPr>
      <w:r>
        <w:continuationSeparator/>
      </w:r>
    </w:p>
  </w:footnote>
  <w:footnote w:id="1">
    <w:p w14:paraId="7A24D98A" w14:textId="77777777" w:rsidR="00E303F1" w:rsidRPr="00E301FC" w:rsidRDefault="00E303F1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Грузооборот морских портов России за январь-декабрь 2024 года // Ассоциация морских портов</w:t>
      </w:r>
    </w:p>
  </w:footnote>
  <w:footnote w:id="2">
    <w:p w14:paraId="72BA8F19" w14:textId="77777777" w:rsidR="00E303F1" w:rsidRPr="00E0280C" w:rsidRDefault="00E303F1" w:rsidP="00E301FC">
      <w:pPr>
        <w:pStyle w:val="a6"/>
        <w:jc w:val="both"/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Кто в Африку, кто в Америку. Петербургский порт переживает контейнерный ренессанс // 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Фонтанка.ру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. URL: https://www.fontanka.ru/2024/05/16/73586849/</w:t>
      </w:r>
    </w:p>
  </w:footnote>
  <w:footnote w:id="3">
    <w:p w14:paraId="7A10979B" w14:textId="77777777" w:rsidR="00E303F1" w:rsidRPr="00E301FC" w:rsidRDefault="00E303F1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На Северо-Западе каботаж растет, импорт падает // РЖД 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Партнер.рк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. URL: https://www.rzd-partner.ru/wate-transport/reviews/na-severo-zapade-kabotazh-rastet-eksport-i-import-padayut/</w:t>
      </w:r>
    </w:p>
  </w:footnote>
  <w:footnote w:id="4">
    <w:p w14:paraId="69951A4E" w14:textId="77777777" w:rsidR="00E303F1" w:rsidRPr="00E301FC" w:rsidRDefault="00E303F1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Годовой грузооборот арктических портов СЗФО просел впервые после санкций // Ведомости.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URL: https://spb.vedomosti.ru/economics/articles/2025/01/16/1086649-godovoi-gruzooborot-arkticheskih-portov</w:t>
      </w:r>
    </w:p>
  </w:footnote>
  <w:footnote w:id="5">
    <w:p w14:paraId="181F0C10" w14:textId="77777777" w:rsidR="00E303F1" w:rsidRPr="00E301FC" w:rsidRDefault="00E303F1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Архангельск – опорный порт Северного морского пути: рост грузопотока и новые горизонты // 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Dvinanews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. URL: https://dvinanews.ru/news/detail/21352</w:t>
      </w:r>
    </w:p>
  </w:footnote>
  <w:footnote w:id="6">
    <w:p w14:paraId="7A1E8099" w14:textId="77777777" w:rsidR="00E303F1" w:rsidRPr="00E301FC" w:rsidRDefault="00E303F1" w:rsidP="00E301FC">
      <w:pPr>
        <w:pStyle w:val="a6"/>
        <w:jc w:val="both"/>
        <w:rPr>
          <w:color w:val="000000" w:themeColor="text1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Из Архангельской области в Египет отправлено судно с 5 тыс. куб. м пиломатериалов // 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PortNews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.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URL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: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https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://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portnews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.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ru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/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news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/371438/</w:t>
      </w:r>
    </w:p>
  </w:footnote>
  <w:footnote w:id="7">
    <w:p w14:paraId="7F387606" w14:textId="77777777" w:rsidR="00E303F1" w:rsidRPr="00E301FC" w:rsidRDefault="00E303F1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По Северному морскому пути в 2024 году перевезено более 37,3 мл тонн грузов // 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PortNews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.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URL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>: https://portnews.ru/news/372071/</w:t>
      </w:r>
    </w:p>
  </w:footnote>
  <w:footnote w:id="8">
    <w:p w14:paraId="3414BB8B" w14:textId="77777777" w:rsidR="00E303F1" w:rsidRPr="00E301FC" w:rsidRDefault="00E303F1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 Северный морской путь без потока // Монокль.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URL: https://monocle.ru/monocle/2025/12/severniy-morskoy-put-bez-potoka/</w:t>
      </w:r>
    </w:p>
  </w:footnote>
  <w:footnote w:id="9">
    <w:p w14:paraId="1A6B849D" w14:textId="77777777" w:rsidR="00E303F1" w:rsidRPr="00E301FC" w:rsidRDefault="00E303F1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Дальний Восток и Арктика: устойчивое развитие. Х юбилейная конференция МПРА с участием Ассоциации Северный морской путь прошла в Москве // Ассоциация партнеров по координации использования Северного морского пути.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 xml:space="preserve">URL: </w:t>
      </w:r>
      <w:hyperlink r:id="rId1" w:history="1"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  <w:lang w:val="en-US"/>
          </w:rPr>
          <w:t>https://nsrassociation.ru/news/dalnij_vostok_i_arktika_ustojchivoe_razvitie_h_jubilejnaja_konferentsija_mpra_s_uchastiem_assotsiatsii_severnyj_morskoj_put</w:t>
        </w:r>
      </w:hyperlink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 xml:space="preserve"> </w:t>
      </w:r>
    </w:p>
  </w:footnote>
  <w:footnote w:id="10">
    <w:p w14:paraId="5CC40136" w14:textId="77777777" w:rsidR="00A346D0" w:rsidRPr="00E301FC" w:rsidRDefault="00A346D0" w:rsidP="00E301FC">
      <w:pPr>
        <w:pStyle w:val="a6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(Не) Ликвидный газ // </w:t>
      </w:r>
      <w:proofErr w:type="spellStart"/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PortNews</w:t>
      </w:r>
      <w:proofErr w:type="spellEnd"/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.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>URL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: </w:t>
      </w:r>
      <w:hyperlink r:id="rId2" w:history="1"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  <w:lang w:val="en-US"/>
          </w:rPr>
          <w:t>https</w:t>
        </w:r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</w:rPr>
          <w:t>://</w:t>
        </w:r>
        <w:proofErr w:type="spellStart"/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  <w:lang w:val="en-US"/>
          </w:rPr>
          <w:t>portnews</w:t>
        </w:r>
        <w:proofErr w:type="spellEnd"/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</w:rPr>
          <w:t>.</w:t>
        </w:r>
        <w:proofErr w:type="spellStart"/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  <w:lang w:val="en-US"/>
          </w:rPr>
          <w:t>ru</w:t>
        </w:r>
        <w:proofErr w:type="spellEnd"/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</w:rPr>
          <w:t>/</w:t>
        </w:r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  <w:lang w:val="en-US"/>
          </w:rPr>
          <w:t>comments</w:t>
        </w:r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</w:rPr>
          <w:t>/3546/</w:t>
        </w:r>
      </w:hyperlink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</w:p>
  </w:footnote>
  <w:footnote w:id="11">
    <w:p w14:paraId="666F5100" w14:textId="47394351" w:rsidR="00A346D0" w:rsidRPr="00134E9B" w:rsidRDefault="00A346D0" w:rsidP="00E301FC">
      <w:pPr>
        <w:pStyle w:val="a6"/>
        <w:jc w:val="both"/>
        <w:rPr>
          <w:lang w:val="en-US"/>
        </w:rPr>
      </w:pPr>
      <w:r w:rsidRPr="00E301FC">
        <w:rPr>
          <w:rStyle w:val="a8"/>
          <w:rFonts w:ascii="Times New Roman" w:hAnsi="Times New Roman" w:cs="Times New Roman"/>
          <w:color w:val="000000" w:themeColor="text1"/>
          <w:sz w:val="18"/>
          <w:szCs w:val="18"/>
        </w:rPr>
        <w:footnoteRef/>
      </w:r>
      <w:r w:rsid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Экспорт СПГ из России в 2024 году достиг рекорда // РБК. </w:t>
      </w:r>
      <w:r w:rsidRPr="00E301FC">
        <w:rPr>
          <w:rFonts w:ascii="Times New Roman" w:hAnsi="Times New Roman" w:cs="Times New Roman"/>
          <w:color w:val="000000" w:themeColor="text1"/>
          <w:sz w:val="18"/>
          <w:szCs w:val="18"/>
          <w:lang w:val="en-US"/>
        </w:rPr>
        <w:t xml:space="preserve">URL: </w:t>
      </w:r>
      <w:hyperlink r:id="rId3" w:history="1">
        <w:r w:rsidRPr="00E301FC">
          <w:rPr>
            <w:rFonts w:ascii="Times New Roman" w:hAnsi="Times New Roman" w:cs="Times New Roman"/>
            <w:color w:val="000000" w:themeColor="text1"/>
            <w:sz w:val="18"/>
            <w:szCs w:val="18"/>
            <w:lang w:val="en-US"/>
          </w:rPr>
          <w:t>https://www.rbc.ru/business/28/01/2025/679785849a794730123774da</w:t>
        </w:r>
      </w:hyperlink>
      <w:r w:rsidRPr="00E301FC">
        <w:rPr>
          <w:color w:val="000000" w:themeColor="text1"/>
          <w:sz w:val="18"/>
          <w:szCs w:val="18"/>
          <w:lang w:val="en-US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3D6"/>
    <w:rsid w:val="000230E4"/>
    <w:rsid w:val="0015573F"/>
    <w:rsid w:val="002A6CCD"/>
    <w:rsid w:val="002F43D6"/>
    <w:rsid w:val="00364F72"/>
    <w:rsid w:val="003B2145"/>
    <w:rsid w:val="003D3CD0"/>
    <w:rsid w:val="00482707"/>
    <w:rsid w:val="004F6BE9"/>
    <w:rsid w:val="00762AA3"/>
    <w:rsid w:val="00793919"/>
    <w:rsid w:val="007B1BF3"/>
    <w:rsid w:val="00912294"/>
    <w:rsid w:val="00943D08"/>
    <w:rsid w:val="00A346D0"/>
    <w:rsid w:val="00A34C11"/>
    <w:rsid w:val="00E301FC"/>
    <w:rsid w:val="00E303F1"/>
    <w:rsid w:val="00EB10BE"/>
    <w:rsid w:val="00FA4DB8"/>
    <w:rsid w:val="00FB6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B6406"/>
  <w15:chartTrackingRefBased/>
  <w15:docId w15:val="{7A208BE9-9E3C-488D-A354-8A288A8EE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A4DB8"/>
    <w:pPr>
      <w:spacing w:after="0" w:line="240" w:lineRule="auto"/>
      <w:ind w:firstLine="567"/>
      <w:jc w:val="both"/>
    </w:pPr>
    <w:rPr>
      <w:rFonts w:ascii="Times New Roman" w:hAnsi="Times New Roman" w:cs="Times New Roman"/>
      <w:sz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4">
    <w:name w:val="ИСТОЧНИК"/>
    <w:basedOn w:val="a"/>
    <w:next w:val="a"/>
    <w:qFormat/>
    <w:rsid w:val="00FA4DB8"/>
    <w:pPr>
      <w:spacing w:before="120" w:after="0" w:line="240" w:lineRule="auto"/>
      <w:jc w:val="both"/>
    </w:pPr>
    <w:rPr>
      <w:rFonts w:ascii="Arial Narrow" w:hAnsi="Arial Narrow" w:cs="Arial"/>
      <w:sz w:val="18"/>
      <w:szCs w:val="18"/>
    </w:rPr>
  </w:style>
  <w:style w:type="character" w:styleId="a5">
    <w:name w:val="Hyperlink"/>
    <w:uiPriority w:val="99"/>
    <w:unhideWhenUsed/>
    <w:rsid w:val="00A34C11"/>
    <w:rPr>
      <w:color w:val="0563C1" w:themeColor="hyperlink"/>
      <w:u w:val="single"/>
    </w:rPr>
  </w:style>
  <w:style w:type="paragraph" w:styleId="a6">
    <w:name w:val="footnote text"/>
    <w:basedOn w:val="a"/>
    <w:link w:val="a7"/>
    <w:uiPriority w:val="99"/>
    <w:unhideWhenUsed/>
    <w:rsid w:val="00A34C11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A34C11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A34C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2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edstat.ru/indicator/5771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rosstat.gov.ru/storage/mediabank/Popul_Comp2023_site.xls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rbc.ru/business/28/01/2025/679785849a794730123774da" TargetMode="External"/><Relationship Id="rId2" Type="http://schemas.openxmlformats.org/officeDocument/2006/relationships/hyperlink" Target="https://portnews.ru/comments/3546/" TargetMode="External"/><Relationship Id="rId1" Type="http://schemas.openxmlformats.org/officeDocument/2006/relationships/hyperlink" Target="https://nsrassociation.ru/news/dalnij_vostok_i_arktika_ustojchivoe_razvitie_h_jubilejnaja_konferentsija_mpra_s_uchastiem_assotsiatsii_severnyj_morskoj_pu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F18B36-8587-436B-8E9D-3B5D7C1D1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5</Pages>
  <Words>1378</Words>
  <Characters>7857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Арина Ю. Кудревич</dc:creator>
  <cp:keywords/>
  <dc:description/>
  <cp:lastModifiedBy>Кудревич Арина Юрьевна</cp:lastModifiedBy>
  <cp:revision>9</cp:revision>
  <dcterms:created xsi:type="dcterms:W3CDTF">2024-05-06T11:38:00Z</dcterms:created>
  <dcterms:modified xsi:type="dcterms:W3CDTF">2025-05-14T13:03:00Z</dcterms:modified>
</cp:coreProperties>
</file>