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FAB937" w14:textId="4BA5149F" w:rsidR="00186CB0" w:rsidRDefault="00186CB0" w:rsidP="00186CB0">
      <w:pPr>
        <w:spacing w:after="0" w:line="240" w:lineRule="auto"/>
        <w:ind w:left="-540" w:firstLine="540"/>
        <w:rPr>
          <w:rFonts w:ascii="Times New Roman" w:eastAsia="Times New Roman" w:hAnsi="Times New Roman" w:cs="Times New Roman"/>
          <w:b/>
          <w:sz w:val="24"/>
          <w:lang w:eastAsia="ru-RU"/>
        </w:rPr>
      </w:pPr>
      <w:bookmarkStart w:id="0" w:name="_Toc76714064"/>
      <w:r>
        <w:rPr>
          <w:rFonts w:ascii="Times New Roman" w:eastAsia="Times New Roman" w:hAnsi="Times New Roman" w:cs="Times New Roman"/>
          <w:b/>
          <w:sz w:val="24"/>
          <w:lang w:eastAsia="ru-RU"/>
        </w:rPr>
        <w:t>УДК 339.9 / ББК 65.32</w:t>
      </w:r>
    </w:p>
    <w:p w14:paraId="19E2BEA8" w14:textId="564D353C" w:rsidR="00827E82" w:rsidRPr="00295ADF" w:rsidRDefault="00C010B3" w:rsidP="00046B80">
      <w:pPr>
        <w:spacing w:after="0" w:line="360" w:lineRule="auto"/>
        <w:jc w:val="right"/>
        <w:rPr>
          <w:rFonts w:ascii="Times New Roman" w:hAnsi="Times New Roman" w:cs="Times New Roman"/>
          <w:b/>
          <w:bCs/>
          <w:caps/>
          <w:sz w:val="24"/>
          <w:szCs w:val="24"/>
          <w:vertAlign w:val="superscript"/>
        </w:rPr>
      </w:pPr>
      <w:r>
        <w:rPr>
          <w:rFonts w:ascii="Times New Roman" w:hAnsi="Times New Roman" w:cs="Times New Roman"/>
          <w:b/>
          <w:bCs/>
          <w:sz w:val="24"/>
          <w:szCs w:val="24"/>
          <w:lang w:eastAsia="ru-RU"/>
        </w:rPr>
        <w:t>Гончарук Д.С</w:t>
      </w:r>
      <w:r w:rsidR="00EC4D8E" w:rsidRPr="00295ADF">
        <w:rPr>
          <w:rFonts w:ascii="Times New Roman" w:hAnsi="Times New Roman" w:cs="Times New Roman"/>
          <w:b/>
          <w:bCs/>
          <w:sz w:val="24"/>
          <w:szCs w:val="24"/>
          <w:lang w:eastAsia="ru-RU"/>
        </w:rPr>
        <w:t>.</w:t>
      </w:r>
      <w:bookmarkEnd w:id="0"/>
      <w:r w:rsidR="00295ADF">
        <w:rPr>
          <w:rStyle w:val="a3"/>
          <w:rFonts w:ascii="Times New Roman" w:hAnsi="Times New Roman" w:cs="Times New Roman"/>
          <w:b/>
          <w:bCs/>
          <w:sz w:val="24"/>
          <w:szCs w:val="24"/>
          <w:lang w:eastAsia="ru-RU"/>
        </w:rPr>
        <w:footnoteReference w:id="1"/>
      </w:r>
    </w:p>
    <w:p w14:paraId="1507DD07" w14:textId="47ABACA2" w:rsidR="00827E82" w:rsidRPr="00295ADF" w:rsidRDefault="00C010B3" w:rsidP="00126F6A">
      <w:pPr>
        <w:spacing w:after="0" w:line="240" w:lineRule="auto"/>
        <w:jc w:val="center"/>
        <w:rPr>
          <w:rFonts w:ascii="Times New Roman" w:eastAsia="Times New Roman" w:hAnsi="Times New Roman" w:cs="Times New Roman"/>
          <w:b/>
          <w:bCs/>
          <w:sz w:val="24"/>
          <w:szCs w:val="24"/>
        </w:rPr>
      </w:pPr>
      <w:r w:rsidRPr="00C010B3">
        <w:rPr>
          <w:rFonts w:ascii="Times New Roman" w:eastAsia="Times New Roman" w:hAnsi="Times New Roman" w:cs="Times New Roman"/>
          <w:b/>
          <w:bCs/>
          <w:sz w:val="24"/>
          <w:szCs w:val="24"/>
        </w:rPr>
        <w:t>РЕГИОНАЛЬНЫЕ РАЗЛИЧИЯ В УРОВНЕ ДОХОДОВ НАСЕЛЕНИЯ РОССИЙСКОЙ ФЕДЕРАЦИИ: АНАЛИЗ НА ОСНОВЕ ОТНОШЕНИЯ МЕДИАННЫХ ДОХОДОВ К СТОИМОСТИ ПОТРЕБИТЕЛЬСКОЙ КОРЗИНЫ</w:t>
      </w:r>
      <w:r w:rsidRPr="00C010B3">
        <w:rPr>
          <w:rFonts w:ascii="Times New Roman" w:eastAsia="Times New Roman" w:hAnsi="Times New Roman" w:cs="Times New Roman"/>
          <w:b/>
          <w:bCs/>
          <w:sz w:val="24"/>
          <w:szCs w:val="24"/>
          <w:vertAlign w:val="superscript"/>
        </w:rPr>
        <w:t xml:space="preserve"> </w:t>
      </w:r>
      <w:r w:rsidR="00BA3C29">
        <w:rPr>
          <w:rStyle w:val="a3"/>
          <w:rFonts w:ascii="Times New Roman" w:eastAsia="Times New Roman" w:hAnsi="Times New Roman" w:cs="Times New Roman"/>
          <w:b/>
          <w:bCs/>
          <w:sz w:val="24"/>
          <w:szCs w:val="24"/>
        </w:rPr>
        <w:footnoteReference w:id="2"/>
      </w:r>
    </w:p>
    <w:p w14:paraId="520D795E" w14:textId="77777777" w:rsidR="00FF0FC1" w:rsidRPr="00FF0FC1" w:rsidRDefault="00FF0FC1" w:rsidP="00295ADF">
      <w:pPr>
        <w:spacing w:after="0" w:line="240" w:lineRule="auto"/>
        <w:jc w:val="center"/>
        <w:rPr>
          <w:rFonts w:ascii="Times New Roman" w:eastAsia="Times New Roman" w:hAnsi="Times New Roman" w:cs="Times New Roman"/>
          <w:b/>
          <w:bCs/>
          <w:sz w:val="24"/>
          <w:szCs w:val="24"/>
          <w:highlight w:val="yellow"/>
        </w:rPr>
      </w:pPr>
    </w:p>
    <w:p w14:paraId="0DFCEC74" w14:textId="79D68E4E" w:rsidR="000A3175" w:rsidRPr="000A3175" w:rsidRDefault="00827E82" w:rsidP="00295ADF">
      <w:pPr>
        <w:spacing w:after="0" w:line="240" w:lineRule="auto"/>
        <w:ind w:firstLine="426"/>
        <w:jc w:val="both"/>
        <w:rPr>
          <w:rFonts w:ascii="Times New Roman" w:hAnsi="Times New Roman" w:cs="Times New Roman"/>
          <w:i/>
        </w:rPr>
      </w:pPr>
      <w:r w:rsidRPr="000A3175">
        <w:rPr>
          <w:rFonts w:ascii="Times New Roman" w:hAnsi="Times New Roman" w:cs="Times New Roman"/>
          <w:b/>
          <w:bCs/>
          <w:iCs/>
        </w:rPr>
        <w:t>Аннотация:</w:t>
      </w:r>
      <w:r w:rsidRPr="000A3175">
        <w:rPr>
          <w:rFonts w:ascii="Times New Roman" w:hAnsi="Times New Roman" w:cs="Times New Roman"/>
          <w:i/>
        </w:rPr>
        <w:t xml:space="preserve"> </w:t>
      </w:r>
      <w:bookmarkStart w:id="1" w:name="_Hlk198123324"/>
      <w:r w:rsidR="00C010B3" w:rsidRPr="00B04A0E">
        <w:rPr>
          <w:rFonts w:ascii="Times New Roman" w:hAnsi="Times New Roman" w:cs="Times New Roman"/>
          <w:i/>
          <w:sz w:val="24"/>
          <w:szCs w:val="24"/>
        </w:rPr>
        <w:t>В условиях социально-экономической дифференциации регионов России актуальным становится анализ уровня доходов населения. Работа посвящена изучению регионального распределения медианных доходов в 2023 году на основе их отношения к стоимости фиксированного набора потребительских товаров и услуг. Методом вариационных рядов проведена группировка субъектов РФ</w:t>
      </w:r>
      <w:r w:rsidR="00C010B3">
        <w:rPr>
          <w:rFonts w:ascii="Times New Roman" w:hAnsi="Times New Roman" w:cs="Times New Roman"/>
          <w:i/>
          <w:sz w:val="24"/>
          <w:szCs w:val="24"/>
        </w:rPr>
        <w:t>, показавшая дисбаланс в уровне доходов населения. Работа будет полезна органам власти, представителям студенческой и академической науки.</w:t>
      </w:r>
      <w:bookmarkEnd w:id="1"/>
    </w:p>
    <w:p w14:paraId="256B03AA" w14:textId="7DA66156" w:rsidR="00EC4D8E" w:rsidRPr="00FF0FC1" w:rsidRDefault="00827E82" w:rsidP="00295ADF">
      <w:pPr>
        <w:spacing w:after="0" w:line="240" w:lineRule="auto"/>
        <w:ind w:firstLine="426"/>
        <w:jc w:val="both"/>
        <w:rPr>
          <w:rFonts w:ascii="Times New Roman" w:hAnsi="Times New Roman" w:cs="Times New Roman"/>
          <w:i/>
        </w:rPr>
      </w:pPr>
      <w:r w:rsidRPr="00FF0FC1">
        <w:rPr>
          <w:rFonts w:ascii="Times New Roman" w:hAnsi="Times New Roman" w:cs="Times New Roman"/>
          <w:b/>
          <w:bCs/>
          <w:iCs/>
        </w:rPr>
        <w:t>Ключевые слова:</w:t>
      </w:r>
      <w:r w:rsidR="00EC4D8E" w:rsidRPr="00FF0FC1">
        <w:rPr>
          <w:rFonts w:ascii="Times New Roman" w:hAnsi="Times New Roman" w:cs="Times New Roman"/>
          <w:i/>
        </w:rPr>
        <w:t xml:space="preserve"> </w:t>
      </w:r>
      <w:r w:rsidR="00C010B3">
        <w:rPr>
          <w:rFonts w:ascii="Times New Roman" w:hAnsi="Times New Roman" w:cs="Times New Roman"/>
          <w:i/>
        </w:rPr>
        <w:t>уровень доходов, региональная дифференциация, вариационный ряд</w:t>
      </w:r>
    </w:p>
    <w:p w14:paraId="4223805D" w14:textId="77777777" w:rsidR="00EC4D8E" w:rsidRDefault="00EC4D8E" w:rsidP="00EC4D8E">
      <w:pPr>
        <w:spacing w:after="0" w:line="240" w:lineRule="auto"/>
        <w:ind w:firstLine="709"/>
        <w:jc w:val="both"/>
        <w:rPr>
          <w:rFonts w:ascii="Times New Roman" w:hAnsi="Times New Roman" w:cs="Times New Roman"/>
          <w:i/>
          <w:sz w:val="24"/>
          <w:szCs w:val="24"/>
          <w:highlight w:val="yellow"/>
        </w:rPr>
      </w:pPr>
    </w:p>
    <w:p w14:paraId="10259123" w14:textId="77777777" w:rsidR="00494301" w:rsidRDefault="00494301" w:rsidP="00C010B3">
      <w:pPr>
        <w:spacing w:after="0" w:line="240" w:lineRule="auto"/>
        <w:ind w:firstLine="709"/>
        <w:jc w:val="both"/>
        <w:rPr>
          <w:rFonts w:ascii="Times New Roman" w:hAnsi="Times New Roman" w:cs="Times New Roman"/>
          <w:sz w:val="24"/>
          <w:szCs w:val="24"/>
        </w:rPr>
      </w:pPr>
      <w:r w:rsidRPr="00494301">
        <w:rPr>
          <w:rFonts w:ascii="Times New Roman" w:hAnsi="Times New Roman" w:cs="Times New Roman"/>
          <w:sz w:val="24"/>
          <w:szCs w:val="24"/>
        </w:rPr>
        <w:t>Решение различных социальных и экономических проблем требует от государства глубокого понимания демографической и социально-экономической ситуации в стране, а также знания ключевых характеристик населения. Важнейшим из таких показателей является уровень доходов граждан, поскольку он напрямую влияет на качество жизни, доступность базовых благ и уровень потребления. Как отмечают Н.В. Зубаревич и С.Н. Сафронов [2], при анализе регионального неравенства необходимо учитывать не только количественные характеристики доходов, но и их реальную покупательную способность, что предполагает учет ценового фактора. Следует отметить, что российские регионы отличаются значительной дифференцированностью по социально-экономическому развитию [1], что напрямую сказывается на уровне жизни и доходов населения. В связи с этим актуальным становится исследование текущего распределения уровня доходов по регионам страны, позволяющее выявить тенденции, оценить степень неравенства и определить районы с наиболее высокими и низкими показателями.</w:t>
      </w:r>
    </w:p>
    <w:p w14:paraId="454353F5" w14:textId="38C246DE" w:rsidR="00C010B3" w:rsidRPr="002B556A" w:rsidRDefault="00C010B3" w:rsidP="00C010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Исходя из вышесказанного целесообразно определить текущее распределение уровня доходов в российских регионах. В рамках данного исследования ключевым индикатором уровня дохода является </w:t>
      </w:r>
      <w:r w:rsidRPr="002B556A">
        <w:rPr>
          <w:rFonts w:ascii="Times New Roman" w:hAnsi="Times New Roman" w:cs="Times New Roman"/>
          <w:sz w:val="24"/>
          <w:szCs w:val="24"/>
        </w:rPr>
        <w:t>отношение медианных доходов населения к стоимости фиксированного набора потребительских товаров и услуг. Выбор показателя обусловлен тем, что при расчете берется медианное, а не среднее значение дохода</w:t>
      </w:r>
      <w:r>
        <w:rPr>
          <w:rFonts w:ascii="Times New Roman" w:hAnsi="Times New Roman" w:cs="Times New Roman"/>
          <w:sz w:val="24"/>
          <w:szCs w:val="24"/>
        </w:rPr>
        <w:t>. Необходимые данные возможно рассчитать самостоятельно с помощью базы данных Росстата, однако мы собрали уже готовые из</w:t>
      </w:r>
      <w:r w:rsidRPr="002B556A">
        <w:rPr>
          <w:rFonts w:ascii="Times New Roman" w:hAnsi="Times New Roman" w:cs="Times New Roman"/>
          <w:sz w:val="24"/>
          <w:szCs w:val="24"/>
        </w:rPr>
        <w:t xml:space="preserve"> рейтинг</w:t>
      </w:r>
      <w:r>
        <w:rPr>
          <w:rFonts w:ascii="Times New Roman" w:hAnsi="Times New Roman" w:cs="Times New Roman"/>
          <w:sz w:val="24"/>
          <w:szCs w:val="24"/>
        </w:rPr>
        <w:t>а</w:t>
      </w:r>
      <w:r w:rsidRPr="002B556A">
        <w:rPr>
          <w:rFonts w:ascii="Times New Roman" w:hAnsi="Times New Roman" w:cs="Times New Roman"/>
          <w:sz w:val="24"/>
          <w:szCs w:val="24"/>
        </w:rPr>
        <w:t xml:space="preserve"> регионов по доходам от РИА. </w:t>
      </w:r>
      <w:r>
        <w:rPr>
          <w:rFonts w:ascii="Times New Roman" w:hAnsi="Times New Roman" w:cs="Times New Roman"/>
          <w:sz w:val="24"/>
          <w:szCs w:val="24"/>
        </w:rPr>
        <w:t>Стоит отметить, что расчеты проведены только по данным за 2023 г.</w:t>
      </w:r>
    </w:p>
    <w:p w14:paraId="42F8BEE3" w14:textId="77777777" w:rsidR="00C010B3" w:rsidRPr="002B556A" w:rsidRDefault="00C010B3" w:rsidP="00C010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w:t>
      </w:r>
      <w:r w:rsidRPr="002B556A">
        <w:rPr>
          <w:rFonts w:ascii="Times New Roman" w:hAnsi="Times New Roman" w:cs="Times New Roman"/>
          <w:sz w:val="24"/>
          <w:szCs w:val="24"/>
        </w:rPr>
        <w:t xml:space="preserve">ля </w:t>
      </w:r>
      <w:r>
        <w:rPr>
          <w:rFonts w:ascii="Times New Roman" w:hAnsi="Times New Roman" w:cs="Times New Roman"/>
          <w:sz w:val="24"/>
          <w:szCs w:val="24"/>
        </w:rPr>
        <w:t>определения распределения</w:t>
      </w:r>
      <w:r w:rsidRPr="002B556A">
        <w:rPr>
          <w:rFonts w:ascii="Times New Roman" w:hAnsi="Times New Roman" w:cs="Times New Roman"/>
          <w:sz w:val="24"/>
          <w:szCs w:val="24"/>
        </w:rPr>
        <w:t xml:space="preserve"> использов</w:t>
      </w:r>
      <w:r>
        <w:rPr>
          <w:rFonts w:ascii="Times New Roman" w:hAnsi="Times New Roman" w:cs="Times New Roman"/>
          <w:sz w:val="24"/>
          <w:szCs w:val="24"/>
        </w:rPr>
        <w:t>ался</w:t>
      </w:r>
      <w:r w:rsidRPr="002B556A">
        <w:rPr>
          <w:rFonts w:ascii="Times New Roman" w:hAnsi="Times New Roman" w:cs="Times New Roman"/>
          <w:sz w:val="24"/>
          <w:szCs w:val="24"/>
        </w:rPr>
        <w:t xml:space="preserve"> интервальный вариационный ряд</w:t>
      </w:r>
      <w:r>
        <w:rPr>
          <w:rFonts w:ascii="Times New Roman" w:hAnsi="Times New Roman" w:cs="Times New Roman"/>
          <w:sz w:val="24"/>
          <w:szCs w:val="24"/>
        </w:rPr>
        <w:t>.</w:t>
      </w:r>
      <w:r w:rsidRPr="002B556A">
        <w:rPr>
          <w:rFonts w:ascii="Times New Roman" w:hAnsi="Times New Roman" w:cs="Times New Roman"/>
          <w:sz w:val="24"/>
          <w:szCs w:val="24"/>
        </w:rPr>
        <w:t xml:space="preserve"> </w:t>
      </w:r>
      <w:r>
        <w:rPr>
          <w:rFonts w:ascii="Times New Roman" w:hAnsi="Times New Roman" w:cs="Times New Roman"/>
          <w:sz w:val="24"/>
          <w:szCs w:val="24"/>
        </w:rPr>
        <w:t>В случаях, к</w:t>
      </w:r>
      <w:r w:rsidRPr="002B556A">
        <w:rPr>
          <w:rFonts w:ascii="Times New Roman" w:hAnsi="Times New Roman" w:cs="Times New Roman"/>
          <w:sz w:val="24"/>
          <w:szCs w:val="24"/>
        </w:rPr>
        <w:t>огда варианта попадала на «стык» двух интервалов, ее относили к правому. Количество интервалов (7) определено, в соответствии с формулой Стерджеса:</w:t>
      </w:r>
    </w:p>
    <w:p w14:paraId="5BBFDEFC" w14:textId="77777777" w:rsidR="00C010B3" w:rsidRPr="002B556A" w:rsidRDefault="00C010B3" w:rsidP="00C010B3">
      <w:pPr>
        <w:spacing w:after="0" w:line="240" w:lineRule="auto"/>
        <w:ind w:firstLine="709"/>
        <w:jc w:val="both"/>
        <w:rPr>
          <w:rFonts w:ascii="Times New Roman" w:hAnsi="Times New Roman" w:cs="Times New Roman"/>
          <w:i/>
          <w:sz w:val="24"/>
          <w:szCs w:val="24"/>
        </w:rPr>
      </w:pPr>
      <m:oMathPara>
        <m:oMath>
          <m:r>
            <w:rPr>
              <w:rFonts w:ascii="Cambria Math" w:hAnsi="Cambria Math" w:cs="Times New Roman"/>
              <w:sz w:val="24"/>
              <w:szCs w:val="24"/>
            </w:rPr>
            <m:t>κ=1+3,322*</m:t>
          </m:r>
          <m:func>
            <m:funcPr>
              <m:ctrlPr>
                <w:rPr>
                  <w:rFonts w:ascii="Cambria Math" w:hAnsi="Cambria Math" w:cs="Times New Roman"/>
                  <w:i/>
                  <w:sz w:val="24"/>
                  <w:szCs w:val="24"/>
                </w:rPr>
              </m:ctrlPr>
            </m:funcPr>
            <m:fName>
              <m:r>
                <w:rPr>
                  <w:rFonts w:ascii="Cambria Math" w:hAnsi="Cambria Math" w:cs="Times New Roman"/>
                  <w:sz w:val="24"/>
                  <w:szCs w:val="24"/>
                </w:rPr>
                <m:t>l</m:t>
              </m:r>
              <m:r>
                <w:rPr>
                  <w:rFonts w:ascii="Cambria Math" w:hAnsi="Cambria Math" w:cs="Times New Roman"/>
                  <w:sz w:val="24"/>
                  <w:szCs w:val="24"/>
                  <w:lang w:val="en-US"/>
                </w:rPr>
                <m:t>g</m:t>
              </m:r>
            </m:fName>
            <m:e>
              <m:r>
                <w:rPr>
                  <w:rFonts w:ascii="Cambria Math" w:hAnsi="Cambria Math" w:cs="Times New Roman"/>
                  <w:sz w:val="24"/>
                  <w:szCs w:val="24"/>
                </w:rPr>
                <m:t>N</m:t>
              </m:r>
            </m:e>
          </m:func>
        </m:oMath>
      </m:oMathPara>
    </w:p>
    <w:p w14:paraId="6ADA3F30" w14:textId="77777777" w:rsidR="00C010B3" w:rsidRDefault="00C010B3" w:rsidP="00C010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w:t>
      </w:r>
      <w:r w:rsidRPr="002B556A">
        <w:rPr>
          <w:rFonts w:ascii="Times New Roman" w:hAnsi="Times New Roman" w:cs="Times New Roman"/>
          <w:sz w:val="24"/>
          <w:szCs w:val="24"/>
        </w:rPr>
        <w:t>де</w:t>
      </w:r>
      <w:r>
        <w:rPr>
          <w:rFonts w:ascii="Times New Roman" w:hAnsi="Times New Roman" w:cs="Times New Roman"/>
          <w:sz w:val="24"/>
          <w:szCs w:val="24"/>
        </w:rPr>
        <w:t>,</w:t>
      </w:r>
      <w:r w:rsidRPr="002B556A">
        <w:rPr>
          <w:rFonts w:ascii="Times New Roman" w:hAnsi="Times New Roman" w:cs="Times New Roman"/>
          <w:sz w:val="24"/>
          <w:szCs w:val="24"/>
        </w:rPr>
        <w:t xml:space="preserve"> κ – оптимальное количество интервалов; </w:t>
      </w:r>
      <w:r>
        <w:rPr>
          <w:rFonts w:ascii="Times New Roman" w:hAnsi="Times New Roman" w:cs="Times New Roman"/>
          <w:sz w:val="24"/>
          <w:szCs w:val="24"/>
          <w:lang w:val="en-US"/>
        </w:rPr>
        <w:t>N</w:t>
      </w:r>
      <w:r w:rsidRPr="002B556A">
        <w:rPr>
          <w:rFonts w:ascii="Times New Roman" w:hAnsi="Times New Roman" w:cs="Times New Roman"/>
          <w:sz w:val="24"/>
          <w:szCs w:val="24"/>
        </w:rPr>
        <w:t xml:space="preserve"> – количество субъектов РФ.</w:t>
      </w:r>
    </w:p>
    <w:p w14:paraId="51B705E1" w14:textId="77777777" w:rsidR="00C010B3" w:rsidRDefault="00C010B3" w:rsidP="00C010B3">
      <w:pPr>
        <w:spacing w:after="0" w:line="240" w:lineRule="auto"/>
        <w:ind w:firstLine="709"/>
        <w:jc w:val="both"/>
        <w:rPr>
          <w:rFonts w:ascii="Times New Roman" w:hAnsi="Times New Roman" w:cs="Times New Roman"/>
          <w:sz w:val="24"/>
          <w:szCs w:val="24"/>
        </w:rPr>
      </w:pPr>
    </w:p>
    <w:p w14:paraId="756962E0" w14:textId="77777777" w:rsidR="00C010B3" w:rsidRPr="002B556A" w:rsidRDefault="00C010B3" w:rsidP="00C010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Pr="002B556A">
        <w:rPr>
          <w:rFonts w:ascii="Times New Roman" w:hAnsi="Times New Roman" w:cs="Times New Roman"/>
          <w:sz w:val="24"/>
          <w:szCs w:val="24"/>
        </w:rPr>
        <w:t xml:space="preserve">бращая внимание на рис. 1, можно увидеть, что </w:t>
      </w:r>
      <w:r>
        <w:rPr>
          <w:rFonts w:ascii="Times New Roman" w:hAnsi="Times New Roman" w:cs="Times New Roman"/>
          <w:sz w:val="24"/>
          <w:szCs w:val="24"/>
        </w:rPr>
        <w:t>распределение</w:t>
      </w:r>
      <w:r w:rsidRPr="002B556A">
        <w:rPr>
          <w:rFonts w:ascii="Times New Roman" w:hAnsi="Times New Roman" w:cs="Times New Roman"/>
          <w:sz w:val="24"/>
          <w:szCs w:val="24"/>
        </w:rPr>
        <w:t xml:space="preserve"> имеет правостороннюю асимметрию (коэф. асимметрии – 2,2) и острый пик с толстыми хвостами (коэф. эксцесса – 6,8)</w:t>
      </w:r>
      <w:r>
        <w:rPr>
          <w:rFonts w:ascii="Times New Roman" w:hAnsi="Times New Roman" w:cs="Times New Roman"/>
          <w:sz w:val="24"/>
          <w:szCs w:val="24"/>
        </w:rPr>
        <w:t>, рис. 1. В</w:t>
      </w:r>
      <w:r w:rsidRPr="002B556A">
        <w:rPr>
          <w:rFonts w:ascii="Times New Roman" w:hAnsi="Times New Roman" w:cs="Times New Roman"/>
          <w:sz w:val="24"/>
          <w:szCs w:val="24"/>
        </w:rPr>
        <w:t>ерхняя граница модального (второго) интервала совпадает с указанным в рейтинге средним значением Российской Федерации (1,92), однако медиана и мода равны 1,71 (ср. арифм. – 1,78</w:t>
      </w:r>
      <w:r>
        <w:rPr>
          <w:rFonts w:ascii="Times New Roman" w:hAnsi="Times New Roman" w:cs="Times New Roman"/>
          <w:sz w:val="24"/>
          <w:szCs w:val="24"/>
        </w:rPr>
        <w:t>).</w:t>
      </w:r>
      <w:r w:rsidRPr="002B556A">
        <w:rPr>
          <w:rFonts w:ascii="Times New Roman" w:hAnsi="Times New Roman" w:cs="Times New Roman"/>
          <w:sz w:val="24"/>
          <w:szCs w:val="24"/>
        </w:rPr>
        <w:t xml:space="preserve"> </w:t>
      </w:r>
    </w:p>
    <w:p w14:paraId="43FAFE44" w14:textId="77777777" w:rsidR="00C010B3" w:rsidRDefault="00C010B3" w:rsidP="00C010B3">
      <w:pPr>
        <w:spacing w:after="0" w:line="240" w:lineRule="auto"/>
        <w:ind w:firstLine="709"/>
        <w:jc w:val="both"/>
        <w:rPr>
          <w:rFonts w:ascii="Times New Roman" w:eastAsia="Times New Roman" w:hAnsi="Times New Roman" w:cs="Times New Roman"/>
          <w:bCs/>
          <w:iCs/>
          <w:sz w:val="24"/>
          <w:szCs w:val="24"/>
        </w:rPr>
      </w:pPr>
    </w:p>
    <w:p w14:paraId="12CD1C9F" w14:textId="77777777" w:rsidR="00C010B3" w:rsidRDefault="00C010B3" w:rsidP="00C010B3">
      <w:pPr>
        <w:pStyle w:val="a9"/>
        <w:widowControl w:val="0"/>
        <w:jc w:val="center"/>
        <w:rPr>
          <w:rFonts w:ascii="Times New Roman" w:hAnsi="Times New Roman" w:cs="Times New Roman"/>
          <w:sz w:val="28"/>
        </w:rPr>
      </w:pPr>
      <w:r>
        <w:rPr>
          <w:noProof/>
        </w:rPr>
        <w:drawing>
          <wp:inline distT="0" distB="0" distL="0" distR="0" wp14:anchorId="36D0C760" wp14:editId="365A12F2">
            <wp:extent cx="4680000" cy="2880000"/>
            <wp:effectExtent l="0" t="0" r="6350" b="0"/>
            <wp:docPr id="1" name="Диаграмма 1">
              <a:extLst xmlns:a="http://schemas.openxmlformats.org/drawingml/2006/main">
                <a:ext uri="{FF2B5EF4-FFF2-40B4-BE49-F238E27FC236}">
                  <a16:creationId xmlns:a16="http://schemas.microsoft.com/office/drawing/2014/main" id="{49AED7BC-0BE4-46F0-AE2A-B4FCDAB58A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1CFCCDC" w14:textId="77777777" w:rsidR="00C010B3" w:rsidRDefault="00C010B3" w:rsidP="00C010B3">
      <w:pPr>
        <w:pStyle w:val="a9"/>
        <w:widowControl w:val="0"/>
        <w:jc w:val="center"/>
        <w:rPr>
          <w:rFonts w:ascii="Times New Roman" w:hAnsi="Times New Roman" w:cs="Times New Roman"/>
          <w:sz w:val="24"/>
          <w:szCs w:val="20"/>
        </w:rPr>
      </w:pPr>
      <w:r w:rsidRPr="00516374">
        <w:rPr>
          <w:rFonts w:ascii="Times New Roman" w:hAnsi="Times New Roman" w:cs="Times New Roman"/>
          <w:sz w:val="24"/>
          <w:szCs w:val="20"/>
        </w:rPr>
        <w:t xml:space="preserve">Рисунок 1. </w:t>
      </w:r>
      <w:r w:rsidRPr="0061294F">
        <w:rPr>
          <w:rFonts w:ascii="Times New Roman" w:hAnsi="Times New Roman" w:cs="Times New Roman"/>
          <w:sz w:val="24"/>
          <w:szCs w:val="20"/>
        </w:rPr>
        <w:t>Распределение регионов России по отношению медианных доходов к стоимости фиксированного набора потребительских товаров и услуг в 2023 г.</w:t>
      </w:r>
    </w:p>
    <w:p w14:paraId="7BF31099" w14:textId="77777777" w:rsidR="00C010B3" w:rsidRPr="0061294F" w:rsidRDefault="00C010B3" w:rsidP="00C010B3">
      <w:pPr>
        <w:spacing w:after="0" w:line="240" w:lineRule="auto"/>
        <w:rPr>
          <w:rFonts w:ascii="Times New Roman" w:hAnsi="Times New Roman" w:cs="Times New Roman"/>
          <w:sz w:val="16"/>
          <w:szCs w:val="16"/>
        </w:rPr>
      </w:pPr>
      <w:r w:rsidRPr="0061294F">
        <w:rPr>
          <w:rFonts w:ascii="Times New Roman" w:hAnsi="Times New Roman" w:cs="Times New Roman"/>
          <w:sz w:val="20"/>
          <w:szCs w:val="20"/>
        </w:rPr>
        <w:t>Источник: составлено автором по данным Рейтинга доходов населения – 2024</w:t>
      </w:r>
    </w:p>
    <w:p w14:paraId="0EF82623" w14:textId="77777777" w:rsidR="00C010B3" w:rsidRDefault="00C010B3" w:rsidP="00C010B3">
      <w:pPr>
        <w:spacing w:after="0" w:line="240" w:lineRule="auto"/>
        <w:ind w:firstLine="709"/>
        <w:jc w:val="both"/>
        <w:rPr>
          <w:rFonts w:ascii="Times New Roman" w:eastAsia="Times New Roman" w:hAnsi="Times New Roman" w:cs="Times New Roman"/>
          <w:bCs/>
          <w:iCs/>
          <w:sz w:val="24"/>
          <w:szCs w:val="24"/>
        </w:rPr>
      </w:pPr>
    </w:p>
    <w:p w14:paraId="35F2DAEB" w14:textId="77777777" w:rsidR="00C010B3" w:rsidRDefault="00CF175C" w:rsidP="00C010B3">
      <w:pPr>
        <w:spacing w:after="0" w:line="240" w:lineRule="auto"/>
        <w:ind w:firstLine="709"/>
        <w:jc w:val="both"/>
        <w:rPr>
          <w:rFonts w:ascii="Times New Roman" w:hAnsi="Times New Roman" w:cs="Times New Roman"/>
          <w:sz w:val="24"/>
          <w:szCs w:val="24"/>
        </w:rPr>
      </w:pPr>
      <w:r w:rsidRPr="00CF175C">
        <w:rPr>
          <w:rFonts w:ascii="Times New Roman" w:eastAsia="Times New Roman" w:hAnsi="Times New Roman" w:cs="Times New Roman"/>
          <w:bCs/>
          <w:iCs/>
          <w:sz w:val="24"/>
          <w:szCs w:val="24"/>
        </w:rPr>
        <w:t xml:space="preserve"> </w:t>
      </w:r>
      <w:r w:rsidR="00C010B3" w:rsidRPr="002B556A">
        <w:rPr>
          <w:rFonts w:ascii="Times New Roman" w:hAnsi="Times New Roman" w:cs="Times New Roman"/>
          <w:sz w:val="24"/>
          <w:szCs w:val="24"/>
        </w:rPr>
        <w:t>Для оптимизации группировки целесообраз</w:t>
      </w:r>
      <w:r w:rsidR="00C010B3">
        <w:rPr>
          <w:rFonts w:ascii="Times New Roman" w:hAnsi="Times New Roman" w:cs="Times New Roman"/>
          <w:sz w:val="24"/>
          <w:szCs w:val="24"/>
        </w:rPr>
        <w:t>но</w:t>
      </w:r>
      <w:r w:rsidR="00C010B3" w:rsidRPr="002B556A">
        <w:rPr>
          <w:rFonts w:ascii="Times New Roman" w:hAnsi="Times New Roman" w:cs="Times New Roman"/>
          <w:sz w:val="24"/>
          <w:szCs w:val="24"/>
        </w:rPr>
        <w:t xml:space="preserve"> объединить 4,5,6 и 7 интервалы, так как в них наблюдается малое количество частот</w:t>
      </w:r>
      <w:r w:rsidR="00C010B3">
        <w:rPr>
          <w:rFonts w:ascii="Times New Roman" w:hAnsi="Times New Roman" w:cs="Times New Roman"/>
          <w:sz w:val="24"/>
          <w:szCs w:val="24"/>
        </w:rPr>
        <w:t>,</w:t>
      </w:r>
      <w:r w:rsidR="00C010B3" w:rsidRPr="002B556A">
        <w:rPr>
          <w:rFonts w:ascii="Times New Roman" w:hAnsi="Times New Roman" w:cs="Times New Roman"/>
          <w:sz w:val="24"/>
          <w:szCs w:val="24"/>
        </w:rPr>
        <w:t xml:space="preserve"> демонстрирую</w:t>
      </w:r>
      <w:r w:rsidR="00C010B3">
        <w:rPr>
          <w:rFonts w:ascii="Times New Roman" w:hAnsi="Times New Roman" w:cs="Times New Roman"/>
          <w:sz w:val="24"/>
          <w:szCs w:val="24"/>
        </w:rPr>
        <w:t>щих</w:t>
      </w:r>
      <w:r w:rsidR="00C010B3" w:rsidRPr="002B556A">
        <w:rPr>
          <w:rFonts w:ascii="Times New Roman" w:hAnsi="Times New Roman" w:cs="Times New Roman"/>
          <w:sz w:val="24"/>
          <w:szCs w:val="24"/>
        </w:rPr>
        <w:t xml:space="preserve"> сверхвысокие значения относительно медианного. </w:t>
      </w:r>
      <w:r w:rsidR="00C010B3">
        <w:rPr>
          <w:rFonts w:ascii="Times New Roman" w:hAnsi="Times New Roman" w:cs="Times New Roman"/>
          <w:sz w:val="24"/>
          <w:szCs w:val="24"/>
        </w:rPr>
        <w:t>Н</w:t>
      </w:r>
      <w:r w:rsidR="00C010B3" w:rsidRPr="002B556A">
        <w:rPr>
          <w:rFonts w:ascii="Times New Roman" w:hAnsi="Times New Roman" w:cs="Times New Roman"/>
          <w:sz w:val="24"/>
          <w:szCs w:val="24"/>
        </w:rPr>
        <w:t xml:space="preserve">аличие таких субъектов </w:t>
      </w:r>
      <w:r w:rsidR="00C010B3">
        <w:rPr>
          <w:rFonts w:ascii="Times New Roman" w:hAnsi="Times New Roman" w:cs="Times New Roman"/>
          <w:sz w:val="24"/>
          <w:szCs w:val="24"/>
        </w:rPr>
        <w:t>связано с</w:t>
      </w:r>
      <w:r w:rsidR="00C010B3" w:rsidRPr="002B556A">
        <w:rPr>
          <w:rFonts w:ascii="Times New Roman" w:hAnsi="Times New Roman" w:cs="Times New Roman"/>
          <w:sz w:val="24"/>
          <w:szCs w:val="24"/>
        </w:rPr>
        <w:t xml:space="preserve"> точечной концентрацией богатства в крупнейших агломерациях страны и ресурсодобывающих регионах.</w:t>
      </w:r>
      <w:r w:rsidR="00C010B3">
        <w:rPr>
          <w:rFonts w:ascii="Times New Roman" w:hAnsi="Times New Roman" w:cs="Times New Roman"/>
          <w:sz w:val="24"/>
          <w:szCs w:val="24"/>
        </w:rPr>
        <w:t xml:space="preserve"> </w:t>
      </w:r>
    </w:p>
    <w:p w14:paraId="40C532CD" w14:textId="77777777" w:rsidR="00C010B3" w:rsidRPr="002B556A" w:rsidRDefault="00C010B3" w:rsidP="00C010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целях определения промежуточных подгрупп, отражающих средне-низкий, средний и средне-высокий уровень доходов населения, медианный интервал (1,51-1,92) был  разделен на 3 меньших интервала. Крайние интервалы (1,51-1,64 и 1,79-1,92) получили шаг 0,13, а отражающий среднюю группу – 0,15 (1,64-1,79). </w:t>
      </w:r>
      <w:r w:rsidRPr="002B556A">
        <w:rPr>
          <w:rFonts w:ascii="Times New Roman" w:hAnsi="Times New Roman" w:cs="Times New Roman"/>
          <w:sz w:val="24"/>
          <w:szCs w:val="24"/>
        </w:rPr>
        <w:t>В результате преобразований распределение сохранило правостороннюю асимметрию, однако стало более равномерным. Графически итоговый вариант группировки представлен на рис. 2, детальнее</w:t>
      </w:r>
      <w:r>
        <w:rPr>
          <w:rFonts w:ascii="Times New Roman" w:hAnsi="Times New Roman" w:cs="Times New Roman"/>
          <w:sz w:val="24"/>
          <w:szCs w:val="24"/>
        </w:rPr>
        <w:t xml:space="preserve"> по регионам</w:t>
      </w:r>
      <w:r w:rsidRPr="002B556A">
        <w:rPr>
          <w:rFonts w:ascii="Times New Roman" w:hAnsi="Times New Roman" w:cs="Times New Roman"/>
          <w:sz w:val="24"/>
          <w:szCs w:val="24"/>
        </w:rPr>
        <w:t xml:space="preserve"> – табл. 1. </w:t>
      </w:r>
    </w:p>
    <w:p w14:paraId="683ABC9C" w14:textId="77777777" w:rsidR="00C010B3" w:rsidRPr="002B556A" w:rsidRDefault="00C010B3" w:rsidP="00C010B3">
      <w:pPr>
        <w:spacing w:after="0" w:line="240" w:lineRule="auto"/>
        <w:ind w:firstLine="709"/>
        <w:jc w:val="center"/>
        <w:rPr>
          <w:rFonts w:ascii="Times New Roman" w:hAnsi="Times New Roman" w:cs="Times New Roman"/>
          <w:b/>
          <w:bCs/>
          <w:sz w:val="24"/>
          <w:szCs w:val="24"/>
        </w:rPr>
      </w:pPr>
      <w:r w:rsidRPr="002B556A">
        <w:rPr>
          <w:rFonts w:ascii="Times New Roman" w:hAnsi="Times New Roman" w:cs="Times New Roman"/>
          <w:b/>
          <w:bCs/>
          <w:noProof/>
          <w:sz w:val="24"/>
          <w:szCs w:val="24"/>
        </w:rPr>
        <w:drawing>
          <wp:inline distT="0" distB="0" distL="0" distR="0" wp14:anchorId="461BF40E" wp14:editId="054AD4FC">
            <wp:extent cx="4680000" cy="2880000"/>
            <wp:effectExtent l="0" t="0" r="63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0629A38" w14:textId="77777777" w:rsidR="00C010B3" w:rsidRDefault="00C010B3" w:rsidP="00C010B3">
      <w:pPr>
        <w:spacing w:after="0" w:line="240" w:lineRule="auto"/>
        <w:ind w:firstLine="709"/>
        <w:jc w:val="center"/>
        <w:rPr>
          <w:rFonts w:ascii="Times New Roman" w:hAnsi="Times New Roman" w:cs="Times New Roman"/>
          <w:sz w:val="24"/>
          <w:szCs w:val="24"/>
        </w:rPr>
      </w:pPr>
      <w:r w:rsidRPr="002B556A">
        <w:rPr>
          <w:rFonts w:ascii="Times New Roman" w:hAnsi="Times New Roman" w:cs="Times New Roman"/>
          <w:sz w:val="24"/>
          <w:szCs w:val="24"/>
        </w:rPr>
        <w:t xml:space="preserve">Рисунок 2. </w:t>
      </w:r>
      <w:r w:rsidRPr="0061294F">
        <w:rPr>
          <w:rFonts w:ascii="Times New Roman" w:hAnsi="Times New Roman" w:cs="Times New Roman"/>
          <w:sz w:val="24"/>
          <w:szCs w:val="24"/>
        </w:rPr>
        <w:t>Оптимизированное распределение регионов России по отношению медианных доходов к стоимости фиксированного набора потребительских товаров и услуг в 2023 г.</w:t>
      </w:r>
    </w:p>
    <w:p w14:paraId="51C31F40" w14:textId="77777777" w:rsidR="00C010B3" w:rsidRPr="0061294F" w:rsidRDefault="00C010B3" w:rsidP="00C010B3">
      <w:pPr>
        <w:spacing w:after="0" w:line="240" w:lineRule="auto"/>
        <w:rPr>
          <w:rFonts w:ascii="Times New Roman" w:hAnsi="Times New Roman" w:cs="Times New Roman"/>
          <w:sz w:val="16"/>
          <w:szCs w:val="16"/>
        </w:rPr>
      </w:pPr>
      <w:r w:rsidRPr="0061294F">
        <w:rPr>
          <w:rFonts w:ascii="Times New Roman" w:hAnsi="Times New Roman" w:cs="Times New Roman"/>
          <w:sz w:val="20"/>
          <w:szCs w:val="20"/>
        </w:rPr>
        <w:t>Источник: составлено автором по данным Рейтинга доходов населения – 2024</w:t>
      </w:r>
    </w:p>
    <w:p w14:paraId="0E487039" w14:textId="77777777" w:rsidR="00203ED7" w:rsidRPr="002B556A" w:rsidRDefault="00203ED7" w:rsidP="00C010B3">
      <w:pPr>
        <w:spacing w:after="0" w:line="240" w:lineRule="auto"/>
        <w:ind w:firstLine="709"/>
        <w:jc w:val="both"/>
        <w:rPr>
          <w:rFonts w:ascii="Times New Roman" w:hAnsi="Times New Roman" w:cs="Times New Roman"/>
          <w:b/>
          <w:bCs/>
          <w:sz w:val="24"/>
          <w:szCs w:val="24"/>
        </w:rPr>
      </w:pPr>
    </w:p>
    <w:p w14:paraId="268F997D" w14:textId="77777777" w:rsidR="00C010B3" w:rsidRDefault="00C010B3" w:rsidP="00C010B3">
      <w:pPr>
        <w:pStyle w:val="a9"/>
        <w:widowControl w:val="0"/>
        <w:jc w:val="right"/>
        <w:rPr>
          <w:rFonts w:ascii="Times New Roman" w:hAnsi="Times New Roman" w:cs="Times New Roman"/>
          <w:b/>
          <w:bCs/>
          <w:sz w:val="24"/>
          <w:szCs w:val="20"/>
        </w:rPr>
      </w:pPr>
      <w:r w:rsidRPr="00516374">
        <w:rPr>
          <w:rFonts w:ascii="Times New Roman" w:hAnsi="Times New Roman" w:cs="Times New Roman"/>
          <w:sz w:val="24"/>
          <w:szCs w:val="20"/>
        </w:rPr>
        <w:lastRenderedPageBreak/>
        <w:t>Таблица 1</w:t>
      </w:r>
    </w:p>
    <w:p w14:paraId="6E0016B1" w14:textId="77777777" w:rsidR="00C010B3" w:rsidRPr="0061294F" w:rsidRDefault="00C010B3" w:rsidP="00C010B3">
      <w:pPr>
        <w:pStyle w:val="a9"/>
        <w:widowControl w:val="0"/>
        <w:jc w:val="center"/>
        <w:rPr>
          <w:rFonts w:ascii="Times New Roman" w:hAnsi="Times New Roman" w:cs="Times New Roman"/>
          <w:sz w:val="24"/>
          <w:szCs w:val="20"/>
        </w:rPr>
      </w:pPr>
      <w:r w:rsidRPr="0061294F">
        <w:rPr>
          <w:rFonts w:ascii="Times New Roman" w:hAnsi="Times New Roman" w:cs="Times New Roman"/>
          <w:sz w:val="24"/>
          <w:szCs w:val="20"/>
        </w:rPr>
        <w:t>Результаты распределения регионов по отношению медианных доходов к стоимости фиксированного набора потребительских товаров и услуг в 2023 г.</w:t>
      </w:r>
    </w:p>
    <w:tbl>
      <w:tblPr>
        <w:tblStyle w:val="ab"/>
        <w:tblW w:w="9776" w:type="dxa"/>
        <w:jc w:val="center"/>
        <w:tblLook w:val="04A0" w:firstRow="1" w:lastRow="0" w:firstColumn="1" w:lastColumn="0" w:noHBand="0" w:noVBand="1"/>
      </w:tblPr>
      <w:tblGrid>
        <w:gridCol w:w="1555"/>
        <w:gridCol w:w="1559"/>
        <w:gridCol w:w="1276"/>
        <w:gridCol w:w="5386"/>
      </w:tblGrid>
      <w:tr w:rsidR="00C010B3" w14:paraId="7D142BDF" w14:textId="77777777" w:rsidTr="00993B87">
        <w:trPr>
          <w:jc w:val="center"/>
        </w:trPr>
        <w:tc>
          <w:tcPr>
            <w:tcW w:w="1555" w:type="dxa"/>
          </w:tcPr>
          <w:p w14:paraId="14736CAE" w14:textId="77777777" w:rsidR="00C010B3" w:rsidRPr="005C5F2F"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Условное обозначение группы</w:t>
            </w:r>
          </w:p>
        </w:tc>
        <w:tc>
          <w:tcPr>
            <w:tcW w:w="1559" w:type="dxa"/>
            <w:vAlign w:val="center"/>
          </w:tcPr>
          <w:p w14:paraId="2B1D03BD" w14:textId="77777777" w:rsidR="00C010B3" w:rsidRPr="005C5F2F"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Уровень дохода</w:t>
            </w:r>
          </w:p>
        </w:tc>
        <w:tc>
          <w:tcPr>
            <w:tcW w:w="1276" w:type="dxa"/>
            <w:vAlign w:val="center"/>
          </w:tcPr>
          <w:p w14:paraId="132529CD" w14:textId="77777777" w:rsidR="00C010B3" w:rsidRPr="005C5F2F" w:rsidRDefault="00C010B3" w:rsidP="00993B87">
            <w:pPr>
              <w:pStyle w:val="a9"/>
              <w:widowControl w:val="0"/>
              <w:jc w:val="center"/>
              <w:rPr>
                <w:rFonts w:ascii="Times New Roman" w:hAnsi="Times New Roman" w:cs="Times New Roman"/>
                <w:sz w:val="20"/>
                <w:szCs w:val="20"/>
              </w:rPr>
            </w:pPr>
            <w:r w:rsidRPr="005C5F2F">
              <w:rPr>
                <w:rFonts w:ascii="Times New Roman" w:hAnsi="Times New Roman" w:cs="Times New Roman"/>
                <w:sz w:val="20"/>
                <w:szCs w:val="20"/>
              </w:rPr>
              <w:t>Интервал</w:t>
            </w:r>
          </w:p>
        </w:tc>
        <w:tc>
          <w:tcPr>
            <w:tcW w:w="5386" w:type="dxa"/>
            <w:vAlign w:val="center"/>
          </w:tcPr>
          <w:p w14:paraId="13C16389" w14:textId="77777777" w:rsidR="00C010B3" w:rsidRPr="005C5F2F" w:rsidRDefault="00C010B3" w:rsidP="00993B87">
            <w:pPr>
              <w:pStyle w:val="a9"/>
              <w:widowControl w:val="0"/>
              <w:jc w:val="center"/>
              <w:rPr>
                <w:rFonts w:ascii="Times New Roman" w:hAnsi="Times New Roman" w:cs="Times New Roman"/>
                <w:sz w:val="20"/>
                <w:szCs w:val="20"/>
              </w:rPr>
            </w:pPr>
            <w:r w:rsidRPr="005C5F2F">
              <w:rPr>
                <w:rFonts w:ascii="Times New Roman" w:hAnsi="Times New Roman" w:cs="Times New Roman"/>
                <w:sz w:val="20"/>
                <w:szCs w:val="20"/>
              </w:rPr>
              <w:t>Регионы</w:t>
            </w:r>
          </w:p>
        </w:tc>
      </w:tr>
      <w:tr w:rsidR="00C010B3" w14:paraId="1D1ED67D" w14:textId="77777777" w:rsidTr="00993B87">
        <w:trPr>
          <w:trHeight w:val="70"/>
          <w:jc w:val="center"/>
        </w:trPr>
        <w:tc>
          <w:tcPr>
            <w:tcW w:w="1555" w:type="dxa"/>
            <w:vAlign w:val="center"/>
          </w:tcPr>
          <w:p w14:paraId="09E4178E" w14:textId="77777777" w:rsidR="00C010B3" w:rsidRPr="008A5AD0" w:rsidRDefault="00C010B3" w:rsidP="00993B87">
            <w:pPr>
              <w:pStyle w:val="a9"/>
              <w:widowControl w:val="0"/>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U</w:t>
            </w:r>
            <w:r w:rsidRPr="008A5AD0">
              <w:rPr>
                <w:rFonts w:ascii="Times New Roman" w:hAnsi="Times New Roman" w:cs="Times New Roman"/>
                <w:b/>
                <w:bCs/>
                <w:sz w:val="20"/>
                <w:szCs w:val="20"/>
                <w:lang w:val="en-US"/>
              </w:rPr>
              <w:t>H.I.</w:t>
            </w:r>
          </w:p>
        </w:tc>
        <w:tc>
          <w:tcPr>
            <w:tcW w:w="1559" w:type="dxa"/>
            <w:vAlign w:val="center"/>
          </w:tcPr>
          <w:p w14:paraId="0E685AB6" w14:textId="77777777" w:rsidR="00C010B3" w:rsidRPr="005C5F2F"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Сверхвысокий (8 регионов)</w:t>
            </w:r>
          </w:p>
        </w:tc>
        <w:tc>
          <w:tcPr>
            <w:tcW w:w="1276" w:type="dxa"/>
            <w:vAlign w:val="center"/>
          </w:tcPr>
          <w:p w14:paraId="546CAD77" w14:textId="77777777" w:rsidR="00C010B3" w:rsidRPr="00852C72" w:rsidRDefault="00C010B3" w:rsidP="00993B87">
            <w:pPr>
              <w:pStyle w:val="a9"/>
              <w:widowControl w:val="0"/>
              <w:jc w:val="center"/>
              <w:rPr>
                <w:rFonts w:ascii="Times New Roman" w:hAnsi="Times New Roman" w:cs="Times New Roman"/>
                <w:sz w:val="20"/>
                <w:szCs w:val="20"/>
                <w:lang w:val="en-US"/>
              </w:rPr>
            </w:pPr>
            <w:r>
              <w:rPr>
                <w:rFonts w:ascii="Times New Roman" w:hAnsi="Times New Roman" w:cs="Times New Roman"/>
                <w:sz w:val="20"/>
                <w:szCs w:val="20"/>
              </w:rPr>
              <w:t>(2,33 – 3,96)</w:t>
            </w:r>
          </w:p>
        </w:tc>
        <w:tc>
          <w:tcPr>
            <w:tcW w:w="5386" w:type="dxa"/>
            <w:vAlign w:val="center"/>
          </w:tcPr>
          <w:p w14:paraId="684794A8" w14:textId="77777777" w:rsidR="00C010B3" w:rsidRPr="005C5F2F" w:rsidRDefault="00C010B3" w:rsidP="00993B87">
            <w:pPr>
              <w:pStyle w:val="a9"/>
              <w:widowControl w:val="0"/>
              <w:jc w:val="both"/>
              <w:rPr>
                <w:rFonts w:ascii="Times New Roman" w:hAnsi="Times New Roman" w:cs="Times New Roman"/>
                <w:sz w:val="20"/>
                <w:szCs w:val="20"/>
              </w:rPr>
            </w:pPr>
            <w:r>
              <w:rPr>
                <w:rFonts w:ascii="Times New Roman" w:hAnsi="Times New Roman" w:cs="Times New Roman"/>
                <w:sz w:val="20"/>
                <w:szCs w:val="20"/>
              </w:rPr>
              <w:t xml:space="preserve">Ямало-Ненецкий А.О., </w:t>
            </w:r>
            <w:r w:rsidRPr="00516374">
              <w:rPr>
                <w:rFonts w:ascii="Times New Roman" w:hAnsi="Times New Roman" w:cs="Times New Roman"/>
                <w:b/>
                <w:bCs/>
                <w:sz w:val="20"/>
                <w:szCs w:val="20"/>
              </w:rPr>
              <w:t xml:space="preserve">Ненецкий </w:t>
            </w:r>
            <w:r w:rsidRPr="00A02572">
              <w:rPr>
                <w:rFonts w:ascii="Times New Roman" w:hAnsi="Times New Roman" w:cs="Times New Roman"/>
                <w:b/>
                <w:bCs/>
                <w:sz w:val="20"/>
                <w:szCs w:val="20"/>
              </w:rPr>
              <w:t>А.О</w:t>
            </w:r>
            <w:r w:rsidRPr="00516374">
              <w:rPr>
                <w:rFonts w:ascii="Times New Roman" w:hAnsi="Times New Roman" w:cs="Times New Roman"/>
                <w:b/>
                <w:bCs/>
                <w:sz w:val="20"/>
                <w:szCs w:val="20"/>
              </w:rPr>
              <w:t>.</w:t>
            </w:r>
            <w:r w:rsidRPr="00516374">
              <w:rPr>
                <w:rFonts w:ascii="Times New Roman" w:hAnsi="Times New Roman" w:cs="Times New Roman"/>
                <w:sz w:val="20"/>
                <w:szCs w:val="20"/>
              </w:rPr>
              <w:t>,</w:t>
            </w:r>
            <w:r>
              <w:rPr>
                <w:rFonts w:ascii="Times New Roman" w:hAnsi="Times New Roman" w:cs="Times New Roman"/>
                <w:sz w:val="20"/>
                <w:szCs w:val="20"/>
              </w:rPr>
              <w:t xml:space="preserve"> Чукотский А.О., Магаданская обл., г. Москва, Сахалинская обл., </w:t>
            </w:r>
            <w:r w:rsidRPr="00516374">
              <w:rPr>
                <w:rFonts w:ascii="Times New Roman" w:hAnsi="Times New Roman" w:cs="Times New Roman"/>
                <w:b/>
                <w:bCs/>
                <w:sz w:val="20"/>
                <w:szCs w:val="20"/>
              </w:rPr>
              <w:t>Мурманская обл.</w:t>
            </w:r>
            <w:r>
              <w:rPr>
                <w:rFonts w:ascii="Times New Roman" w:hAnsi="Times New Roman" w:cs="Times New Roman"/>
                <w:sz w:val="20"/>
                <w:szCs w:val="20"/>
              </w:rPr>
              <w:t>, Ханты-Мансийский А.О.</w:t>
            </w:r>
          </w:p>
        </w:tc>
      </w:tr>
      <w:tr w:rsidR="00C010B3" w14:paraId="165BC9DC" w14:textId="77777777" w:rsidTr="00993B87">
        <w:trPr>
          <w:trHeight w:val="70"/>
          <w:jc w:val="center"/>
        </w:trPr>
        <w:tc>
          <w:tcPr>
            <w:tcW w:w="1555" w:type="dxa"/>
            <w:vAlign w:val="center"/>
          </w:tcPr>
          <w:p w14:paraId="43172AA3" w14:textId="77777777" w:rsidR="00C010B3" w:rsidRPr="008A5AD0" w:rsidRDefault="00C010B3" w:rsidP="00993B87">
            <w:pPr>
              <w:pStyle w:val="a9"/>
              <w:widowControl w:val="0"/>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H</w:t>
            </w:r>
            <w:r w:rsidRPr="008A5AD0">
              <w:rPr>
                <w:rFonts w:ascii="Times New Roman" w:hAnsi="Times New Roman" w:cs="Times New Roman"/>
                <w:b/>
                <w:bCs/>
                <w:sz w:val="20"/>
                <w:szCs w:val="20"/>
                <w:lang w:val="en-US"/>
              </w:rPr>
              <w:t>.I.</w:t>
            </w:r>
          </w:p>
        </w:tc>
        <w:tc>
          <w:tcPr>
            <w:tcW w:w="1559" w:type="dxa"/>
            <w:vAlign w:val="center"/>
          </w:tcPr>
          <w:p w14:paraId="6ACB9604"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 xml:space="preserve">Высокий </w:t>
            </w:r>
          </w:p>
          <w:p w14:paraId="1F46F963"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(9 регионов)</w:t>
            </w:r>
          </w:p>
        </w:tc>
        <w:tc>
          <w:tcPr>
            <w:tcW w:w="1276" w:type="dxa"/>
            <w:vAlign w:val="center"/>
          </w:tcPr>
          <w:p w14:paraId="00DA0E08" w14:textId="77777777" w:rsidR="00C010B3" w:rsidRPr="00C561D2" w:rsidRDefault="00C010B3" w:rsidP="00993B87">
            <w:pPr>
              <w:pStyle w:val="a9"/>
              <w:widowControl w:val="0"/>
              <w:jc w:val="center"/>
              <w:rPr>
                <w:rFonts w:ascii="Times New Roman" w:hAnsi="Times New Roman" w:cs="Times New Roman"/>
                <w:sz w:val="20"/>
                <w:szCs w:val="20"/>
                <w:lang w:val="en-US"/>
              </w:rPr>
            </w:pPr>
            <w:r>
              <w:rPr>
                <w:rFonts w:ascii="Times New Roman" w:hAnsi="Times New Roman" w:cs="Times New Roman"/>
                <w:sz w:val="20"/>
                <w:szCs w:val="20"/>
              </w:rPr>
              <w:t>(1,92 – 2,33)</w:t>
            </w:r>
          </w:p>
        </w:tc>
        <w:tc>
          <w:tcPr>
            <w:tcW w:w="5386" w:type="dxa"/>
            <w:vAlign w:val="center"/>
          </w:tcPr>
          <w:p w14:paraId="4858EBD3" w14:textId="77777777" w:rsidR="00C010B3" w:rsidRPr="00516374" w:rsidRDefault="00C010B3" w:rsidP="00993B87">
            <w:pPr>
              <w:pStyle w:val="a9"/>
              <w:widowControl w:val="0"/>
              <w:jc w:val="both"/>
              <w:rPr>
                <w:rFonts w:ascii="Times New Roman" w:hAnsi="Times New Roman" w:cs="Times New Roman"/>
                <w:b/>
                <w:bCs/>
                <w:sz w:val="20"/>
                <w:szCs w:val="20"/>
              </w:rPr>
            </w:pPr>
            <w:r w:rsidRPr="00516374">
              <w:rPr>
                <w:rFonts w:ascii="Times New Roman" w:hAnsi="Times New Roman" w:cs="Times New Roman"/>
                <w:b/>
                <w:bCs/>
                <w:sz w:val="20"/>
                <w:szCs w:val="20"/>
              </w:rPr>
              <w:t>г. Санкт-Петербург</w:t>
            </w:r>
            <w:r>
              <w:rPr>
                <w:rFonts w:ascii="Times New Roman" w:hAnsi="Times New Roman" w:cs="Times New Roman"/>
                <w:sz w:val="20"/>
                <w:szCs w:val="20"/>
              </w:rPr>
              <w:t xml:space="preserve">, Московская обл., Респ. Татарстан Белгородская обл., Камчатский край, Орловская обл., Свердловская обл., </w:t>
            </w:r>
            <w:r w:rsidRPr="00516374">
              <w:rPr>
                <w:rFonts w:ascii="Times New Roman" w:hAnsi="Times New Roman" w:cs="Times New Roman"/>
                <w:b/>
                <w:bCs/>
                <w:sz w:val="20"/>
                <w:szCs w:val="20"/>
              </w:rPr>
              <w:t>Респ. Карелия</w:t>
            </w:r>
            <w:r>
              <w:rPr>
                <w:rFonts w:ascii="Times New Roman" w:hAnsi="Times New Roman" w:cs="Times New Roman"/>
                <w:sz w:val="20"/>
                <w:szCs w:val="20"/>
              </w:rPr>
              <w:t>, Респ. Саха</w:t>
            </w:r>
          </w:p>
        </w:tc>
      </w:tr>
      <w:tr w:rsidR="00C010B3" w14:paraId="1AB4D421" w14:textId="77777777" w:rsidTr="00993B87">
        <w:trPr>
          <w:trHeight w:val="297"/>
          <w:jc w:val="center"/>
        </w:trPr>
        <w:tc>
          <w:tcPr>
            <w:tcW w:w="1555" w:type="dxa"/>
            <w:vAlign w:val="center"/>
          </w:tcPr>
          <w:p w14:paraId="5A5BB172" w14:textId="77777777" w:rsidR="00C010B3" w:rsidRPr="008A5AD0" w:rsidRDefault="00C010B3" w:rsidP="00993B87">
            <w:pPr>
              <w:pStyle w:val="a9"/>
              <w:widowControl w:val="0"/>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MH</w:t>
            </w:r>
            <w:r w:rsidRPr="008A5AD0">
              <w:rPr>
                <w:rFonts w:ascii="Times New Roman" w:hAnsi="Times New Roman" w:cs="Times New Roman"/>
                <w:b/>
                <w:bCs/>
                <w:sz w:val="20"/>
                <w:szCs w:val="20"/>
                <w:lang w:val="en-US"/>
              </w:rPr>
              <w:t>.I.</w:t>
            </w:r>
          </w:p>
        </w:tc>
        <w:tc>
          <w:tcPr>
            <w:tcW w:w="1559" w:type="dxa"/>
            <w:vAlign w:val="center"/>
          </w:tcPr>
          <w:p w14:paraId="0AB348EB"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 xml:space="preserve">Средне-высокий </w:t>
            </w:r>
          </w:p>
          <w:p w14:paraId="1B01256E"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(9 регионов)</w:t>
            </w:r>
          </w:p>
        </w:tc>
        <w:tc>
          <w:tcPr>
            <w:tcW w:w="1276" w:type="dxa"/>
            <w:vAlign w:val="center"/>
          </w:tcPr>
          <w:p w14:paraId="1605C06F" w14:textId="77777777" w:rsidR="00C010B3" w:rsidRPr="00C561D2" w:rsidRDefault="00C010B3" w:rsidP="00993B87">
            <w:pPr>
              <w:pStyle w:val="a9"/>
              <w:widowControl w:val="0"/>
              <w:jc w:val="center"/>
              <w:rPr>
                <w:rFonts w:ascii="Times New Roman" w:hAnsi="Times New Roman" w:cs="Times New Roman"/>
                <w:sz w:val="20"/>
                <w:szCs w:val="20"/>
                <w:lang w:val="en-US"/>
              </w:rPr>
            </w:pPr>
            <w:r>
              <w:rPr>
                <w:rFonts w:ascii="Times New Roman" w:hAnsi="Times New Roman" w:cs="Times New Roman"/>
                <w:sz w:val="20"/>
                <w:szCs w:val="20"/>
              </w:rPr>
              <w:t>(1,79 – 1,92)</w:t>
            </w:r>
          </w:p>
        </w:tc>
        <w:tc>
          <w:tcPr>
            <w:tcW w:w="5386" w:type="dxa"/>
            <w:vAlign w:val="center"/>
          </w:tcPr>
          <w:p w14:paraId="75B42322" w14:textId="77777777" w:rsidR="00C010B3" w:rsidRPr="00516374" w:rsidRDefault="00C010B3" w:rsidP="00993B87">
            <w:pPr>
              <w:pStyle w:val="a9"/>
              <w:widowControl w:val="0"/>
              <w:jc w:val="both"/>
              <w:rPr>
                <w:rFonts w:ascii="Times New Roman" w:hAnsi="Times New Roman" w:cs="Times New Roman"/>
                <w:b/>
                <w:bCs/>
                <w:sz w:val="20"/>
                <w:szCs w:val="20"/>
              </w:rPr>
            </w:pPr>
            <w:r>
              <w:rPr>
                <w:rFonts w:ascii="Times New Roman" w:hAnsi="Times New Roman" w:cs="Times New Roman"/>
                <w:sz w:val="20"/>
                <w:szCs w:val="20"/>
              </w:rPr>
              <w:t xml:space="preserve">Липецкая обл., Нижегородская обл., </w:t>
            </w:r>
            <w:r w:rsidRPr="00516374">
              <w:rPr>
                <w:rFonts w:ascii="Times New Roman" w:hAnsi="Times New Roman" w:cs="Times New Roman"/>
                <w:b/>
                <w:bCs/>
                <w:sz w:val="20"/>
                <w:szCs w:val="20"/>
              </w:rPr>
              <w:t>Респ. Коми</w:t>
            </w:r>
            <w:r>
              <w:rPr>
                <w:rFonts w:ascii="Times New Roman" w:hAnsi="Times New Roman" w:cs="Times New Roman"/>
                <w:sz w:val="20"/>
                <w:szCs w:val="20"/>
              </w:rPr>
              <w:t xml:space="preserve">, Краснодарский край, Амурская обл., </w:t>
            </w:r>
            <w:r w:rsidRPr="00516374">
              <w:rPr>
                <w:rFonts w:ascii="Times New Roman" w:hAnsi="Times New Roman" w:cs="Times New Roman"/>
                <w:b/>
                <w:bCs/>
                <w:sz w:val="20"/>
                <w:szCs w:val="20"/>
              </w:rPr>
              <w:t>Архангельская обл.</w:t>
            </w:r>
            <w:r>
              <w:rPr>
                <w:rFonts w:ascii="Times New Roman" w:hAnsi="Times New Roman" w:cs="Times New Roman"/>
                <w:sz w:val="20"/>
                <w:szCs w:val="20"/>
              </w:rPr>
              <w:t>, Новосибирская обл., Хабаровский край, Костромская обл., Красноярский край, Курская обл.</w:t>
            </w:r>
          </w:p>
        </w:tc>
      </w:tr>
      <w:tr w:rsidR="00C010B3" w14:paraId="00D6768A" w14:textId="77777777" w:rsidTr="00993B87">
        <w:trPr>
          <w:jc w:val="center"/>
        </w:trPr>
        <w:tc>
          <w:tcPr>
            <w:tcW w:w="1555" w:type="dxa"/>
            <w:vAlign w:val="center"/>
          </w:tcPr>
          <w:p w14:paraId="263AA45F" w14:textId="77777777" w:rsidR="00C010B3" w:rsidRPr="008A5AD0" w:rsidRDefault="00C010B3" w:rsidP="00993B87">
            <w:pPr>
              <w:pStyle w:val="a9"/>
              <w:widowControl w:val="0"/>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M.I.</w:t>
            </w:r>
          </w:p>
        </w:tc>
        <w:tc>
          <w:tcPr>
            <w:tcW w:w="1559" w:type="dxa"/>
            <w:vAlign w:val="center"/>
          </w:tcPr>
          <w:p w14:paraId="32C094B3"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Средний</w:t>
            </w:r>
          </w:p>
          <w:p w14:paraId="211555BF"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(25 регионов)</w:t>
            </w:r>
          </w:p>
        </w:tc>
        <w:tc>
          <w:tcPr>
            <w:tcW w:w="1276" w:type="dxa"/>
            <w:vAlign w:val="center"/>
          </w:tcPr>
          <w:p w14:paraId="4A873523"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(1,64 – 1,79)</w:t>
            </w:r>
          </w:p>
        </w:tc>
        <w:tc>
          <w:tcPr>
            <w:tcW w:w="5386" w:type="dxa"/>
            <w:vAlign w:val="center"/>
          </w:tcPr>
          <w:p w14:paraId="400E54C2" w14:textId="77777777" w:rsidR="00C010B3" w:rsidRDefault="00C010B3" w:rsidP="00993B87">
            <w:pPr>
              <w:pStyle w:val="a9"/>
              <w:widowControl w:val="0"/>
              <w:jc w:val="both"/>
              <w:rPr>
                <w:rFonts w:ascii="Times New Roman" w:hAnsi="Times New Roman" w:cs="Times New Roman"/>
                <w:sz w:val="20"/>
                <w:szCs w:val="20"/>
              </w:rPr>
            </w:pPr>
            <w:r>
              <w:rPr>
                <w:rFonts w:ascii="Times New Roman" w:hAnsi="Times New Roman" w:cs="Times New Roman"/>
                <w:sz w:val="20"/>
                <w:szCs w:val="20"/>
              </w:rPr>
              <w:t xml:space="preserve">Приморский край, Калужская обл., Ярославская обл., </w:t>
            </w:r>
            <w:r w:rsidRPr="00516374">
              <w:rPr>
                <w:rFonts w:ascii="Times New Roman" w:hAnsi="Times New Roman" w:cs="Times New Roman"/>
                <w:b/>
                <w:bCs/>
                <w:sz w:val="20"/>
                <w:szCs w:val="20"/>
              </w:rPr>
              <w:t>Ленинградская обл.</w:t>
            </w:r>
            <w:r>
              <w:rPr>
                <w:rFonts w:ascii="Times New Roman" w:hAnsi="Times New Roman" w:cs="Times New Roman"/>
                <w:sz w:val="20"/>
                <w:szCs w:val="20"/>
              </w:rPr>
              <w:t xml:space="preserve">, Самарская обл., Тверская обл., Ростовская обл., Тюменская обл., Челябинская обл., Воронежская обл., Пермский край, Иркутская обл., Омская обл., Респ. Адыгея, Тульская обл., Смоленская обл., Кемеровская обл., </w:t>
            </w:r>
            <w:r w:rsidRPr="00516374">
              <w:rPr>
                <w:rFonts w:ascii="Times New Roman" w:hAnsi="Times New Roman" w:cs="Times New Roman"/>
                <w:b/>
                <w:bCs/>
                <w:sz w:val="20"/>
                <w:szCs w:val="20"/>
              </w:rPr>
              <w:t>Новгородская обл.</w:t>
            </w:r>
            <w:r>
              <w:rPr>
                <w:rFonts w:ascii="Times New Roman" w:hAnsi="Times New Roman" w:cs="Times New Roman"/>
                <w:sz w:val="20"/>
                <w:szCs w:val="20"/>
              </w:rPr>
              <w:t>, Респ. Башкортостан, Респ. Дагестан, Тамбовская обл., Томская обл., Удмуртская Респ., Астраханская обл., Ивановская обл.</w:t>
            </w:r>
          </w:p>
        </w:tc>
      </w:tr>
      <w:tr w:rsidR="00C010B3" w14:paraId="42710C00" w14:textId="77777777" w:rsidTr="00993B87">
        <w:trPr>
          <w:jc w:val="center"/>
        </w:trPr>
        <w:tc>
          <w:tcPr>
            <w:tcW w:w="1555" w:type="dxa"/>
            <w:vAlign w:val="center"/>
          </w:tcPr>
          <w:p w14:paraId="3E8E3A5D" w14:textId="77777777" w:rsidR="00C010B3" w:rsidRPr="00AB1897" w:rsidRDefault="00C010B3" w:rsidP="00993B87">
            <w:pPr>
              <w:pStyle w:val="a9"/>
              <w:widowControl w:val="0"/>
              <w:jc w:val="center"/>
              <w:rPr>
                <w:rFonts w:ascii="Times New Roman" w:hAnsi="Times New Roman" w:cs="Times New Roman"/>
                <w:b/>
                <w:bCs/>
                <w:sz w:val="20"/>
                <w:szCs w:val="20"/>
              </w:rPr>
            </w:pPr>
            <w:r>
              <w:rPr>
                <w:rFonts w:ascii="Times New Roman" w:hAnsi="Times New Roman" w:cs="Times New Roman"/>
                <w:b/>
                <w:bCs/>
                <w:sz w:val="20"/>
                <w:szCs w:val="20"/>
                <w:lang w:val="en-US"/>
              </w:rPr>
              <w:t>ML.I.</w:t>
            </w:r>
          </w:p>
        </w:tc>
        <w:tc>
          <w:tcPr>
            <w:tcW w:w="1559" w:type="dxa"/>
            <w:vAlign w:val="center"/>
          </w:tcPr>
          <w:p w14:paraId="7161DE65"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Средне-низкий</w:t>
            </w:r>
          </w:p>
          <w:p w14:paraId="529DC17A"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(16 регионов)</w:t>
            </w:r>
          </w:p>
        </w:tc>
        <w:tc>
          <w:tcPr>
            <w:tcW w:w="1276" w:type="dxa"/>
            <w:vAlign w:val="center"/>
          </w:tcPr>
          <w:p w14:paraId="091437AC"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(1,51 – 1,64)</w:t>
            </w:r>
          </w:p>
        </w:tc>
        <w:tc>
          <w:tcPr>
            <w:tcW w:w="5386" w:type="dxa"/>
            <w:vAlign w:val="center"/>
          </w:tcPr>
          <w:p w14:paraId="67A8667F" w14:textId="77777777" w:rsidR="00C010B3" w:rsidRDefault="00C010B3" w:rsidP="00993B87">
            <w:pPr>
              <w:pStyle w:val="a9"/>
              <w:widowControl w:val="0"/>
              <w:jc w:val="both"/>
              <w:rPr>
                <w:rFonts w:ascii="Times New Roman" w:hAnsi="Times New Roman" w:cs="Times New Roman"/>
                <w:sz w:val="20"/>
                <w:szCs w:val="20"/>
              </w:rPr>
            </w:pPr>
            <w:r>
              <w:rPr>
                <w:rFonts w:ascii="Times New Roman" w:hAnsi="Times New Roman" w:cs="Times New Roman"/>
                <w:sz w:val="20"/>
                <w:szCs w:val="20"/>
              </w:rPr>
              <w:t xml:space="preserve">Кировская обл., </w:t>
            </w:r>
            <w:r w:rsidRPr="00516374">
              <w:rPr>
                <w:rFonts w:ascii="Times New Roman" w:hAnsi="Times New Roman" w:cs="Times New Roman"/>
                <w:b/>
                <w:bCs/>
                <w:sz w:val="20"/>
                <w:szCs w:val="20"/>
              </w:rPr>
              <w:t>Калининградская обл.</w:t>
            </w:r>
            <w:r>
              <w:rPr>
                <w:rFonts w:ascii="Times New Roman" w:hAnsi="Times New Roman" w:cs="Times New Roman"/>
                <w:sz w:val="20"/>
                <w:szCs w:val="20"/>
              </w:rPr>
              <w:t xml:space="preserve">, Брянская обл., Забайкальский край, Рязанская обл., г. Севастополь, </w:t>
            </w:r>
            <w:r w:rsidRPr="00516374">
              <w:rPr>
                <w:rFonts w:ascii="Times New Roman" w:hAnsi="Times New Roman" w:cs="Times New Roman"/>
                <w:b/>
                <w:bCs/>
                <w:sz w:val="20"/>
                <w:szCs w:val="20"/>
              </w:rPr>
              <w:t>Вологодская обл.</w:t>
            </w:r>
            <w:r>
              <w:rPr>
                <w:rFonts w:ascii="Times New Roman" w:hAnsi="Times New Roman" w:cs="Times New Roman"/>
                <w:sz w:val="20"/>
                <w:szCs w:val="20"/>
              </w:rPr>
              <w:t xml:space="preserve">, </w:t>
            </w:r>
            <w:r w:rsidRPr="00516374">
              <w:rPr>
                <w:rFonts w:ascii="Times New Roman" w:hAnsi="Times New Roman" w:cs="Times New Roman"/>
                <w:b/>
                <w:bCs/>
                <w:sz w:val="20"/>
                <w:szCs w:val="20"/>
              </w:rPr>
              <w:t>Псковская обл.</w:t>
            </w:r>
            <w:r>
              <w:rPr>
                <w:rFonts w:ascii="Times New Roman" w:hAnsi="Times New Roman" w:cs="Times New Roman"/>
                <w:sz w:val="20"/>
                <w:szCs w:val="20"/>
              </w:rPr>
              <w:t>, Оренбургская обл., Волгоградская обл., Пензенская обл., Владимирская обл., Кабардино-Балкарская Респ., Респ. Северная Осетия – Алания</w:t>
            </w:r>
          </w:p>
        </w:tc>
      </w:tr>
      <w:tr w:rsidR="00C010B3" w14:paraId="2108516E" w14:textId="77777777" w:rsidTr="00993B87">
        <w:trPr>
          <w:jc w:val="center"/>
        </w:trPr>
        <w:tc>
          <w:tcPr>
            <w:tcW w:w="1555" w:type="dxa"/>
            <w:vAlign w:val="center"/>
          </w:tcPr>
          <w:p w14:paraId="05E62B21" w14:textId="77777777" w:rsidR="00C010B3" w:rsidRPr="008A5AD0" w:rsidRDefault="00C010B3" w:rsidP="00993B87">
            <w:pPr>
              <w:pStyle w:val="a9"/>
              <w:widowControl w:val="0"/>
              <w:jc w:val="center"/>
              <w:rPr>
                <w:rFonts w:ascii="Times New Roman" w:hAnsi="Times New Roman" w:cs="Times New Roman"/>
                <w:b/>
                <w:bCs/>
                <w:sz w:val="20"/>
                <w:szCs w:val="20"/>
                <w:lang w:val="en-US"/>
              </w:rPr>
            </w:pPr>
            <w:r w:rsidRPr="008A5AD0">
              <w:rPr>
                <w:rFonts w:ascii="Times New Roman" w:hAnsi="Times New Roman" w:cs="Times New Roman"/>
                <w:b/>
                <w:bCs/>
                <w:sz w:val="20"/>
                <w:szCs w:val="20"/>
                <w:lang w:val="en-US"/>
              </w:rPr>
              <w:t>L.I.</w:t>
            </w:r>
          </w:p>
        </w:tc>
        <w:tc>
          <w:tcPr>
            <w:tcW w:w="1559" w:type="dxa"/>
            <w:vAlign w:val="center"/>
          </w:tcPr>
          <w:p w14:paraId="6A113D45" w14:textId="77777777" w:rsidR="00C010B3"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Низкие доходы населения</w:t>
            </w:r>
          </w:p>
          <w:p w14:paraId="32686752" w14:textId="77777777" w:rsidR="00C010B3" w:rsidRPr="005C5F2F"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(18 регионов)</w:t>
            </w:r>
          </w:p>
        </w:tc>
        <w:tc>
          <w:tcPr>
            <w:tcW w:w="1276" w:type="dxa"/>
            <w:vAlign w:val="center"/>
          </w:tcPr>
          <w:p w14:paraId="6A5073CD" w14:textId="77777777" w:rsidR="00C010B3" w:rsidRPr="005C5F2F" w:rsidRDefault="00C010B3" w:rsidP="00993B87">
            <w:pPr>
              <w:pStyle w:val="a9"/>
              <w:widowControl w:val="0"/>
              <w:jc w:val="center"/>
              <w:rPr>
                <w:rFonts w:ascii="Times New Roman" w:hAnsi="Times New Roman" w:cs="Times New Roman"/>
                <w:sz w:val="20"/>
                <w:szCs w:val="20"/>
              </w:rPr>
            </w:pPr>
            <w:r>
              <w:rPr>
                <w:rFonts w:ascii="Times New Roman" w:hAnsi="Times New Roman" w:cs="Times New Roman"/>
                <w:sz w:val="20"/>
                <w:szCs w:val="20"/>
              </w:rPr>
              <w:t>(1,1 – 1,51)</w:t>
            </w:r>
          </w:p>
        </w:tc>
        <w:tc>
          <w:tcPr>
            <w:tcW w:w="5386" w:type="dxa"/>
            <w:vAlign w:val="center"/>
          </w:tcPr>
          <w:p w14:paraId="2B777676" w14:textId="77777777" w:rsidR="00C010B3" w:rsidRPr="005C5F2F" w:rsidRDefault="00C010B3" w:rsidP="00993B87">
            <w:pPr>
              <w:pStyle w:val="a9"/>
              <w:widowControl w:val="0"/>
              <w:jc w:val="both"/>
              <w:rPr>
                <w:rFonts w:ascii="Times New Roman" w:hAnsi="Times New Roman" w:cs="Times New Roman"/>
                <w:sz w:val="20"/>
                <w:szCs w:val="20"/>
              </w:rPr>
            </w:pPr>
            <w:r w:rsidRPr="00996B58">
              <w:rPr>
                <w:rFonts w:ascii="Times New Roman" w:hAnsi="Times New Roman" w:cs="Times New Roman"/>
                <w:sz w:val="20"/>
                <w:szCs w:val="20"/>
              </w:rPr>
              <w:t>Респ. Бурятия, Ульяновская обл., Еврейская авт. обл., Саратовская обл., Курганская обл., Чувашская Респ., Чеченская Респ., Алтайский край, Респ. Хакасия, Респ. Крым, Респ. Мордовия, Респ. Марий Эл, Ставропольский край, Респ. Алтай, Респ. Калмыкия, Респ. Тыва</w:t>
            </w:r>
            <w:r>
              <w:rPr>
                <w:rFonts w:ascii="Times New Roman" w:hAnsi="Times New Roman" w:cs="Times New Roman"/>
                <w:sz w:val="20"/>
                <w:szCs w:val="20"/>
              </w:rPr>
              <w:t>, Карачаево-Черкесская Респ., Респ. Ингушетия</w:t>
            </w:r>
          </w:p>
        </w:tc>
      </w:tr>
      <w:tr w:rsidR="00C010B3" w14:paraId="4D2E590A" w14:textId="77777777" w:rsidTr="00993B87">
        <w:trPr>
          <w:jc w:val="center"/>
        </w:trPr>
        <w:tc>
          <w:tcPr>
            <w:tcW w:w="9776" w:type="dxa"/>
            <w:gridSpan w:val="4"/>
          </w:tcPr>
          <w:p w14:paraId="5728A427" w14:textId="77777777" w:rsidR="00C010B3" w:rsidRDefault="00C010B3" w:rsidP="00993B87">
            <w:pPr>
              <w:pStyle w:val="a9"/>
              <w:widowControl w:val="0"/>
              <w:rPr>
                <w:rFonts w:ascii="Times New Roman" w:hAnsi="Times New Roman" w:cs="Times New Roman"/>
                <w:sz w:val="20"/>
                <w:szCs w:val="20"/>
              </w:rPr>
            </w:pPr>
            <w:r>
              <w:rPr>
                <w:rFonts w:ascii="Times New Roman" w:hAnsi="Times New Roman" w:cs="Times New Roman"/>
                <w:sz w:val="20"/>
                <w:szCs w:val="20"/>
              </w:rPr>
              <w:t>Источник: составлено автором по данным Рейтинга доходов населения – 2024</w:t>
            </w:r>
          </w:p>
        </w:tc>
      </w:tr>
    </w:tbl>
    <w:p w14:paraId="061AAB8E" w14:textId="77777777" w:rsidR="00C010B3" w:rsidRDefault="00C010B3" w:rsidP="00C010B3">
      <w:pPr>
        <w:pStyle w:val="a9"/>
        <w:widowControl w:val="0"/>
        <w:ind w:firstLine="709"/>
        <w:jc w:val="both"/>
        <w:rPr>
          <w:rFonts w:ascii="Times New Roman" w:hAnsi="Times New Roman" w:cs="Times New Roman"/>
          <w:b/>
          <w:bCs/>
          <w:sz w:val="28"/>
        </w:rPr>
      </w:pPr>
    </w:p>
    <w:p w14:paraId="5A1AABFE" w14:textId="4D88081C" w:rsidR="00CF175C" w:rsidRPr="00C010B3" w:rsidRDefault="00C010B3" w:rsidP="00C010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Исходя из проведенного исследования можно сделать несколько выводов. Во-первых, в больше, чем трети регионов население имеет низкий или близкий к нему уровень дохода. Во-вторых, само по себе распределение не отвечает нормальности Гаусса. В-третьих, регионам со сверхдоходами населения чаще характерна добывающая специализация.</w:t>
      </w:r>
    </w:p>
    <w:p w14:paraId="4D4AE2AA" w14:textId="77777777" w:rsidR="00CF175C" w:rsidRDefault="00CF175C" w:rsidP="00A2590A">
      <w:pPr>
        <w:pStyle w:val="a9"/>
        <w:ind w:firstLine="709"/>
        <w:jc w:val="both"/>
        <w:rPr>
          <w:rFonts w:ascii="Times New Roman" w:eastAsia="FangSong_GB2312" w:hAnsi="Times New Roman" w:cs="Times New Roman"/>
          <w:sz w:val="24"/>
          <w:szCs w:val="24"/>
        </w:rPr>
      </w:pPr>
    </w:p>
    <w:p w14:paraId="6EBB9F28" w14:textId="77777777" w:rsidR="00827E82" w:rsidRPr="00B35BE2" w:rsidRDefault="00827E82" w:rsidP="00353244">
      <w:pPr>
        <w:spacing w:after="0" w:line="240" w:lineRule="auto"/>
        <w:ind w:firstLine="709"/>
        <w:jc w:val="center"/>
        <w:rPr>
          <w:rFonts w:ascii="Times New Roman" w:hAnsi="Times New Roman" w:cs="Times New Roman"/>
          <w:b/>
          <w:sz w:val="24"/>
          <w:szCs w:val="24"/>
        </w:rPr>
      </w:pPr>
      <w:r w:rsidRPr="00B35BE2">
        <w:rPr>
          <w:rFonts w:ascii="Times New Roman" w:hAnsi="Times New Roman" w:cs="Times New Roman"/>
          <w:b/>
          <w:sz w:val="24"/>
          <w:szCs w:val="24"/>
        </w:rPr>
        <w:t>ЛИТЕРАТУРА</w:t>
      </w:r>
    </w:p>
    <w:p w14:paraId="38FEB0A7" w14:textId="77777777" w:rsidR="00C010B3" w:rsidRDefault="00C010B3" w:rsidP="0030080A">
      <w:pPr>
        <w:pStyle w:val="ac"/>
        <w:numPr>
          <w:ilvl w:val="0"/>
          <w:numId w:val="2"/>
        </w:numPr>
        <w:jc w:val="both"/>
        <w:rPr>
          <w:rFonts w:ascii="Times New Roman" w:eastAsia="Calibri" w:hAnsi="Times New Roman" w:cs="Times New Roman"/>
          <w:sz w:val="24"/>
          <w:szCs w:val="24"/>
        </w:rPr>
      </w:pPr>
      <w:r w:rsidRPr="0061294F">
        <w:rPr>
          <w:rFonts w:ascii="Times New Roman" w:eastAsia="Calibri" w:hAnsi="Times New Roman" w:cs="Times New Roman"/>
          <w:sz w:val="24"/>
          <w:szCs w:val="24"/>
        </w:rPr>
        <w:t>Аганбегян А. Г. (2017). Преодоление бедности и сокращение неравенства по доходам и потреблению в России // ЭКО. №9 (519). С. 66-84. URL: https://cyberleninka.ru/article/n/preodolenie-bednosti-i-sokraschenie-neravenstva-po-dohodam-i-potrebleniyu-v-rossii (дата обращения: 28.01.2025).</w:t>
      </w:r>
    </w:p>
    <w:p w14:paraId="25243630" w14:textId="4E241A0C" w:rsidR="0030080A" w:rsidRDefault="00C010B3" w:rsidP="00C010B3">
      <w:pPr>
        <w:pStyle w:val="ac"/>
        <w:numPr>
          <w:ilvl w:val="0"/>
          <w:numId w:val="2"/>
        </w:numPr>
        <w:jc w:val="both"/>
        <w:rPr>
          <w:rFonts w:ascii="Times New Roman" w:eastAsia="Calibri" w:hAnsi="Times New Roman" w:cs="Times New Roman"/>
          <w:sz w:val="24"/>
          <w:szCs w:val="24"/>
        </w:rPr>
      </w:pPr>
      <w:r w:rsidRPr="0061294F">
        <w:rPr>
          <w:rFonts w:ascii="Times New Roman" w:eastAsia="Calibri" w:hAnsi="Times New Roman" w:cs="Times New Roman"/>
          <w:sz w:val="24"/>
          <w:szCs w:val="24"/>
        </w:rPr>
        <w:t>Зубаревич, Н. В. Территориальное неравенство доходов населения России и других крупных постсоветских стран / Н. В. Зубаревич, С. Г. Сафронов // Региональные исследования. – 2014. – № 4(46). – С. 100-110.</w:t>
      </w:r>
    </w:p>
    <w:sectPr w:rsidR="0030080A"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B734A7" w14:textId="77777777" w:rsidR="00106EC6" w:rsidRDefault="00106EC6" w:rsidP="00827E82">
      <w:pPr>
        <w:spacing w:after="0" w:line="240" w:lineRule="auto"/>
      </w:pPr>
      <w:r>
        <w:separator/>
      </w:r>
    </w:p>
  </w:endnote>
  <w:endnote w:type="continuationSeparator" w:id="0">
    <w:p w14:paraId="0694C76D" w14:textId="77777777" w:rsidR="00106EC6" w:rsidRDefault="00106EC6"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FangSong_GB2312">
    <w:altName w:val="Microsoft YaHei"/>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3C058" w14:textId="77777777" w:rsidR="00106EC6" w:rsidRDefault="00106EC6" w:rsidP="00827E82">
      <w:pPr>
        <w:spacing w:after="0" w:line="240" w:lineRule="auto"/>
      </w:pPr>
      <w:r>
        <w:separator/>
      </w:r>
    </w:p>
  </w:footnote>
  <w:footnote w:type="continuationSeparator" w:id="0">
    <w:p w14:paraId="4BE543A2" w14:textId="77777777" w:rsidR="00106EC6" w:rsidRDefault="00106EC6" w:rsidP="00827E82">
      <w:pPr>
        <w:spacing w:after="0" w:line="240" w:lineRule="auto"/>
      </w:pPr>
      <w:r>
        <w:continuationSeparator/>
      </w:r>
    </w:p>
  </w:footnote>
  <w:footnote w:id="1">
    <w:p w14:paraId="764E985E" w14:textId="63146A0B" w:rsidR="00295ADF" w:rsidRPr="00CF175C" w:rsidRDefault="00295ADF" w:rsidP="00CF175C">
      <w:pPr>
        <w:pStyle w:val="a4"/>
        <w:jc w:val="both"/>
        <w:rPr>
          <w:rFonts w:ascii="Times New Roman" w:hAnsi="Times New Roman" w:cs="Times New Roman"/>
        </w:rPr>
      </w:pPr>
      <w:r w:rsidRPr="00CF175C">
        <w:rPr>
          <w:rStyle w:val="a3"/>
          <w:rFonts w:ascii="Times New Roman" w:hAnsi="Times New Roman" w:cs="Times New Roman"/>
        </w:rPr>
        <w:footnoteRef/>
      </w:r>
      <w:r w:rsidRPr="00CF175C">
        <w:rPr>
          <w:rFonts w:ascii="Times New Roman" w:hAnsi="Times New Roman" w:cs="Times New Roman"/>
        </w:rPr>
        <w:t xml:space="preserve"> </w:t>
      </w:r>
      <w:r w:rsidR="00C010B3">
        <w:rPr>
          <w:rFonts w:ascii="Times New Roman" w:hAnsi="Times New Roman" w:cs="Times New Roman"/>
        </w:rPr>
        <w:t>Гончарук Данила Сергеевич</w:t>
      </w:r>
      <w:r w:rsidRPr="00CF175C">
        <w:rPr>
          <w:rFonts w:ascii="Times New Roman" w:hAnsi="Times New Roman" w:cs="Times New Roman"/>
        </w:rPr>
        <w:t xml:space="preserve"> – </w:t>
      </w:r>
      <w:r w:rsidR="00C010B3">
        <w:rPr>
          <w:rFonts w:ascii="Times New Roman" w:hAnsi="Times New Roman" w:cs="Times New Roman"/>
        </w:rPr>
        <w:t>инженер-исследователь</w:t>
      </w:r>
      <w:r w:rsidRPr="00CF175C">
        <w:rPr>
          <w:rFonts w:ascii="Times New Roman" w:hAnsi="Times New Roman" w:cs="Times New Roman"/>
        </w:rPr>
        <w:t xml:space="preserve"> Центра финансовых исследований, ФГБУН Вологодский научный центр РАН, (Адрес: 160014, Вологда, ул. Горького 56а; E-mail: </w:t>
      </w:r>
      <w:r w:rsidR="00C010B3">
        <w:rPr>
          <w:rFonts w:ascii="Times New Roman" w:hAnsi="Times New Roman" w:cs="Times New Roman"/>
          <w:lang w:val="en-US"/>
        </w:rPr>
        <w:t>danila_gon4aruk@mail.ru</w:t>
      </w:r>
      <w:r w:rsidRPr="00CF175C">
        <w:rPr>
          <w:rFonts w:ascii="Times New Roman" w:hAnsi="Times New Roman" w:cs="Times New Roman"/>
        </w:rPr>
        <w:t>).</w:t>
      </w:r>
    </w:p>
  </w:footnote>
  <w:footnote w:id="2">
    <w:p w14:paraId="08B87D20" w14:textId="7BFE7751" w:rsidR="00BA3C29" w:rsidRPr="00CF175C" w:rsidRDefault="00BA3C29" w:rsidP="00CF175C">
      <w:pPr>
        <w:pStyle w:val="a4"/>
        <w:jc w:val="both"/>
        <w:rPr>
          <w:rFonts w:ascii="Times New Roman" w:hAnsi="Times New Roman" w:cs="Times New Roman"/>
        </w:rPr>
      </w:pPr>
      <w:r w:rsidRPr="002773B3">
        <w:rPr>
          <w:rStyle w:val="a3"/>
          <w:rFonts w:ascii="Times New Roman" w:hAnsi="Times New Roman" w:cs="Times New Roman"/>
        </w:rPr>
        <w:footnoteRef/>
      </w:r>
      <w:r w:rsidRPr="002773B3">
        <w:rPr>
          <w:rFonts w:ascii="Times New Roman" w:hAnsi="Times New Roman" w:cs="Times New Roman"/>
        </w:rPr>
        <w:t xml:space="preserve"> Статья подготовлена в соответствии </w:t>
      </w:r>
      <w:r w:rsidR="002773B3">
        <w:rPr>
          <w:rFonts w:ascii="Times New Roman" w:hAnsi="Times New Roman" w:cs="Times New Roman"/>
        </w:rPr>
        <w:t xml:space="preserve">с </w:t>
      </w:r>
      <w:r w:rsidR="002773B3" w:rsidRPr="005036B0">
        <w:rPr>
          <w:rFonts w:ascii="Times New Roman" w:hAnsi="Times New Roman" w:cs="Times New Roman"/>
        </w:rPr>
        <w:t>государственным заданием для ФГБУН ВолНЦ РАН по теме</w:t>
      </w:r>
      <w:r w:rsidR="002773B3" w:rsidRPr="007450CA">
        <w:rPr>
          <w:rFonts w:ascii="Times New Roman" w:hAnsi="Times New Roman" w:cs="Times New Roman"/>
        </w:rPr>
        <w:t xml:space="preserve"> </w:t>
      </w:r>
      <w:r w:rsidR="002773B3" w:rsidRPr="005036B0">
        <w:rPr>
          <w:rFonts w:ascii="Times New Roman" w:hAnsi="Times New Roman" w:cs="Times New Roman"/>
        </w:rPr>
        <w:t>НИР №</w:t>
      </w:r>
      <w:r w:rsidR="002773B3" w:rsidRPr="002B6EA4">
        <w:rPr>
          <w:rFonts w:ascii="Times New Roman" w:hAnsi="Times New Roman" w:cs="Times New Roman"/>
        </w:rPr>
        <w:t xml:space="preserve"> FMGZ-2025-0011</w:t>
      </w:r>
      <w:r w:rsidR="002773B3">
        <w:rPr>
          <w:rFonts w:ascii="Times New Roman" w:hAnsi="Times New Roman" w:cs="Times New Roman"/>
        </w:rPr>
        <w:t xml:space="preserve"> «О</w:t>
      </w:r>
      <w:r w:rsidR="002773B3" w:rsidRPr="002B6EA4">
        <w:rPr>
          <w:rFonts w:ascii="Times New Roman" w:hAnsi="Times New Roman" w:cs="Times New Roman"/>
        </w:rPr>
        <w:t>беспечение устойчивости экономики регионов в контексте укрепления технологического суверенитета и национальной безопасности</w:t>
      </w:r>
      <w:r w:rsidR="002773B3">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A0E48FF"/>
    <w:multiLevelType w:val="hybridMultilevel"/>
    <w:tmpl w:val="679661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36188240">
    <w:abstractNumId w:val="0"/>
  </w:num>
  <w:num w:numId="2" w16cid:durableId="9648877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ru-RU" w:vendorID="64" w:dllVersion="0" w:nlCheck="1" w:checkStyle="0"/>
  <w:activeWritingStyle w:appName="MSWord" w:lang="en-US" w:vendorID="64" w:dllVersion="0" w:nlCheck="1" w:checkStyle="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14204"/>
    <w:rsid w:val="0004359B"/>
    <w:rsid w:val="00046B80"/>
    <w:rsid w:val="00066D3A"/>
    <w:rsid w:val="00071B6A"/>
    <w:rsid w:val="00093BEC"/>
    <w:rsid w:val="000A3175"/>
    <w:rsid w:val="000B06E7"/>
    <w:rsid w:val="00106EC6"/>
    <w:rsid w:val="00116F2D"/>
    <w:rsid w:val="00126F6A"/>
    <w:rsid w:val="0015232A"/>
    <w:rsid w:val="001552FC"/>
    <w:rsid w:val="001658D4"/>
    <w:rsid w:val="00186CB0"/>
    <w:rsid w:val="0019574D"/>
    <w:rsid w:val="00196AC3"/>
    <w:rsid w:val="001A270B"/>
    <w:rsid w:val="001B5953"/>
    <w:rsid w:val="00203ED7"/>
    <w:rsid w:val="00253787"/>
    <w:rsid w:val="00272D7D"/>
    <w:rsid w:val="002773B3"/>
    <w:rsid w:val="00287F75"/>
    <w:rsid w:val="00295ADF"/>
    <w:rsid w:val="002C7409"/>
    <w:rsid w:val="002D02A8"/>
    <w:rsid w:val="002F0848"/>
    <w:rsid w:val="0030080A"/>
    <w:rsid w:val="00303FDC"/>
    <w:rsid w:val="00353244"/>
    <w:rsid w:val="003A3697"/>
    <w:rsid w:val="003B535B"/>
    <w:rsid w:val="003C7D1D"/>
    <w:rsid w:val="003D4FFF"/>
    <w:rsid w:val="003F0E02"/>
    <w:rsid w:val="004071D7"/>
    <w:rsid w:val="00420436"/>
    <w:rsid w:val="00421DB8"/>
    <w:rsid w:val="00440626"/>
    <w:rsid w:val="0044325D"/>
    <w:rsid w:val="00457679"/>
    <w:rsid w:val="00494301"/>
    <w:rsid w:val="004C7C37"/>
    <w:rsid w:val="004E0C7B"/>
    <w:rsid w:val="00537D2F"/>
    <w:rsid w:val="00541833"/>
    <w:rsid w:val="0056279E"/>
    <w:rsid w:val="00590F6E"/>
    <w:rsid w:val="005A5E3E"/>
    <w:rsid w:val="005E5F47"/>
    <w:rsid w:val="005F5AF9"/>
    <w:rsid w:val="00625C7F"/>
    <w:rsid w:val="006300C2"/>
    <w:rsid w:val="00641FDA"/>
    <w:rsid w:val="00644F83"/>
    <w:rsid w:val="00684349"/>
    <w:rsid w:val="006858F7"/>
    <w:rsid w:val="00697FEE"/>
    <w:rsid w:val="006A1328"/>
    <w:rsid w:val="006A4FAC"/>
    <w:rsid w:val="006D61A5"/>
    <w:rsid w:val="007205B2"/>
    <w:rsid w:val="00743929"/>
    <w:rsid w:val="00750ED8"/>
    <w:rsid w:val="00767726"/>
    <w:rsid w:val="00770F50"/>
    <w:rsid w:val="00787640"/>
    <w:rsid w:val="00797DAF"/>
    <w:rsid w:val="007C5690"/>
    <w:rsid w:val="007D79E0"/>
    <w:rsid w:val="00827E82"/>
    <w:rsid w:val="008337D1"/>
    <w:rsid w:val="00854770"/>
    <w:rsid w:val="00886A64"/>
    <w:rsid w:val="008A2182"/>
    <w:rsid w:val="008C6FD4"/>
    <w:rsid w:val="008C75C1"/>
    <w:rsid w:val="00902FE1"/>
    <w:rsid w:val="00916213"/>
    <w:rsid w:val="00916BF7"/>
    <w:rsid w:val="00922F70"/>
    <w:rsid w:val="00925542"/>
    <w:rsid w:val="00932900"/>
    <w:rsid w:val="00970E92"/>
    <w:rsid w:val="009E7F56"/>
    <w:rsid w:val="00A17857"/>
    <w:rsid w:val="00A24EAA"/>
    <w:rsid w:val="00A2590A"/>
    <w:rsid w:val="00A56AD6"/>
    <w:rsid w:val="00A61AED"/>
    <w:rsid w:val="00AA15C1"/>
    <w:rsid w:val="00AA3AB9"/>
    <w:rsid w:val="00AD44C3"/>
    <w:rsid w:val="00B330B3"/>
    <w:rsid w:val="00B35BE2"/>
    <w:rsid w:val="00B374BF"/>
    <w:rsid w:val="00B51F13"/>
    <w:rsid w:val="00B67D24"/>
    <w:rsid w:val="00BA3C29"/>
    <w:rsid w:val="00BC155A"/>
    <w:rsid w:val="00C010B3"/>
    <w:rsid w:val="00C17C42"/>
    <w:rsid w:val="00C26E01"/>
    <w:rsid w:val="00C3761C"/>
    <w:rsid w:val="00CA694B"/>
    <w:rsid w:val="00CB67B6"/>
    <w:rsid w:val="00CE5E84"/>
    <w:rsid w:val="00CF175C"/>
    <w:rsid w:val="00D00DB5"/>
    <w:rsid w:val="00D010E4"/>
    <w:rsid w:val="00D20E54"/>
    <w:rsid w:val="00D471C6"/>
    <w:rsid w:val="00D85987"/>
    <w:rsid w:val="00DA3846"/>
    <w:rsid w:val="00E71746"/>
    <w:rsid w:val="00E83AD3"/>
    <w:rsid w:val="00E87771"/>
    <w:rsid w:val="00E94F79"/>
    <w:rsid w:val="00EA4672"/>
    <w:rsid w:val="00EC1AD9"/>
    <w:rsid w:val="00EC4D8E"/>
    <w:rsid w:val="00ED3517"/>
    <w:rsid w:val="00ED6812"/>
    <w:rsid w:val="00F51CB0"/>
    <w:rsid w:val="00F82622"/>
    <w:rsid w:val="00FC1157"/>
    <w:rsid w:val="00FD683E"/>
    <w:rsid w:val="00FE06C8"/>
    <w:rsid w:val="00FE5D0E"/>
    <w:rsid w:val="00FF0F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footnote text"/>
    <w:basedOn w:val="a"/>
    <w:link w:val="a5"/>
    <w:uiPriority w:val="99"/>
    <w:semiHidden/>
    <w:unhideWhenUsed/>
    <w:rsid w:val="00CE5E84"/>
    <w:pPr>
      <w:spacing w:after="0" w:line="240" w:lineRule="auto"/>
    </w:pPr>
    <w:rPr>
      <w:sz w:val="20"/>
      <w:szCs w:val="20"/>
    </w:rPr>
  </w:style>
  <w:style w:type="character" w:customStyle="1" w:styleId="a5">
    <w:name w:val="Текст сноски Знак"/>
    <w:basedOn w:val="a0"/>
    <w:link w:val="a4"/>
    <w:uiPriority w:val="99"/>
    <w:semiHidden/>
    <w:rsid w:val="00CE5E84"/>
    <w:rPr>
      <w:sz w:val="20"/>
      <w:szCs w:val="20"/>
    </w:rPr>
  </w:style>
  <w:style w:type="character" w:styleId="a6">
    <w:name w:val="Hyperlink"/>
    <w:basedOn w:val="a0"/>
    <w:uiPriority w:val="99"/>
    <w:unhideWhenUsed/>
    <w:rsid w:val="001A270B"/>
    <w:rPr>
      <w:color w:val="0563C1" w:themeColor="hyperlink"/>
      <w:u w:val="single"/>
    </w:rPr>
  </w:style>
  <w:style w:type="paragraph" w:styleId="a7">
    <w:name w:val="Balloon Text"/>
    <w:basedOn w:val="a"/>
    <w:link w:val="a8"/>
    <w:uiPriority w:val="99"/>
    <w:semiHidden/>
    <w:unhideWhenUsed/>
    <w:rsid w:val="00071B6A"/>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071B6A"/>
    <w:rPr>
      <w:rFonts w:ascii="Segoe UI" w:hAnsi="Segoe UI" w:cs="Segoe UI"/>
      <w:sz w:val="18"/>
      <w:szCs w:val="18"/>
    </w:rPr>
  </w:style>
  <w:style w:type="paragraph" w:styleId="a9">
    <w:name w:val="No Spacing"/>
    <w:aliases w:val="ИСТОЧН"/>
    <w:link w:val="aa"/>
    <w:uiPriority w:val="1"/>
    <w:qFormat/>
    <w:rsid w:val="00886A64"/>
    <w:pPr>
      <w:spacing w:after="0" w:line="240" w:lineRule="auto"/>
    </w:pPr>
  </w:style>
  <w:style w:type="table" w:styleId="ab">
    <w:name w:val="Table Grid"/>
    <w:basedOn w:val="a1"/>
    <w:uiPriority w:val="39"/>
    <w:rsid w:val="00886A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Без интервала Знак"/>
    <w:aliases w:val="ИСТОЧН Знак"/>
    <w:link w:val="a9"/>
    <w:uiPriority w:val="1"/>
    <w:locked/>
    <w:rsid w:val="00886A64"/>
  </w:style>
  <w:style w:type="paragraph" w:styleId="ac">
    <w:name w:val="List Paragraph"/>
    <w:basedOn w:val="a"/>
    <w:uiPriority w:val="34"/>
    <w:qFormat/>
    <w:rsid w:val="00B35BE2"/>
    <w:pPr>
      <w:ind w:left="720"/>
      <w:contextualSpacing/>
    </w:pPr>
  </w:style>
  <w:style w:type="table" w:customStyle="1" w:styleId="13">
    <w:name w:val="Сетка таблицы1"/>
    <w:basedOn w:val="a1"/>
    <w:next w:val="ab"/>
    <w:uiPriority w:val="39"/>
    <w:rsid w:val="00CF175C"/>
    <w:pPr>
      <w:spacing w:after="0" w:line="240" w:lineRule="auto"/>
      <w:jc w:val="both"/>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2787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sg\Desktop\12333.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2.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69203849518811"/>
          <c:y val="8.6157149936677502E-2"/>
          <c:w val="0.85841907261592298"/>
          <c:h val="0.7538575335425729"/>
        </c:manualLayout>
      </c:layout>
      <c:barChart>
        <c:barDir val="col"/>
        <c:grouping val="clustered"/>
        <c:varyColors val="0"/>
        <c:ser>
          <c:idx val="0"/>
          <c:order val="0"/>
          <c:spPr>
            <a:solidFill>
              <a:schemeClr val="bg1">
                <a:lumMod val="85000"/>
              </a:schemeClr>
            </a:solidFill>
            <a:ln>
              <a:solidFill>
                <a:schemeClr val="tx1">
                  <a:lumMod val="50000"/>
                  <a:lumOff val="50000"/>
                </a:schemeClr>
              </a:solidFill>
            </a:ln>
            <a:effectLst/>
          </c:spPr>
          <c:invertIfNegative val="0"/>
          <c:dPt>
            <c:idx val="0"/>
            <c:invertIfNegative val="0"/>
            <c:bubble3D val="0"/>
            <c:spPr>
              <a:solidFill>
                <a:schemeClr val="bg1">
                  <a:lumMod val="65000"/>
                </a:schemeClr>
              </a:solidFill>
              <a:ln>
                <a:solidFill>
                  <a:schemeClr val="tx1">
                    <a:lumMod val="50000"/>
                    <a:lumOff val="50000"/>
                  </a:schemeClr>
                </a:solidFill>
              </a:ln>
              <a:effectLst/>
            </c:spPr>
            <c:extLst>
              <c:ext xmlns:c16="http://schemas.microsoft.com/office/drawing/2014/chart" uri="{C3380CC4-5D6E-409C-BE32-E72D297353CC}">
                <c16:uniqueId val="{00000001-0F28-48E7-A7FE-B18199690B89}"/>
              </c:ext>
            </c:extLst>
          </c:dPt>
          <c:dPt>
            <c:idx val="1"/>
            <c:invertIfNegative val="0"/>
            <c:bubble3D val="0"/>
            <c:spPr>
              <a:solidFill>
                <a:schemeClr val="bg1">
                  <a:lumMod val="75000"/>
                </a:schemeClr>
              </a:solidFill>
              <a:ln>
                <a:solidFill>
                  <a:schemeClr val="tx1">
                    <a:lumMod val="50000"/>
                    <a:lumOff val="50000"/>
                  </a:schemeClr>
                </a:solidFill>
              </a:ln>
              <a:effectLst/>
            </c:spPr>
            <c:extLst>
              <c:ext xmlns:c16="http://schemas.microsoft.com/office/drawing/2014/chart" uri="{C3380CC4-5D6E-409C-BE32-E72D297353CC}">
                <c16:uniqueId val="{00000003-0F28-48E7-A7FE-B18199690B89}"/>
              </c:ext>
            </c:extLst>
          </c:dPt>
          <c:dPt>
            <c:idx val="2"/>
            <c:invertIfNegative val="0"/>
            <c:bubble3D val="0"/>
            <c:spPr>
              <a:solidFill>
                <a:schemeClr val="bg1">
                  <a:lumMod val="85000"/>
                </a:schemeClr>
              </a:solidFill>
              <a:ln>
                <a:solidFill>
                  <a:schemeClr val="tx1">
                    <a:lumMod val="50000"/>
                    <a:lumOff val="50000"/>
                  </a:schemeClr>
                </a:solidFill>
              </a:ln>
              <a:effectLst/>
            </c:spPr>
            <c:extLst>
              <c:ext xmlns:c16="http://schemas.microsoft.com/office/drawing/2014/chart" uri="{C3380CC4-5D6E-409C-BE32-E72D297353CC}">
                <c16:uniqueId val="{00000005-0F28-48E7-A7FE-B18199690B89}"/>
              </c:ext>
            </c:extLst>
          </c:dPt>
          <c:dPt>
            <c:idx val="3"/>
            <c:invertIfNegative val="0"/>
            <c:bubble3D val="0"/>
            <c:spPr>
              <a:solidFill>
                <a:schemeClr val="bg1">
                  <a:lumMod val="95000"/>
                </a:schemeClr>
              </a:solidFill>
              <a:ln>
                <a:solidFill>
                  <a:schemeClr val="tx1">
                    <a:lumMod val="50000"/>
                    <a:lumOff val="50000"/>
                  </a:schemeClr>
                </a:solidFill>
              </a:ln>
              <a:effectLst/>
            </c:spPr>
            <c:extLst>
              <c:ext xmlns:c16="http://schemas.microsoft.com/office/drawing/2014/chart" uri="{C3380CC4-5D6E-409C-BE32-E72D297353CC}">
                <c16:uniqueId val="{00000007-0F28-48E7-A7FE-B18199690B89}"/>
              </c:ext>
            </c:extLst>
          </c:dPt>
          <c:dPt>
            <c:idx val="4"/>
            <c:invertIfNegative val="0"/>
            <c:bubble3D val="0"/>
            <c:spPr>
              <a:solidFill>
                <a:schemeClr val="bg1">
                  <a:lumMod val="95000"/>
                </a:schemeClr>
              </a:solidFill>
              <a:ln>
                <a:solidFill>
                  <a:schemeClr val="tx1">
                    <a:lumMod val="50000"/>
                    <a:lumOff val="50000"/>
                  </a:schemeClr>
                </a:solidFill>
              </a:ln>
              <a:effectLst/>
            </c:spPr>
            <c:extLst>
              <c:ext xmlns:c16="http://schemas.microsoft.com/office/drawing/2014/chart" uri="{C3380CC4-5D6E-409C-BE32-E72D297353CC}">
                <c16:uniqueId val="{00000009-0F28-48E7-A7FE-B18199690B89}"/>
              </c:ext>
            </c:extLst>
          </c:dPt>
          <c:dPt>
            <c:idx val="5"/>
            <c:invertIfNegative val="0"/>
            <c:bubble3D val="0"/>
            <c:spPr>
              <a:solidFill>
                <a:schemeClr val="bg1">
                  <a:lumMod val="95000"/>
                </a:schemeClr>
              </a:solidFill>
              <a:ln>
                <a:solidFill>
                  <a:schemeClr val="tx1">
                    <a:lumMod val="50000"/>
                    <a:lumOff val="50000"/>
                  </a:schemeClr>
                </a:solidFill>
              </a:ln>
              <a:effectLst/>
            </c:spPr>
            <c:extLst>
              <c:ext xmlns:c16="http://schemas.microsoft.com/office/drawing/2014/chart" uri="{C3380CC4-5D6E-409C-BE32-E72D297353CC}">
                <c16:uniqueId val="{0000000B-0F28-48E7-A7FE-B18199690B89}"/>
              </c:ext>
            </c:extLst>
          </c:dPt>
          <c:dPt>
            <c:idx val="6"/>
            <c:invertIfNegative val="0"/>
            <c:bubble3D val="0"/>
            <c:spPr>
              <a:solidFill>
                <a:schemeClr val="bg1">
                  <a:lumMod val="95000"/>
                </a:schemeClr>
              </a:solidFill>
              <a:ln>
                <a:solidFill>
                  <a:schemeClr val="tx1">
                    <a:lumMod val="50000"/>
                    <a:lumOff val="50000"/>
                  </a:schemeClr>
                </a:solidFill>
              </a:ln>
              <a:effectLst/>
            </c:spPr>
            <c:extLst>
              <c:ext xmlns:c16="http://schemas.microsoft.com/office/drawing/2014/chart" uri="{C3380CC4-5D6E-409C-BE32-E72D297353CC}">
                <c16:uniqueId val="{0000000D-0F28-48E7-A7FE-B18199690B8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Лист2!$K$16:$K$22</c:f>
              <c:strCache>
                <c:ptCount val="7"/>
                <c:pt idx="0">
                  <c:v>1,1–1,51</c:v>
                </c:pt>
                <c:pt idx="1">
                  <c:v>1,51–1,92</c:v>
                </c:pt>
                <c:pt idx="2">
                  <c:v>1,92–2,33</c:v>
                </c:pt>
                <c:pt idx="3">
                  <c:v>2,33–2,73</c:v>
                </c:pt>
                <c:pt idx="4">
                  <c:v>2,73–3,14</c:v>
                </c:pt>
                <c:pt idx="5">
                  <c:v>3,14–3,55</c:v>
                </c:pt>
                <c:pt idx="6">
                  <c:v>3,55–3,96</c:v>
                </c:pt>
              </c:strCache>
            </c:strRef>
          </c:cat>
          <c:val>
            <c:numRef>
              <c:f>Лист2!$L$16:$L$22</c:f>
              <c:numCache>
                <c:formatCode>General</c:formatCode>
                <c:ptCount val="7"/>
                <c:pt idx="0">
                  <c:v>18</c:v>
                </c:pt>
                <c:pt idx="1">
                  <c:v>50</c:v>
                </c:pt>
                <c:pt idx="2">
                  <c:v>9</c:v>
                </c:pt>
                <c:pt idx="3">
                  <c:v>3</c:v>
                </c:pt>
                <c:pt idx="4">
                  <c:v>3</c:v>
                </c:pt>
                <c:pt idx="5">
                  <c:v>1</c:v>
                </c:pt>
                <c:pt idx="6">
                  <c:v>1</c:v>
                </c:pt>
              </c:numCache>
            </c:numRef>
          </c:val>
          <c:extLst>
            <c:ext xmlns:c16="http://schemas.microsoft.com/office/drawing/2014/chart" uri="{C3380CC4-5D6E-409C-BE32-E72D297353CC}">
              <c16:uniqueId val="{0000000E-0F28-48E7-A7FE-B18199690B89}"/>
            </c:ext>
          </c:extLst>
        </c:ser>
        <c:dLbls>
          <c:showLegendKey val="0"/>
          <c:showVal val="0"/>
          <c:showCatName val="0"/>
          <c:showSerName val="0"/>
          <c:showPercent val="0"/>
          <c:showBubbleSize val="0"/>
        </c:dLbls>
        <c:gapWidth val="0"/>
        <c:axId val="1216965359"/>
        <c:axId val="1216973679"/>
      </c:barChart>
      <c:catAx>
        <c:axId val="12169653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aseline="0"/>
                  <a:t>Интервал</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16973679"/>
        <c:crosses val="autoZero"/>
        <c:auto val="1"/>
        <c:lblAlgn val="ctr"/>
        <c:lblOffset val="100"/>
        <c:noMultiLvlLbl val="0"/>
      </c:catAx>
      <c:valAx>
        <c:axId val="12169736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Количество</a:t>
                </a:r>
                <a:r>
                  <a:rPr lang="ru-RU" baseline="0"/>
                  <a:t> субъектов РФ</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169653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269203849518811"/>
          <c:y val="8.6157149936677502E-2"/>
          <c:w val="0.85841907261592298"/>
          <c:h val="0.7538575335425729"/>
        </c:manualLayout>
      </c:layout>
      <c:barChart>
        <c:barDir val="col"/>
        <c:grouping val="clustered"/>
        <c:varyColors val="0"/>
        <c:ser>
          <c:idx val="0"/>
          <c:order val="0"/>
          <c:tx>
            <c:strRef>
              <c:f>Лист1!$B$1</c:f>
              <c:strCache>
                <c:ptCount val="1"/>
                <c:pt idx="0">
                  <c:v>Ряд 1</c:v>
                </c:pt>
              </c:strCache>
            </c:strRef>
          </c:tx>
          <c:spPr>
            <a:solidFill>
              <a:schemeClr val="accent1"/>
            </a:solidFill>
            <a:ln>
              <a:solidFill>
                <a:sysClr val="windowText" lastClr="000000">
                  <a:lumMod val="50000"/>
                  <a:lumOff val="50000"/>
                </a:sysClr>
              </a:solidFill>
            </a:ln>
            <a:effectLst/>
          </c:spPr>
          <c:invertIfNegative val="0"/>
          <c:dPt>
            <c:idx val="0"/>
            <c:invertIfNegative val="0"/>
            <c:bubble3D val="0"/>
            <c:spPr>
              <a:solidFill>
                <a:sysClr val="window" lastClr="FFFFFF">
                  <a:lumMod val="65000"/>
                </a:sysClr>
              </a:solidFill>
              <a:ln>
                <a:solidFill>
                  <a:sysClr val="windowText" lastClr="000000">
                    <a:lumMod val="50000"/>
                    <a:lumOff val="50000"/>
                  </a:sysClr>
                </a:solidFill>
              </a:ln>
              <a:effectLst/>
            </c:spPr>
            <c:extLst>
              <c:ext xmlns:c16="http://schemas.microsoft.com/office/drawing/2014/chart" uri="{C3380CC4-5D6E-409C-BE32-E72D297353CC}">
                <c16:uniqueId val="{00000001-3635-4CF8-BEB4-498EFDA29E25}"/>
              </c:ext>
            </c:extLst>
          </c:dPt>
          <c:dPt>
            <c:idx val="1"/>
            <c:invertIfNegative val="0"/>
            <c:bubble3D val="0"/>
            <c:spPr>
              <a:solidFill>
                <a:sysClr val="window" lastClr="FFFFFF">
                  <a:lumMod val="75000"/>
                </a:sysClr>
              </a:solidFill>
              <a:ln>
                <a:solidFill>
                  <a:sysClr val="windowText" lastClr="000000">
                    <a:lumMod val="50000"/>
                    <a:lumOff val="50000"/>
                  </a:sysClr>
                </a:solidFill>
              </a:ln>
              <a:effectLst/>
            </c:spPr>
            <c:extLst>
              <c:ext xmlns:c16="http://schemas.microsoft.com/office/drawing/2014/chart" uri="{C3380CC4-5D6E-409C-BE32-E72D297353CC}">
                <c16:uniqueId val="{00000003-3635-4CF8-BEB4-498EFDA29E25}"/>
              </c:ext>
            </c:extLst>
          </c:dPt>
          <c:dPt>
            <c:idx val="2"/>
            <c:invertIfNegative val="0"/>
            <c:bubble3D val="0"/>
            <c:spPr>
              <a:solidFill>
                <a:sysClr val="window" lastClr="FFFFFF">
                  <a:lumMod val="75000"/>
                </a:sysClr>
              </a:solidFill>
              <a:ln>
                <a:solidFill>
                  <a:sysClr val="windowText" lastClr="000000">
                    <a:lumMod val="50000"/>
                    <a:lumOff val="50000"/>
                  </a:sysClr>
                </a:solidFill>
              </a:ln>
              <a:effectLst/>
            </c:spPr>
            <c:extLst>
              <c:ext xmlns:c16="http://schemas.microsoft.com/office/drawing/2014/chart" uri="{C3380CC4-5D6E-409C-BE32-E72D297353CC}">
                <c16:uniqueId val="{00000005-3635-4CF8-BEB4-498EFDA29E25}"/>
              </c:ext>
            </c:extLst>
          </c:dPt>
          <c:dPt>
            <c:idx val="3"/>
            <c:invertIfNegative val="0"/>
            <c:bubble3D val="0"/>
            <c:spPr>
              <a:solidFill>
                <a:sysClr val="window" lastClr="FFFFFF">
                  <a:lumMod val="75000"/>
                </a:sysClr>
              </a:solidFill>
              <a:ln>
                <a:solidFill>
                  <a:sysClr val="windowText" lastClr="000000">
                    <a:lumMod val="50000"/>
                    <a:lumOff val="50000"/>
                  </a:sysClr>
                </a:solidFill>
              </a:ln>
              <a:effectLst/>
            </c:spPr>
            <c:extLst>
              <c:ext xmlns:c16="http://schemas.microsoft.com/office/drawing/2014/chart" uri="{C3380CC4-5D6E-409C-BE32-E72D297353CC}">
                <c16:uniqueId val="{00000007-3635-4CF8-BEB4-498EFDA29E25}"/>
              </c:ext>
            </c:extLst>
          </c:dPt>
          <c:dPt>
            <c:idx val="4"/>
            <c:invertIfNegative val="0"/>
            <c:bubble3D val="0"/>
            <c:spPr>
              <a:solidFill>
                <a:sysClr val="window" lastClr="FFFFFF">
                  <a:lumMod val="85000"/>
                </a:sysClr>
              </a:solidFill>
              <a:ln>
                <a:solidFill>
                  <a:sysClr val="windowText" lastClr="000000">
                    <a:lumMod val="50000"/>
                    <a:lumOff val="50000"/>
                  </a:sysClr>
                </a:solidFill>
              </a:ln>
              <a:effectLst/>
            </c:spPr>
            <c:extLst>
              <c:ext xmlns:c16="http://schemas.microsoft.com/office/drawing/2014/chart" uri="{C3380CC4-5D6E-409C-BE32-E72D297353CC}">
                <c16:uniqueId val="{00000009-3635-4CF8-BEB4-498EFDA29E25}"/>
              </c:ext>
            </c:extLst>
          </c:dPt>
          <c:dPt>
            <c:idx val="5"/>
            <c:invertIfNegative val="0"/>
            <c:bubble3D val="0"/>
            <c:spPr>
              <a:solidFill>
                <a:sysClr val="window" lastClr="FFFFFF">
                  <a:lumMod val="95000"/>
                </a:sysClr>
              </a:solidFill>
              <a:ln>
                <a:solidFill>
                  <a:sysClr val="windowText" lastClr="000000">
                    <a:lumMod val="50000"/>
                    <a:lumOff val="50000"/>
                  </a:sysClr>
                </a:solidFill>
              </a:ln>
              <a:effectLst/>
            </c:spPr>
            <c:extLst>
              <c:ext xmlns:c16="http://schemas.microsoft.com/office/drawing/2014/chart" uri="{C3380CC4-5D6E-409C-BE32-E72D297353CC}">
                <c16:uniqueId val="{0000000B-3635-4CF8-BEB4-498EFDA29E25}"/>
              </c:ext>
            </c:extLst>
          </c:dPt>
          <c:dPt>
            <c:idx val="6"/>
            <c:invertIfNegative val="0"/>
            <c:bubble3D val="0"/>
            <c:spPr>
              <a:solidFill>
                <a:schemeClr val="accent6">
                  <a:lumMod val="20000"/>
                  <a:lumOff val="80000"/>
                </a:schemeClr>
              </a:solidFill>
              <a:ln>
                <a:solidFill>
                  <a:sysClr val="windowText" lastClr="000000">
                    <a:lumMod val="50000"/>
                    <a:lumOff val="50000"/>
                  </a:sysClr>
                </a:solidFill>
              </a:ln>
              <a:effectLst/>
            </c:spPr>
            <c:extLst>
              <c:ext xmlns:c16="http://schemas.microsoft.com/office/drawing/2014/chart" uri="{C3380CC4-5D6E-409C-BE32-E72D297353CC}">
                <c16:uniqueId val="{0000000D-3635-4CF8-BEB4-498EFDA29E2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1,1–1,51</c:v>
                </c:pt>
                <c:pt idx="1">
                  <c:v>1,51–1,64</c:v>
                </c:pt>
                <c:pt idx="2">
                  <c:v>1,64–1,79</c:v>
                </c:pt>
                <c:pt idx="3">
                  <c:v>1,79–1,92</c:v>
                </c:pt>
                <c:pt idx="4">
                  <c:v>1,92–2,33</c:v>
                </c:pt>
                <c:pt idx="5">
                  <c:v>2,33–3,96</c:v>
                </c:pt>
              </c:strCache>
            </c:strRef>
          </c:cat>
          <c:val>
            <c:numRef>
              <c:f>Лист1!$B$2:$B$7</c:f>
              <c:numCache>
                <c:formatCode>General</c:formatCode>
                <c:ptCount val="6"/>
                <c:pt idx="0">
                  <c:v>18</c:v>
                </c:pt>
                <c:pt idx="1">
                  <c:v>16</c:v>
                </c:pt>
                <c:pt idx="2">
                  <c:v>25</c:v>
                </c:pt>
                <c:pt idx="3">
                  <c:v>9</c:v>
                </c:pt>
                <c:pt idx="4">
                  <c:v>9</c:v>
                </c:pt>
                <c:pt idx="5">
                  <c:v>8</c:v>
                </c:pt>
              </c:numCache>
            </c:numRef>
          </c:val>
          <c:extLst>
            <c:ext xmlns:c16="http://schemas.microsoft.com/office/drawing/2014/chart" uri="{C3380CC4-5D6E-409C-BE32-E72D297353CC}">
              <c16:uniqueId val="{0000000E-3635-4CF8-BEB4-498EFDA29E25}"/>
            </c:ext>
          </c:extLst>
        </c:ser>
        <c:dLbls>
          <c:showLegendKey val="0"/>
          <c:showVal val="0"/>
          <c:showCatName val="0"/>
          <c:showSerName val="0"/>
          <c:showPercent val="0"/>
          <c:showBubbleSize val="0"/>
        </c:dLbls>
        <c:gapWidth val="0"/>
        <c:axId val="1216965359"/>
        <c:axId val="1216973679"/>
      </c:barChart>
      <c:catAx>
        <c:axId val="12169653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aseline="0"/>
                  <a:t>Интервал</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16973679"/>
        <c:crosses val="autoZero"/>
        <c:auto val="1"/>
        <c:lblAlgn val="ctr"/>
        <c:lblOffset val="100"/>
        <c:noMultiLvlLbl val="0"/>
      </c:catAx>
      <c:valAx>
        <c:axId val="12169736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Количество субъектов РФ</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16965359"/>
        <c:crosses val="autoZero"/>
        <c:crossBetween val="between"/>
      </c:valAx>
      <c:spPr>
        <a:noFill/>
        <a:ln>
          <a:noFill/>
        </a:ln>
        <a:effectLst/>
      </c:spPr>
    </c:plotArea>
    <c:plotVisOnly val="1"/>
    <c:dispBlanksAs val="gap"/>
    <c:showDLblsOverMax val="0"/>
    <c:extLst/>
  </c:chart>
  <c:spPr>
    <a:solidFill>
      <a:schemeClr val="bg1"/>
    </a:solidFill>
    <a:ln w="9525" cap="flat" cmpd="sng" algn="ctr">
      <a:noFill/>
      <a:round/>
    </a:ln>
    <a:effectLst/>
  </c:spPr>
  <c:txPr>
    <a:bodyPr/>
    <a:lstStyle/>
    <a:p>
      <a:pPr>
        <a:defRPr/>
      </a:pPr>
      <a:endParaRPr lang="ru-RU"/>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0.1625</cdr:x>
      <cdr:y>0.91974</cdr:y>
    </cdr:from>
    <cdr:to>
      <cdr:x>0.3625</cdr:x>
      <cdr:y>1</cdr:y>
    </cdr:to>
    <cdr:sp macro="" textlink="">
      <cdr:nvSpPr>
        <cdr:cNvPr id="2" name="TextBox 1">
          <a:extLst xmlns:a="http://schemas.openxmlformats.org/drawingml/2006/main">
            <a:ext uri="{FF2B5EF4-FFF2-40B4-BE49-F238E27FC236}">
              <a16:creationId xmlns:a16="http://schemas.microsoft.com/office/drawing/2014/main" id="{F4F4536A-93C7-4677-8C08-566197439B85}"/>
            </a:ext>
          </a:extLst>
        </cdr:cNvPr>
        <cdr:cNvSpPr txBox="1"/>
      </cdr:nvSpPr>
      <cdr:spPr>
        <a:xfrm xmlns:a="http://schemas.openxmlformats.org/drawingml/2006/main">
          <a:off x="742950" y="2728912"/>
          <a:ext cx="914400" cy="2381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0.1625</cdr:x>
      <cdr:y>0.91974</cdr:y>
    </cdr:from>
    <cdr:to>
      <cdr:x>0.3625</cdr:x>
      <cdr:y>1</cdr:y>
    </cdr:to>
    <cdr:sp macro="" textlink="">
      <cdr:nvSpPr>
        <cdr:cNvPr id="2" name="TextBox 1">
          <a:extLst xmlns:a="http://schemas.openxmlformats.org/drawingml/2006/main">
            <a:ext uri="{FF2B5EF4-FFF2-40B4-BE49-F238E27FC236}">
              <a16:creationId xmlns:a16="http://schemas.microsoft.com/office/drawing/2014/main" id="{F4F4536A-93C7-4677-8C08-566197439B85}"/>
            </a:ext>
          </a:extLst>
        </cdr:cNvPr>
        <cdr:cNvSpPr txBox="1"/>
      </cdr:nvSpPr>
      <cdr:spPr>
        <a:xfrm xmlns:a="http://schemas.openxmlformats.org/drawingml/2006/main">
          <a:off x="742950" y="2728912"/>
          <a:ext cx="914400" cy="2381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8D3776-8EA8-42CD-903B-8F277C77D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1086</Words>
  <Characters>6194</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Гончарук Данила Сергеевич</cp:lastModifiedBy>
  <cp:revision>8</cp:revision>
  <dcterms:created xsi:type="dcterms:W3CDTF">2025-05-14T11:04:00Z</dcterms:created>
  <dcterms:modified xsi:type="dcterms:W3CDTF">2025-05-14T11:11:00Z</dcterms:modified>
</cp:coreProperties>
</file>