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665851" w14:textId="66BFC317" w:rsidR="00E610D8" w:rsidRPr="00150FC9" w:rsidRDefault="00E610D8" w:rsidP="00150FC9">
      <w:pPr>
        <w:spacing w:after="0" w:line="25" w:lineRule="atLeast"/>
        <w:rPr>
          <w:rFonts w:ascii="Times New Roman" w:hAnsi="Times New Roman" w:cs="Times New Roman"/>
          <w:b/>
          <w:bCs/>
        </w:rPr>
      </w:pPr>
      <w:r w:rsidRPr="00150FC9">
        <w:rPr>
          <w:rFonts w:ascii="Times New Roman" w:hAnsi="Times New Roman" w:cs="Times New Roman"/>
          <w:b/>
          <w:bCs/>
        </w:rPr>
        <w:t>УДК 332.1.</w:t>
      </w:r>
    </w:p>
    <w:p w14:paraId="65AC242B" w14:textId="48BE2584" w:rsidR="00150FC9" w:rsidRPr="00150FC9" w:rsidRDefault="00150FC9" w:rsidP="00150FC9">
      <w:pPr>
        <w:spacing w:after="0" w:line="25" w:lineRule="atLeast"/>
        <w:jc w:val="right"/>
        <w:rPr>
          <w:rFonts w:ascii="Times New Roman" w:hAnsi="Times New Roman" w:cs="Times New Roman"/>
          <w:b/>
          <w:bCs/>
        </w:rPr>
      </w:pPr>
      <w:r w:rsidRPr="00150FC9">
        <w:rPr>
          <w:rFonts w:ascii="Times New Roman" w:hAnsi="Times New Roman" w:cs="Times New Roman"/>
          <w:b/>
          <w:bCs/>
        </w:rPr>
        <w:t>Борисов Е.В.</w:t>
      </w:r>
    </w:p>
    <w:p w14:paraId="1B97CA0E" w14:textId="65373457" w:rsidR="00E610D8" w:rsidRPr="00150FC9" w:rsidRDefault="00E610D8" w:rsidP="00150FC9">
      <w:pPr>
        <w:spacing w:after="0" w:line="25" w:lineRule="atLeast"/>
        <w:jc w:val="center"/>
        <w:rPr>
          <w:rFonts w:ascii="Times New Roman" w:hAnsi="Times New Roman" w:cs="Times New Roman"/>
          <w:b/>
          <w:bCs/>
        </w:rPr>
      </w:pPr>
      <w:r w:rsidRPr="00150FC9">
        <w:rPr>
          <w:rFonts w:ascii="Times New Roman" w:hAnsi="Times New Roman" w:cs="Times New Roman"/>
          <w:b/>
          <w:bCs/>
        </w:rPr>
        <w:t>А</w:t>
      </w:r>
      <w:r w:rsidRPr="00150FC9">
        <w:rPr>
          <w:rFonts w:ascii="Times New Roman" w:hAnsi="Times New Roman" w:cs="Times New Roman"/>
          <w:b/>
          <w:bCs/>
        </w:rPr>
        <w:t>нализ динамики бюджетного развития</w:t>
      </w:r>
      <w:r w:rsidRPr="00150FC9">
        <w:rPr>
          <w:rFonts w:ascii="Times New Roman" w:hAnsi="Times New Roman" w:cs="Times New Roman"/>
          <w:b/>
          <w:bCs/>
        </w:rPr>
        <w:t xml:space="preserve"> региона</w:t>
      </w:r>
      <w:r w:rsidRPr="00150FC9">
        <w:rPr>
          <w:rFonts w:ascii="Times New Roman" w:hAnsi="Times New Roman" w:cs="Times New Roman"/>
          <w:b/>
          <w:bCs/>
        </w:rPr>
        <w:t xml:space="preserve"> до</w:t>
      </w:r>
      <w:r w:rsidRPr="00150FC9">
        <w:rPr>
          <w:rFonts w:ascii="Times New Roman" w:hAnsi="Times New Roman" w:cs="Times New Roman"/>
          <w:b/>
          <w:bCs/>
        </w:rPr>
        <w:t xml:space="preserve"> </w:t>
      </w:r>
      <w:r w:rsidRPr="00150FC9">
        <w:rPr>
          <w:rFonts w:ascii="Times New Roman" w:hAnsi="Times New Roman" w:cs="Times New Roman"/>
          <w:b/>
          <w:bCs/>
        </w:rPr>
        <w:t>и</w:t>
      </w:r>
      <w:r w:rsidRPr="00150FC9">
        <w:rPr>
          <w:rFonts w:ascii="Times New Roman" w:hAnsi="Times New Roman" w:cs="Times New Roman"/>
          <w:b/>
          <w:bCs/>
        </w:rPr>
        <w:t xml:space="preserve"> </w:t>
      </w:r>
      <w:r w:rsidRPr="00150FC9">
        <w:rPr>
          <w:rFonts w:ascii="Times New Roman" w:hAnsi="Times New Roman" w:cs="Times New Roman"/>
          <w:b/>
          <w:bCs/>
        </w:rPr>
        <w:t>после</w:t>
      </w:r>
      <w:r w:rsidRPr="00150FC9">
        <w:rPr>
          <w:rFonts w:ascii="Times New Roman" w:hAnsi="Times New Roman" w:cs="Times New Roman"/>
          <w:b/>
          <w:bCs/>
        </w:rPr>
        <w:t xml:space="preserve"> </w:t>
      </w:r>
      <w:r w:rsidRPr="00150FC9">
        <w:rPr>
          <w:rFonts w:ascii="Times New Roman" w:hAnsi="Times New Roman" w:cs="Times New Roman"/>
          <w:b/>
          <w:bCs/>
        </w:rPr>
        <w:t>погашения коммерческих кредитов (на</w:t>
      </w:r>
      <w:r w:rsidRPr="00150FC9">
        <w:rPr>
          <w:rFonts w:ascii="Times New Roman" w:hAnsi="Times New Roman" w:cs="Times New Roman"/>
          <w:b/>
          <w:bCs/>
        </w:rPr>
        <w:t xml:space="preserve"> </w:t>
      </w:r>
      <w:r w:rsidRPr="00150FC9">
        <w:rPr>
          <w:rFonts w:ascii="Times New Roman" w:hAnsi="Times New Roman" w:cs="Times New Roman"/>
          <w:b/>
          <w:bCs/>
        </w:rPr>
        <w:t>примере</w:t>
      </w:r>
      <w:r w:rsidRPr="00150FC9">
        <w:rPr>
          <w:rFonts w:ascii="Times New Roman" w:hAnsi="Times New Roman" w:cs="Times New Roman"/>
          <w:b/>
          <w:bCs/>
        </w:rPr>
        <w:t xml:space="preserve"> </w:t>
      </w:r>
      <w:r w:rsidRPr="00150FC9">
        <w:rPr>
          <w:rFonts w:ascii="Times New Roman" w:hAnsi="Times New Roman" w:cs="Times New Roman"/>
          <w:b/>
          <w:bCs/>
        </w:rPr>
        <w:t>Вологодской области)</w:t>
      </w:r>
    </w:p>
    <w:p w14:paraId="1236C8EC" w14:textId="77777777" w:rsidR="00E610D8" w:rsidRPr="00150FC9" w:rsidRDefault="00E610D8" w:rsidP="00150FC9">
      <w:pPr>
        <w:spacing w:after="0" w:line="25" w:lineRule="atLeast"/>
        <w:jc w:val="center"/>
        <w:rPr>
          <w:rFonts w:ascii="Times New Roman" w:hAnsi="Times New Roman" w:cs="Times New Roman"/>
          <w:b/>
          <w:bCs/>
        </w:rPr>
      </w:pPr>
    </w:p>
    <w:p w14:paraId="1C62C59D" w14:textId="41B227C6" w:rsidR="00E610D8" w:rsidRPr="00E610D8" w:rsidRDefault="00FD3A4B" w:rsidP="00150FC9">
      <w:pPr>
        <w:spacing w:after="0" w:line="25" w:lineRule="atLeast"/>
        <w:ind w:firstLine="709"/>
        <w:jc w:val="both"/>
        <w:rPr>
          <w:sz w:val="22"/>
          <w:szCs w:val="22"/>
        </w:rPr>
      </w:pPr>
      <w:r w:rsidRPr="00150FC9">
        <w:rPr>
          <w:rFonts w:ascii="Times New Roman" w:hAnsi="Times New Roman" w:cs="Times New Roman"/>
          <w:i/>
          <w:iCs/>
        </w:rPr>
        <w:t>В условиях преобразовани</w:t>
      </w:r>
      <w:r w:rsidR="00150FC9" w:rsidRPr="00150FC9">
        <w:rPr>
          <w:rFonts w:ascii="Times New Roman" w:hAnsi="Times New Roman" w:cs="Times New Roman"/>
          <w:i/>
          <w:iCs/>
        </w:rPr>
        <w:t>я</w:t>
      </w:r>
      <w:r w:rsidRPr="00150FC9">
        <w:rPr>
          <w:rFonts w:ascii="Times New Roman" w:hAnsi="Times New Roman" w:cs="Times New Roman"/>
          <w:i/>
          <w:iCs/>
        </w:rPr>
        <w:t xml:space="preserve"> экономики Российской Федерации</w:t>
      </w:r>
      <w:r w:rsidR="00150FC9" w:rsidRPr="00150FC9">
        <w:rPr>
          <w:rFonts w:ascii="Times New Roman" w:hAnsi="Times New Roman" w:cs="Times New Roman"/>
          <w:i/>
          <w:iCs/>
        </w:rPr>
        <w:t xml:space="preserve"> из-за внешних шоков</w:t>
      </w:r>
      <w:r w:rsidRPr="00150FC9">
        <w:rPr>
          <w:rFonts w:ascii="Times New Roman" w:hAnsi="Times New Roman" w:cs="Times New Roman"/>
          <w:i/>
          <w:iCs/>
        </w:rPr>
        <w:t xml:space="preserve">, ключевая роль субъектов РФ в обеспечении экономической устойчивости страны сохраняется и усиливается. </w:t>
      </w:r>
      <w:r w:rsidR="00E610D8" w:rsidRPr="00150FC9">
        <w:rPr>
          <w:rFonts w:ascii="Times New Roman" w:hAnsi="Times New Roman" w:cs="Times New Roman"/>
          <w:i/>
          <w:iCs/>
          <w:kern w:val="0"/>
          <w14:ligatures w14:val="none"/>
        </w:rPr>
        <w:t>Однако препятствием для бюджетного развития российских регионов мо</w:t>
      </w:r>
      <w:r w:rsidR="00150FC9" w:rsidRPr="00150FC9">
        <w:rPr>
          <w:rFonts w:ascii="Times New Roman" w:hAnsi="Times New Roman" w:cs="Times New Roman"/>
          <w:i/>
          <w:iCs/>
          <w:kern w:val="0"/>
          <w14:ligatures w14:val="none"/>
        </w:rPr>
        <w:t>жет стать закредитованность коммерческими кредитами.</w:t>
      </w:r>
    </w:p>
    <w:p w14:paraId="4B89116C" w14:textId="236A8F61" w:rsidR="00E610D8" w:rsidRPr="00150FC9" w:rsidRDefault="00E610D8" w:rsidP="00150FC9">
      <w:pPr>
        <w:spacing w:after="0" w:line="25" w:lineRule="atLeast"/>
        <w:jc w:val="both"/>
        <w:rPr>
          <w:rFonts w:ascii="Times New Roman" w:hAnsi="Times New Roman" w:cs="Times New Roman"/>
        </w:rPr>
      </w:pPr>
    </w:p>
    <w:p w14:paraId="4A0B2FDD" w14:textId="04CE9DD7" w:rsidR="00150FC9" w:rsidRDefault="00150FC9" w:rsidP="00150FC9">
      <w:pPr>
        <w:spacing w:after="0" w:line="240" w:lineRule="auto"/>
        <w:ind w:firstLine="709"/>
        <w:jc w:val="both"/>
        <w:rPr>
          <w:rFonts w:ascii="Times New Roman" w:hAnsi="Times New Roman" w:cs="Times New Roman"/>
        </w:rPr>
      </w:pPr>
      <w:r w:rsidRPr="00150FC9">
        <w:rPr>
          <w:rFonts w:ascii="Times New Roman" w:hAnsi="Times New Roman" w:cs="Times New Roman"/>
        </w:rPr>
        <w:t xml:space="preserve">Ключевые слова: </w:t>
      </w:r>
      <w:r>
        <w:rPr>
          <w:rFonts w:ascii="Times New Roman" w:hAnsi="Times New Roman" w:cs="Times New Roman"/>
        </w:rPr>
        <w:t>коммерческие кредиты, консолидированный бюджет, развитие региона.</w:t>
      </w:r>
    </w:p>
    <w:p w14:paraId="0589FC27" w14:textId="199B1CBE" w:rsidR="00150FC9" w:rsidRDefault="00150FC9" w:rsidP="00150FC9">
      <w:pPr>
        <w:spacing w:after="0" w:line="240" w:lineRule="auto"/>
        <w:ind w:firstLine="709"/>
        <w:jc w:val="both"/>
        <w:rPr>
          <w:rFonts w:ascii="Times New Roman" w:hAnsi="Times New Roman" w:cs="Times New Roman"/>
        </w:rPr>
      </w:pPr>
    </w:p>
    <w:p w14:paraId="38D84A33" w14:textId="77777777" w:rsidR="00762EA5" w:rsidRPr="00762EA5" w:rsidRDefault="00762EA5" w:rsidP="009F6236">
      <w:pPr>
        <w:spacing w:after="0" w:line="240" w:lineRule="auto"/>
        <w:ind w:firstLine="709"/>
        <w:jc w:val="both"/>
        <w:rPr>
          <w:rFonts w:ascii="Times New Roman" w:hAnsi="Times New Roman" w:cs="Times New Roman"/>
        </w:rPr>
      </w:pPr>
      <w:r w:rsidRPr="00762EA5">
        <w:rPr>
          <w:rFonts w:ascii="Times New Roman" w:hAnsi="Times New Roman" w:cs="Times New Roman"/>
        </w:rPr>
        <w:t xml:space="preserve">В Указе Президента РФ «О стратегии национальной безопасности Российской Федерации» от 2 июля 2021 г. №400 одним из национальных приоритетов является экономическая безопасность, достижение которой предлагается, в том числе, с помощью повышения эффективного использования бюджетных средств . Финансовая безопасность России тесно связана со способностью бюджетной системы адекватно реагировать на изменения внутренней и внешней среды, обеспечивать выполнение расходных обязательств и минимизировать долговые риски. </w:t>
      </w:r>
    </w:p>
    <w:p w14:paraId="5CA3684F" w14:textId="77777777" w:rsidR="00762EA5" w:rsidRPr="00762EA5" w:rsidRDefault="00762EA5" w:rsidP="009F6236">
      <w:pPr>
        <w:spacing w:after="0" w:line="240" w:lineRule="auto"/>
        <w:ind w:firstLine="709"/>
        <w:jc w:val="both"/>
        <w:rPr>
          <w:rFonts w:ascii="Times New Roman" w:hAnsi="Times New Roman" w:cs="Times New Roman"/>
        </w:rPr>
      </w:pPr>
      <w:r w:rsidRPr="00762EA5">
        <w:rPr>
          <w:rFonts w:ascii="Times New Roman" w:hAnsi="Times New Roman" w:cs="Times New Roman"/>
        </w:rPr>
        <w:t xml:space="preserve">Эффективное использование инструментов бюджетно-налоговой политики позволит максимально эффективно использовать бюджетный потенциал страны и ее регионов. В свою очередь, высокий уровень бюджетного потенциала даст региону возможность не только выполнять текущие обязательства, но и формировать резервы для преодоления кризисных ситуаций, что является важным условием достижения финансовой устойчивости. Комплексное применение инструментов бюджетно-налоговой политики создает мультипликативный эффект, способствующий мобилизации внутреннего потенциала региона, привлечению внешних инвестиций и формированию устойчивой финансовой базы, благодаря которой региональные органы власти способны реализовывать поставленные перед ними задачи. </w:t>
      </w:r>
    </w:p>
    <w:p w14:paraId="2CCEBE0B" w14:textId="158A7517" w:rsidR="00762EA5" w:rsidRDefault="00762EA5" w:rsidP="009F6236">
      <w:pPr>
        <w:spacing w:after="0" w:line="240" w:lineRule="auto"/>
        <w:ind w:firstLine="709"/>
        <w:jc w:val="both"/>
        <w:rPr>
          <w:rFonts w:ascii="Times New Roman" w:hAnsi="Times New Roman" w:cs="Times New Roman"/>
        </w:rPr>
      </w:pPr>
      <w:r w:rsidRPr="00762EA5">
        <w:rPr>
          <w:rFonts w:ascii="Times New Roman" w:hAnsi="Times New Roman" w:cs="Times New Roman"/>
        </w:rPr>
        <w:t>Вместе с тем, наличие у регионов задолженности по коммерческим кредитам является барьером для эффективного использования имеющихся у региона финансовых средств. Не смотря на имевший место тренд на замещение коммерческих кредитов бюджетными, о чем еще в 2021 году говорил Президент России В.В. Путин, высокая закредитованность коммерческими займами наблюдается у ряда регионов, таких как: Архангельская область (отношение коммерческих кредитов к собственным доходам достигло 36,9%), Мурманская область (27%), Омская область (16,2%) и Республика Бурятия (18,8%). Связь между доходами консолидированного бюджета и коммерческими кредитами заключается в том, что если доходов региона недостаточно для покрытия расходных обязательств либо реализации инвестиционных проектов, то регион может привлекать коммерческие кредиты как наиболее простой (в части обоснования привлечения) способ пополнения бюджета по сравнению, например, с механизмом привлечения в региона инвестиций. Вместе с тем, получение другой кредитной формы – бюджетных кредитов – является более выгодной в обслуживании процедурой (в силу невысоких процентных ставок). Однако, из-за несоответствия требованиям, предъявляемым региону (высокая текущая закредитованность региона, требования к его финансовой устойчивости, целевое использование средств, а также бюрократические сложности) регионы вынуждены использовать механизм коммерческого кредитования.</w:t>
      </w:r>
    </w:p>
    <w:p w14:paraId="38CC476F" w14:textId="0C5F6B57" w:rsidR="00762EA5" w:rsidRPr="00762EA5" w:rsidRDefault="00762EA5" w:rsidP="009F6236">
      <w:pPr>
        <w:spacing w:after="0" w:line="240" w:lineRule="auto"/>
        <w:ind w:firstLine="709"/>
        <w:jc w:val="both"/>
        <w:rPr>
          <w:rFonts w:ascii="Times New Roman" w:hAnsi="Times New Roman" w:cs="Times New Roman"/>
        </w:rPr>
      </w:pPr>
      <w:r w:rsidRPr="00762EA5">
        <w:rPr>
          <w:rFonts w:ascii="Times New Roman" w:hAnsi="Times New Roman" w:cs="Times New Roman"/>
        </w:rPr>
        <w:t xml:space="preserve">Зачастую региональные бюджеты не имеют возможности полноценно покрывать расходные обязательства налоговыми и неналоговыми доходами, что приводит к дефициту бюджета и вынуждает региональные органы власти искать иные источники финансирования. Такими источниками, по российскому бюджетному законодательству, </w:t>
      </w:r>
      <w:r w:rsidRPr="00762EA5">
        <w:rPr>
          <w:rFonts w:ascii="Times New Roman" w:hAnsi="Times New Roman" w:cs="Times New Roman"/>
        </w:rPr>
        <w:lastRenderedPageBreak/>
        <w:t xml:space="preserve">могут быть коммерческие кредиты. Имеющиеся в научном сообществе исследования влияния коммерческих кредитов на те или иные бюджетные категории (бюджетное состояние, бюджетная сбалансированность, бюджетная устойчивость, бюджетная безопасность и др.) региона являются актуальными и весьма дискуссионными. </w:t>
      </w:r>
    </w:p>
    <w:p w14:paraId="52BC5209" w14:textId="207BED4C" w:rsidR="00762EA5" w:rsidRPr="00AC339F" w:rsidRDefault="00762EA5" w:rsidP="00AC339F">
      <w:pPr>
        <w:spacing w:after="0" w:line="240" w:lineRule="auto"/>
        <w:ind w:firstLine="709"/>
        <w:jc w:val="both"/>
        <w:rPr>
          <w:rFonts w:ascii="Times New Roman" w:hAnsi="Times New Roman" w:cs="Times New Roman"/>
        </w:rPr>
      </w:pPr>
      <w:r>
        <w:rPr>
          <w:rFonts w:ascii="Times New Roman" w:hAnsi="Times New Roman" w:cs="Times New Roman"/>
        </w:rPr>
        <w:t>О предпочтительности бюджетных кредитов</w:t>
      </w:r>
      <w:r w:rsidR="006943F7">
        <w:rPr>
          <w:rFonts w:ascii="Times New Roman" w:hAnsi="Times New Roman" w:cs="Times New Roman"/>
        </w:rPr>
        <w:t xml:space="preserve">, помимо ученого сообщества, </w:t>
      </w:r>
      <w:r>
        <w:rPr>
          <w:rFonts w:ascii="Times New Roman" w:hAnsi="Times New Roman" w:cs="Times New Roman"/>
        </w:rPr>
        <w:t>также говорили и видные политические деятели и экономисты, такие как Президент Российской Федерации В.В. Путин</w:t>
      </w:r>
      <w:r>
        <w:rPr>
          <w:rStyle w:val="a5"/>
          <w:rFonts w:ascii="Times New Roman" w:hAnsi="Times New Roman" w:cs="Times New Roman"/>
        </w:rPr>
        <w:footnoteReference w:id="1"/>
      </w:r>
      <w:r>
        <w:rPr>
          <w:rFonts w:ascii="Times New Roman" w:hAnsi="Times New Roman" w:cs="Times New Roman"/>
        </w:rPr>
        <w:t>, Председатель ГД В.В. Володин</w:t>
      </w:r>
      <w:r>
        <w:rPr>
          <w:rStyle w:val="a5"/>
          <w:rFonts w:ascii="Times New Roman" w:hAnsi="Times New Roman" w:cs="Times New Roman"/>
        </w:rPr>
        <w:footnoteReference w:id="2"/>
      </w:r>
      <w:r>
        <w:rPr>
          <w:rFonts w:ascii="Times New Roman" w:hAnsi="Times New Roman" w:cs="Times New Roman"/>
        </w:rPr>
        <w:t xml:space="preserve">, </w:t>
      </w:r>
      <w:r w:rsidRPr="00762EA5">
        <w:rPr>
          <w:rFonts w:ascii="Times New Roman" w:hAnsi="Times New Roman" w:cs="Times New Roman"/>
        </w:rPr>
        <w:t>Заместитель председателя Правительства РФ (на момент 2015 года – Председатель Счетной палаты РФ) Т.А. Голикова</w:t>
      </w:r>
      <w:r>
        <w:rPr>
          <w:rFonts w:ascii="Times New Roman" w:hAnsi="Times New Roman" w:cs="Times New Roman"/>
        </w:rPr>
        <w:t xml:space="preserve"> и </w:t>
      </w:r>
      <w:r w:rsidRPr="00762EA5">
        <w:rPr>
          <w:rFonts w:ascii="Times New Roman" w:hAnsi="Times New Roman" w:cs="Times New Roman"/>
        </w:rPr>
        <w:t>Директор Института реформирования общественных финансов В.В. Климанов</w:t>
      </w:r>
      <w:r>
        <w:rPr>
          <w:rFonts w:ascii="Times New Roman" w:hAnsi="Times New Roman" w:cs="Times New Roman"/>
        </w:rPr>
        <w:t xml:space="preserve"> </w:t>
      </w:r>
      <w:r>
        <w:rPr>
          <w:rStyle w:val="a5"/>
          <w:rFonts w:ascii="Times New Roman" w:hAnsi="Times New Roman" w:cs="Times New Roman"/>
        </w:rPr>
        <w:footnoteReference w:id="3"/>
      </w:r>
      <w:r>
        <w:rPr>
          <w:rFonts w:ascii="Times New Roman" w:hAnsi="Times New Roman" w:cs="Times New Roman"/>
        </w:rPr>
        <w:t xml:space="preserve">. </w:t>
      </w:r>
    </w:p>
    <w:p w14:paraId="1DA40F65" w14:textId="77777777" w:rsidR="00762EA5" w:rsidRPr="00762EA5" w:rsidRDefault="00762EA5" w:rsidP="009F6236">
      <w:pPr>
        <w:spacing w:after="0" w:line="240" w:lineRule="auto"/>
        <w:ind w:firstLine="709"/>
        <w:jc w:val="both"/>
        <w:rPr>
          <w:rFonts w:ascii="Times New Roman" w:hAnsi="Times New Roman" w:cs="Times New Roman"/>
        </w:rPr>
      </w:pPr>
      <w:r w:rsidRPr="00762EA5">
        <w:rPr>
          <w:rFonts w:ascii="Times New Roman" w:hAnsi="Times New Roman" w:cs="Times New Roman"/>
        </w:rPr>
        <w:t>На текущем этапе исследования были собраны данные по показателям: коммерческой задолженности консолидированного бюджета Вологодской области за 2013–2024 гг. для наглядного отражения доли коммерческих кредитов в расходах социальной сферы и экономического развития Вологодской области. Пик закредитованности Вологодской области по коммерческим кредитам пришелся на 2015 год (рис. 1.). Для региона, соотношение коммерческих кредитов к доходам в 2013-2016 гг. составляло 23,9, 20,8, 20,9 и 11,3%, соответственно, являлось значимым риск-фактором потери финансовой устойчивости региона, снижающим ее привлекательность как для инвестиций, так и для получения бюджетных кредитов.</w:t>
      </w:r>
    </w:p>
    <w:p w14:paraId="39EF4D4A" w14:textId="77777777" w:rsidR="00762EA5" w:rsidRPr="000A3DC2" w:rsidRDefault="00762EA5" w:rsidP="00762EA5">
      <w:pPr>
        <w:spacing w:after="0" w:line="240" w:lineRule="auto"/>
        <w:jc w:val="center"/>
        <w:rPr>
          <w:rFonts w:ascii="Times New Roman" w:hAnsi="Times New Roman" w:cs="Times New Roman"/>
          <w:sz w:val="28"/>
          <w:szCs w:val="28"/>
        </w:rPr>
      </w:pPr>
      <w:r w:rsidRPr="000A3DC2">
        <w:rPr>
          <w:rFonts w:ascii="Times New Roman" w:hAnsi="Times New Roman" w:cs="Times New Roman"/>
          <w:noProof/>
          <w:sz w:val="28"/>
          <w:szCs w:val="28"/>
        </w:rPr>
        <w:drawing>
          <wp:inline distT="0" distB="0" distL="0" distR="0" wp14:anchorId="70D97C97" wp14:editId="1C91BD53">
            <wp:extent cx="5924550" cy="2848713"/>
            <wp:effectExtent l="0" t="0" r="0" b="889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C74E12E" w14:textId="77777777" w:rsidR="00762EA5" w:rsidRPr="000A3DC2" w:rsidRDefault="00762EA5" w:rsidP="00762EA5">
      <w:pPr>
        <w:spacing w:after="0" w:line="240" w:lineRule="auto"/>
        <w:jc w:val="center"/>
        <w:rPr>
          <w:rFonts w:ascii="Times New Roman" w:hAnsi="Times New Roman" w:cs="Times New Roman"/>
        </w:rPr>
      </w:pPr>
      <w:r w:rsidRPr="00762EA5">
        <w:rPr>
          <w:rFonts w:ascii="Times New Roman" w:hAnsi="Times New Roman" w:cs="Times New Roman"/>
        </w:rPr>
        <w:t>Рисунок 1.</w:t>
      </w:r>
      <w:r w:rsidRPr="000A3DC2">
        <w:rPr>
          <w:rFonts w:ascii="Times New Roman" w:hAnsi="Times New Roman" w:cs="Times New Roman"/>
          <w:b/>
          <w:bCs/>
        </w:rPr>
        <w:t xml:space="preserve"> </w:t>
      </w:r>
      <w:r w:rsidRPr="000A3DC2">
        <w:rPr>
          <w:rFonts w:ascii="Times New Roman" w:hAnsi="Times New Roman" w:cs="Times New Roman"/>
        </w:rPr>
        <w:t xml:space="preserve">Динамика объемов коммерческих кредитов и расходов на обслуживание долга </w:t>
      </w:r>
      <w:r>
        <w:rPr>
          <w:rFonts w:ascii="Times New Roman" w:hAnsi="Times New Roman" w:cs="Times New Roman"/>
        </w:rPr>
        <w:t xml:space="preserve">консолидированного бюджета Вологодской области </w:t>
      </w:r>
      <w:r w:rsidRPr="000A3DC2">
        <w:rPr>
          <w:rFonts w:ascii="Times New Roman" w:hAnsi="Times New Roman" w:cs="Times New Roman"/>
        </w:rPr>
        <w:t>за 2013–2024 гг., млрд. руб.</w:t>
      </w:r>
      <w:r>
        <w:rPr>
          <w:rFonts w:ascii="Times New Roman" w:hAnsi="Times New Roman" w:cs="Times New Roman"/>
        </w:rPr>
        <w:t xml:space="preserve"> </w:t>
      </w:r>
    </w:p>
    <w:p w14:paraId="7D1EB3F9" w14:textId="341B0490" w:rsidR="00762EA5" w:rsidRPr="006943F7" w:rsidRDefault="00762EA5" w:rsidP="00AC339F">
      <w:pPr>
        <w:spacing w:after="0" w:line="300" w:lineRule="auto"/>
        <w:jc w:val="both"/>
        <w:rPr>
          <w:rFonts w:ascii="Times New Roman" w:hAnsi="Times New Roman" w:cs="Times New Roman"/>
          <w:sz w:val="20"/>
          <w:szCs w:val="20"/>
          <w:lang w:val="en-US"/>
        </w:rPr>
      </w:pPr>
      <w:r w:rsidRPr="00762EA5">
        <w:rPr>
          <w:rFonts w:ascii="Times New Roman" w:hAnsi="Times New Roman" w:cs="Times New Roman"/>
          <w:sz w:val="20"/>
          <w:szCs w:val="20"/>
        </w:rPr>
        <w:t xml:space="preserve">Источник: </w:t>
      </w:r>
      <w:r>
        <w:rPr>
          <w:rFonts w:ascii="Times New Roman" w:hAnsi="Times New Roman" w:cs="Times New Roman"/>
          <w:sz w:val="20"/>
          <w:szCs w:val="20"/>
        </w:rPr>
        <w:t xml:space="preserve">Министерство Финансов Российской Федерации. </w:t>
      </w:r>
      <w:r>
        <w:rPr>
          <w:rFonts w:ascii="Times New Roman" w:hAnsi="Times New Roman" w:cs="Times New Roman"/>
          <w:sz w:val="20"/>
          <w:szCs w:val="20"/>
          <w:lang w:val="en-US"/>
        </w:rPr>
        <w:t>URL</w:t>
      </w:r>
      <w:r w:rsidRPr="00762EA5">
        <w:rPr>
          <w:rFonts w:ascii="Times New Roman" w:hAnsi="Times New Roman" w:cs="Times New Roman"/>
          <w:sz w:val="20"/>
          <w:szCs w:val="20"/>
          <w:lang w:val="en-US"/>
        </w:rPr>
        <w:t xml:space="preserve">: </w:t>
      </w:r>
      <w:hyperlink r:id="rId9" w:history="1">
        <w:r w:rsidR="00AC339F" w:rsidRPr="006943F7">
          <w:rPr>
            <w:rStyle w:val="a8"/>
            <w:rFonts w:ascii="Times New Roman" w:hAnsi="Times New Roman" w:cs="Times New Roman"/>
            <w:color w:val="auto"/>
            <w:sz w:val="20"/>
            <w:szCs w:val="20"/>
            <w:u w:val="none"/>
            <w:lang w:val="en-US"/>
          </w:rPr>
          <w:t>https://minfin.gov.ru/ru/perfomance/public_debt/subj/subdbt</w:t>
        </w:r>
      </w:hyperlink>
    </w:p>
    <w:p w14:paraId="571676B7" w14:textId="7396FE00" w:rsidR="00762EA5" w:rsidRDefault="00762EA5" w:rsidP="00195719">
      <w:pPr>
        <w:spacing w:after="0" w:line="300" w:lineRule="auto"/>
        <w:ind w:firstLine="709"/>
        <w:jc w:val="both"/>
        <w:rPr>
          <w:rFonts w:ascii="Times New Roman" w:hAnsi="Times New Roman" w:cs="Times New Roman"/>
          <w:lang w:val="en-US"/>
        </w:rPr>
      </w:pPr>
    </w:p>
    <w:p w14:paraId="7D684896" w14:textId="334FE968" w:rsidR="00195719" w:rsidRPr="00195719" w:rsidRDefault="00195719" w:rsidP="009F6236">
      <w:pPr>
        <w:spacing w:after="0" w:line="240" w:lineRule="auto"/>
        <w:ind w:firstLine="709"/>
        <w:jc w:val="both"/>
        <w:rPr>
          <w:rFonts w:ascii="Times New Roman" w:hAnsi="Times New Roman" w:cs="Times New Roman"/>
        </w:rPr>
      </w:pPr>
      <w:r w:rsidRPr="00195719">
        <w:rPr>
          <w:rFonts w:ascii="Times New Roman" w:hAnsi="Times New Roman" w:cs="Times New Roman"/>
        </w:rPr>
        <w:t xml:space="preserve">Из данных, представленных в таблице </w:t>
      </w:r>
      <w:r>
        <w:rPr>
          <w:rFonts w:ascii="Times New Roman" w:hAnsi="Times New Roman" w:cs="Times New Roman"/>
        </w:rPr>
        <w:t>1</w:t>
      </w:r>
      <w:r w:rsidRPr="00195719">
        <w:rPr>
          <w:rFonts w:ascii="Times New Roman" w:hAnsi="Times New Roman" w:cs="Times New Roman"/>
        </w:rPr>
        <w:t xml:space="preserve">, видно, что с 2016 по 2022 годы Вологодская область успешно сокращала свой государственный долг, но в связи с кризисом 2022–2023 гг. регион был вынужден нарастить долг. В 2024 году заметно его снижение, что может являться положительным трендом, указывающим на адаптацию экономики под текущие кризисные условия. Пик закредитованностью коммерческими кредитами пришелся на 2015 </w:t>
      </w:r>
      <w:r w:rsidRPr="00195719">
        <w:rPr>
          <w:rFonts w:ascii="Times New Roman" w:hAnsi="Times New Roman" w:cs="Times New Roman"/>
        </w:rPr>
        <w:lastRenderedPageBreak/>
        <w:t xml:space="preserve">год (44% от совокупного долга области), после чего объем коммерческих кредитов постепенно сокращался до 2019 года. </w:t>
      </w:r>
    </w:p>
    <w:p w14:paraId="24B5A40C" w14:textId="77777777" w:rsidR="00195719" w:rsidRPr="00195719" w:rsidRDefault="00195719" w:rsidP="009F6236">
      <w:pPr>
        <w:spacing w:after="0" w:line="240" w:lineRule="auto"/>
        <w:ind w:firstLine="709"/>
        <w:jc w:val="both"/>
        <w:rPr>
          <w:rFonts w:ascii="Times New Roman" w:hAnsi="Times New Roman" w:cs="Times New Roman"/>
        </w:rPr>
      </w:pPr>
      <w:r w:rsidRPr="00195719">
        <w:rPr>
          <w:rFonts w:ascii="Times New Roman" w:hAnsi="Times New Roman" w:cs="Times New Roman"/>
        </w:rPr>
        <w:t>Также, отчетливо видно, что в период 2015–2018 гг. доля коммерческих кредитов и расходов на обслуживание долга в расходах на экономическое развитие превысила сумму расходов на национальную экономику и ЖКХ (в 2015–2018 гг. в среднем 115,3%. Наибольшее значение зафиксировано в 2016 году – 248,9%). Доля коммерческих кредитов в расходах на социальную сферу составляла за тот же временной период 23%, что являлось крайне негативным, так как региону приходилось уплачивать по своим долговым обязательства такие объемы бюджетных ресурсов, которые превышали значимые для социально-экономического развития статьи расходов.</w:t>
      </w:r>
    </w:p>
    <w:p w14:paraId="67631615" w14:textId="4909F3B9" w:rsidR="00195719" w:rsidRDefault="00195719" w:rsidP="009F6236">
      <w:pPr>
        <w:spacing w:after="0" w:line="240" w:lineRule="auto"/>
        <w:ind w:firstLine="709"/>
        <w:jc w:val="both"/>
        <w:rPr>
          <w:rFonts w:ascii="Times New Roman" w:hAnsi="Times New Roman" w:cs="Times New Roman"/>
        </w:rPr>
      </w:pPr>
      <w:r w:rsidRPr="00195719">
        <w:rPr>
          <w:rFonts w:ascii="Times New Roman" w:hAnsi="Times New Roman" w:cs="Times New Roman"/>
        </w:rPr>
        <w:t xml:space="preserve">Таблица </w:t>
      </w:r>
      <w:r>
        <w:rPr>
          <w:rFonts w:ascii="Times New Roman" w:hAnsi="Times New Roman" w:cs="Times New Roman"/>
        </w:rPr>
        <w:t>1</w:t>
      </w:r>
      <w:r w:rsidRPr="00195719">
        <w:rPr>
          <w:rFonts w:ascii="Times New Roman" w:hAnsi="Times New Roman" w:cs="Times New Roman"/>
        </w:rPr>
        <w:t>.</w:t>
      </w:r>
      <w:r>
        <w:rPr>
          <w:rFonts w:ascii="Times New Roman" w:hAnsi="Times New Roman" w:cs="Times New Roman"/>
          <w:b/>
          <w:bCs/>
        </w:rPr>
        <w:t xml:space="preserve"> </w:t>
      </w:r>
      <w:r>
        <w:rPr>
          <w:rFonts w:ascii="Times New Roman" w:hAnsi="Times New Roman" w:cs="Times New Roman"/>
        </w:rPr>
        <w:t>Доля коммерческих кредитов в расходах консолидированного бюджета Вологодской области за 2015–2018 гг.</w:t>
      </w:r>
    </w:p>
    <w:tbl>
      <w:tblPr>
        <w:tblStyle w:val="a7"/>
        <w:tblW w:w="0" w:type="auto"/>
        <w:tblLayout w:type="fixed"/>
        <w:tblLook w:val="04A0" w:firstRow="1" w:lastRow="0" w:firstColumn="1" w:lastColumn="0" w:noHBand="0" w:noVBand="1"/>
      </w:tblPr>
      <w:tblGrid>
        <w:gridCol w:w="1271"/>
        <w:gridCol w:w="1276"/>
        <w:gridCol w:w="1417"/>
        <w:gridCol w:w="1250"/>
        <w:gridCol w:w="1511"/>
        <w:gridCol w:w="1275"/>
        <w:gridCol w:w="1345"/>
      </w:tblGrid>
      <w:tr w:rsidR="00195719" w14:paraId="365FBBF2" w14:textId="77777777" w:rsidTr="00195719">
        <w:tc>
          <w:tcPr>
            <w:tcW w:w="1271" w:type="dxa"/>
            <w:vAlign w:val="center"/>
          </w:tcPr>
          <w:p w14:paraId="5F530688"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sz w:val="18"/>
                <w:szCs w:val="18"/>
              </w:rPr>
              <w:t>Год</w:t>
            </w:r>
          </w:p>
        </w:tc>
        <w:tc>
          <w:tcPr>
            <w:tcW w:w="1276" w:type="dxa"/>
            <w:vAlign w:val="center"/>
          </w:tcPr>
          <w:p w14:paraId="0F2E869F" w14:textId="77777777" w:rsidR="00195719" w:rsidRPr="00195719" w:rsidRDefault="00195719" w:rsidP="00195719">
            <w:pPr>
              <w:spacing w:line="240" w:lineRule="auto"/>
              <w:ind w:left="-85" w:right="-85"/>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Государственный / муниципальный долг консолидированного бюджета, млрд. руб.</w:t>
            </w:r>
          </w:p>
        </w:tc>
        <w:tc>
          <w:tcPr>
            <w:tcW w:w="1417" w:type="dxa"/>
            <w:vAlign w:val="center"/>
          </w:tcPr>
          <w:p w14:paraId="06EF34DE" w14:textId="77777777" w:rsidR="00195719" w:rsidRPr="00195719" w:rsidRDefault="00195719" w:rsidP="00195719">
            <w:pPr>
              <w:spacing w:line="240" w:lineRule="auto"/>
              <w:ind w:left="-85" w:right="-85"/>
              <w:jc w:val="center"/>
              <w:rPr>
                <w:rFonts w:ascii="Times New Roman" w:hAnsi="Times New Roman" w:cs="Times New Roman"/>
                <w:sz w:val="18"/>
                <w:szCs w:val="18"/>
              </w:rPr>
            </w:pPr>
            <w:r w:rsidRPr="00195719">
              <w:rPr>
                <w:rFonts w:ascii="Times New Roman" w:hAnsi="Times New Roman" w:cs="Times New Roman"/>
                <w:color w:val="000000"/>
                <w:sz w:val="18"/>
                <w:szCs w:val="18"/>
              </w:rPr>
              <w:t>Коммерческие кредиты, млрд. руб.</w:t>
            </w:r>
          </w:p>
        </w:tc>
        <w:tc>
          <w:tcPr>
            <w:tcW w:w="1250" w:type="dxa"/>
            <w:vAlign w:val="center"/>
          </w:tcPr>
          <w:p w14:paraId="21CBD77B" w14:textId="77777777" w:rsidR="00195719" w:rsidRPr="00195719" w:rsidRDefault="00195719" w:rsidP="00195719">
            <w:pPr>
              <w:spacing w:line="240" w:lineRule="auto"/>
              <w:ind w:left="-85" w:right="-85"/>
              <w:jc w:val="center"/>
              <w:rPr>
                <w:rFonts w:ascii="Times New Roman" w:hAnsi="Times New Roman" w:cs="Times New Roman"/>
                <w:sz w:val="18"/>
                <w:szCs w:val="18"/>
              </w:rPr>
            </w:pPr>
            <w:r w:rsidRPr="00195719">
              <w:rPr>
                <w:rFonts w:ascii="Times New Roman" w:hAnsi="Times New Roman" w:cs="Times New Roman"/>
                <w:color w:val="000000"/>
                <w:sz w:val="18"/>
                <w:szCs w:val="18"/>
              </w:rPr>
              <w:t>Расходы на обслуживание государственного / муниципального долга, млрд. руб.</w:t>
            </w:r>
          </w:p>
        </w:tc>
        <w:tc>
          <w:tcPr>
            <w:tcW w:w="1511" w:type="dxa"/>
            <w:vAlign w:val="center"/>
          </w:tcPr>
          <w:p w14:paraId="24165151" w14:textId="77777777" w:rsidR="00195719" w:rsidRPr="00195719" w:rsidRDefault="00195719" w:rsidP="00195719">
            <w:pPr>
              <w:spacing w:line="240" w:lineRule="auto"/>
              <w:ind w:left="-85" w:right="-85"/>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Доля коммерческих кредитов в общем государственном долге, %</w:t>
            </w:r>
          </w:p>
        </w:tc>
        <w:tc>
          <w:tcPr>
            <w:tcW w:w="1275" w:type="dxa"/>
            <w:vAlign w:val="center"/>
          </w:tcPr>
          <w:p w14:paraId="073A5CC8" w14:textId="77777777" w:rsidR="00195719" w:rsidRPr="00195719" w:rsidRDefault="00195719" w:rsidP="00195719">
            <w:pPr>
              <w:spacing w:line="240" w:lineRule="auto"/>
              <w:ind w:left="-85" w:right="-85"/>
              <w:jc w:val="center"/>
              <w:rPr>
                <w:rFonts w:ascii="Times New Roman" w:hAnsi="Times New Roman" w:cs="Times New Roman"/>
                <w:sz w:val="18"/>
                <w:szCs w:val="18"/>
              </w:rPr>
            </w:pPr>
            <w:r w:rsidRPr="00195719">
              <w:rPr>
                <w:rFonts w:ascii="Times New Roman" w:hAnsi="Times New Roman" w:cs="Times New Roman"/>
                <w:color w:val="000000"/>
                <w:sz w:val="18"/>
                <w:szCs w:val="18"/>
              </w:rPr>
              <w:t>Доля коммерческих кредитов в расходах на социальную сферу, %</w:t>
            </w:r>
          </w:p>
        </w:tc>
        <w:tc>
          <w:tcPr>
            <w:tcW w:w="1345" w:type="dxa"/>
            <w:vAlign w:val="center"/>
          </w:tcPr>
          <w:p w14:paraId="65061BA7" w14:textId="77777777" w:rsidR="00195719" w:rsidRPr="00195719" w:rsidRDefault="00195719" w:rsidP="00195719">
            <w:pPr>
              <w:spacing w:line="240" w:lineRule="auto"/>
              <w:ind w:left="-85" w:right="-85"/>
              <w:jc w:val="center"/>
              <w:rPr>
                <w:rFonts w:ascii="Times New Roman" w:hAnsi="Times New Roman" w:cs="Times New Roman"/>
                <w:sz w:val="18"/>
                <w:szCs w:val="18"/>
              </w:rPr>
            </w:pPr>
            <w:r w:rsidRPr="00195719">
              <w:rPr>
                <w:rFonts w:ascii="Times New Roman" w:hAnsi="Times New Roman" w:cs="Times New Roman"/>
                <w:color w:val="000000"/>
                <w:sz w:val="18"/>
                <w:szCs w:val="18"/>
              </w:rPr>
              <w:t>Доля коммерческих кредитов в расходах на экономическое развитие, %</w:t>
            </w:r>
          </w:p>
        </w:tc>
      </w:tr>
      <w:tr w:rsidR="00195719" w14:paraId="292EFDCC" w14:textId="77777777" w:rsidTr="007F7900">
        <w:tc>
          <w:tcPr>
            <w:tcW w:w="9345" w:type="dxa"/>
            <w:gridSpan w:val="7"/>
            <w:vAlign w:val="center"/>
          </w:tcPr>
          <w:p w14:paraId="11BA0A6F"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До полного погашения коммерческих кредитов</w:t>
            </w:r>
          </w:p>
        </w:tc>
      </w:tr>
      <w:tr w:rsidR="00195719" w14:paraId="0BF6642E" w14:textId="77777777" w:rsidTr="00195719">
        <w:tc>
          <w:tcPr>
            <w:tcW w:w="1271" w:type="dxa"/>
            <w:vAlign w:val="center"/>
          </w:tcPr>
          <w:p w14:paraId="0ACB3ACD"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2015</w:t>
            </w:r>
          </w:p>
        </w:tc>
        <w:tc>
          <w:tcPr>
            <w:tcW w:w="1276" w:type="dxa"/>
          </w:tcPr>
          <w:p w14:paraId="319B8D16"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34,3</w:t>
            </w:r>
          </w:p>
        </w:tc>
        <w:tc>
          <w:tcPr>
            <w:tcW w:w="1417" w:type="dxa"/>
            <w:vAlign w:val="center"/>
          </w:tcPr>
          <w:p w14:paraId="37804AD4"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15,1</w:t>
            </w:r>
          </w:p>
        </w:tc>
        <w:tc>
          <w:tcPr>
            <w:tcW w:w="1250" w:type="dxa"/>
            <w:vAlign w:val="center"/>
          </w:tcPr>
          <w:p w14:paraId="4FC36595"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2,0</w:t>
            </w:r>
          </w:p>
        </w:tc>
        <w:tc>
          <w:tcPr>
            <w:tcW w:w="1511" w:type="dxa"/>
            <w:vAlign w:val="center"/>
          </w:tcPr>
          <w:p w14:paraId="161CD24F"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44,0</w:t>
            </w:r>
          </w:p>
        </w:tc>
        <w:tc>
          <w:tcPr>
            <w:tcW w:w="1275" w:type="dxa"/>
            <w:vAlign w:val="center"/>
          </w:tcPr>
          <w:p w14:paraId="6ABCD79F"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43,5</w:t>
            </w:r>
          </w:p>
        </w:tc>
        <w:tc>
          <w:tcPr>
            <w:tcW w:w="1345" w:type="dxa"/>
            <w:vAlign w:val="center"/>
          </w:tcPr>
          <w:p w14:paraId="69A8CE11"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132,6</w:t>
            </w:r>
          </w:p>
        </w:tc>
      </w:tr>
      <w:tr w:rsidR="00195719" w14:paraId="15BB56DB" w14:textId="77777777" w:rsidTr="00195719">
        <w:tc>
          <w:tcPr>
            <w:tcW w:w="1271" w:type="dxa"/>
            <w:vAlign w:val="center"/>
          </w:tcPr>
          <w:p w14:paraId="066DF1CF"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2016</w:t>
            </w:r>
          </w:p>
        </w:tc>
        <w:tc>
          <w:tcPr>
            <w:tcW w:w="1276" w:type="dxa"/>
          </w:tcPr>
          <w:p w14:paraId="42E25569"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31,2</w:t>
            </w:r>
          </w:p>
        </w:tc>
        <w:tc>
          <w:tcPr>
            <w:tcW w:w="1417" w:type="dxa"/>
            <w:vAlign w:val="center"/>
          </w:tcPr>
          <w:p w14:paraId="7FF3745C"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10,1</w:t>
            </w:r>
          </w:p>
        </w:tc>
        <w:tc>
          <w:tcPr>
            <w:tcW w:w="1250" w:type="dxa"/>
            <w:vAlign w:val="center"/>
          </w:tcPr>
          <w:p w14:paraId="39C3D7BF"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1,6</w:t>
            </w:r>
          </w:p>
        </w:tc>
        <w:tc>
          <w:tcPr>
            <w:tcW w:w="1511" w:type="dxa"/>
            <w:vAlign w:val="center"/>
          </w:tcPr>
          <w:p w14:paraId="29388AA3"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32,4</w:t>
            </w:r>
          </w:p>
        </w:tc>
        <w:tc>
          <w:tcPr>
            <w:tcW w:w="1275" w:type="dxa"/>
            <w:vAlign w:val="center"/>
          </w:tcPr>
          <w:p w14:paraId="792B574B"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23,4</w:t>
            </w:r>
          </w:p>
        </w:tc>
        <w:tc>
          <w:tcPr>
            <w:tcW w:w="1345" w:type="dxa"/>
            <w:vAlign w:val="center"/>
          </w:tcPr>
          <w:p w14:paraId="0EC0CE69"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248,9</w:t>
            </w:r>
          </w:p>
        </w:tc>
      </w:tr>
      <w:tr w:rsidR="00195719" w14:paraId="744D2AEB" w14:textId="77777777" w:rsidTr="00195719">
        <w:tc>
          <w:tcPr>
            <w:tcW w:w="1271" w:type="dxa"/>
            <w:vAlign w:val="center"/>
          </w:tcPr>
          <w:p w14:paraId="4EFFD8B0"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2017</w:t>
            </w:r>
          </w:p>
        </w:tc>
        <w:tc>
          <w:tcPr>
            <w:tcW w:w="1276" w:type="dxa"/>
          </w:tcPr>
          <w:p w14:paraId="4828BC91"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23,8</w:t>
            </w:r>
          </w:p>
        </w:tc>
        <w:tc>
          <w:tcPr>
            <w:tcW w:w="1417" w:type="dxa"/>
            <w:vAlign w:val="center"/>
          </w:tcPr>
          <w:p w14:paraId="5DD6DE57"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6,1</w:t>
            </w:r>
          </w:p>
        </w:tc>
        <w:tc>
          <w:tcPr>
            <w:tcW w:w="1250" w:type="dxa"/>
            <w:vAlign w:val="center"/>
          </w:tcPr>
          <w:p w14:paraId="171C9D61"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0,9</w:t>
            </w:r>
          </w:p>
        </w:tc>
        <w:tc>
          <w:tcPr>
            <w:tcW w:w="1511" w:type="dxa"/>
            <w:vAlign w:val="center"/>
          </w:tcPr>
          <w:p w14:paraId="3FCE49B0"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25,6</w:t>
            </w:r>
          </w:p>
        </w:tc>
        <w:tc>
          <w:tcPr>
            <w:tcW w:w="1275" w:type="dxa"/>
            <w:vAlign w:val="center"/>
          </w:tcPr>
          <w:p w14:paraId="67EDA84C"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16,3</w:t>
            </w:r>
          </w:p>
        </w:tc>
        <w:tc>
          <w:tcPr>
            <w:tcW w:w="1345" w:type="dxa"/>
            <w:vAlign w:val="center"/>
          </w:tcPr>
          <w:p w14:paraId="235E50C4"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47,5</w:t>
            </w:r>
          </w:p>
        </w:tc>
      </w:tr>
      <w:tr w:rsidR="00195719" w14:paraId="4039219E" w14:textId="77777777" w:rsidTr="00195719">
        <w:tc>
          <w:tcPr>
            <w:tcW w:w="1271" w:type="dxa"/>
            <w:vAlign w:val="center"/>
          </w:tcPr>
          <w:p w14:paraId="4F7470A8"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2018</w:t>
            </w:r>
          </w:p>
        </w:tc>
        <w:tc>
          <w:tcPr>
            <w:tcW w:w="1276" w:type="dxa"/>
          </w:tcPr>
          <w:p w14:paraId="4112BD77"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20,7</w:t>
            </w:r>
          </w:p>
        </w:tc>
        <w:tc>
          <w:tcPr>
            <w:tcW w:w="1417" w:type="dxa"/>
            <w:vAlign w:val="center"/>
          </w:tcPr>
          <w:p w14:paraId="06FB4F4F"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4,1</w:t>
            </w:r>
          </w:p>
        </w:tc>
        <w:tc>
          <w:tcPr>
            <w:tcW w:w="1250" w:type="dxa"/>
            <w:vAlign w:val="center"/>
          </w:tcPr>
          <w:p w14:paraId="721E2B57"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0,6</w:t>
            </w:r>
          </w:p>
        </w:tc>
        <w:tc>
          <w:tcPr>
            <w:tcW w:w="1511" w:type="dxa"/>
            <w:vAlign w:val="center"/>
          </w:tcPr>
          <w:p w14:paraId="0A7197CD"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19,8</w:t>
            </w:r>
          </w:p>
        </w:tc>
        <w:tc>
          <w:tcPr>
            <w:tcW w:w="1275" w:type="dxa"/>
            <w:vAlign w:val="center"/>
          </w:tcPr>
          <w:p w14:paraId="42D95C3A"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9,1</w:t>
            </w:r>
          </w:p>
        </w:tc>
        <w:tc>
          <w:tcPr>
            <w:tcW w:w="1345" w:type="dxa"/>
            <w:vAlign w:val="center"/>
          </w:tcPr>
          <w:p w14:paraId="27B40539"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33,1</w:t>
            </w:r>
          </w:p>
        </w:tc>
      </w:tr>
      <w:tr w:rsidR="00195719" w14:paraId="20BF0E3B" w14:textId="77777777" w:rsidTr="00195719">
        <w:tc>
          <w:tcPr>
            <w:tcW w:w="1271" w:type="dxa"/>
            <w:vAlign w:val="center"/>
          </w:tcPr>
          <w:p w14:paraId="6ACB6FEE"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2019</w:t>
            </w:r>
          </w:p>
        </w:tc>
        <w:tc>
          <w:tcPr>
            <w:tcW w:w="1276" w:type="dxa"/>
          </w:tcPr>
          <w:p w14:paraId="1991ECE2"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15,7</w:t>
            </w:r>
          </w:p>
        </w:tc>
        <w:tc>
          <w:tcPr>
            <w:tcW w:w="1417" w:type="dxa"/>
            <w:vAlign w:val="center"/>
          </w:tcPr>
          <w:p w14:paraId="0E39517A"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w:t>
            </w:r>
          </w:p>
        </w:tc>
        <w:tc>
          <w:tcPr>
            <w:tcW w:w="1250" w:type="dxa"/>
            <w:vAlign w:val="center"/>
          </w:tcPr>
          <w:p w14:paraId="47F771B6"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0,3</w:t>
            </w:r>
          </w:p>
        </w:tc>
        <w:tc>
          <w:tcPr>
            <w:tcW w:w="1511" w:type="dxa"/>
            <w:vAlign w:val="center"/>
          </w:tcPr>
          <w:p w14:paraId="7AD23C63"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275" w:type="dxa"/>
            <w:vAlign w:val="center"/>
          </w:tcPr>
          <w:p w14:paraId="6E63AA08"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0,5</w:t>
            </w:r>
          </w:p>
        </w:tc>
        <w:tc>
          <w:tcPr>
            <w:tcW w:w="1345" w:type="dxa"/>
            <w:vAlign w:val="center"/>
          </w:tcPr>
          <w:p w14:paraId="007EEFB8"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1,2</w:t>
            </w:r>
          </w:p>
        </w:tc>
      </w:tr>
      <w:tr w:rsidR="00195719" w14:paraId="5A886014" w14:textId="77777777" w:rsidTr="00195719">
        <w:tc>
          <w:tcPr>
            <w:tcW w:w="1271" w:type="dxa"/>
          </w:tcPr>
          <w:p w14:paraId="5C91C39A" w14:textId="77777777" w:rsidR="00195719" w:rsidRPr="00195719" w:rsidRDefault="00195719" w:rsidP="00195719">
            <w:pPr>
              <w:spacing w:line="240" w:lineRule="auto"/>
              <w:jc w:val="both"/>
              <w:rPr>
                <w:rFonts w:ascii="Times New Roman" w:hAnsi="Times New Roman" w:cs="Times New Roman"/>
                <w:color w:val="000000"/>
                <w:sz w:val="18"/>
                <w:szCs w:val="18"/>
              </w:rPr>
            </w:pPr>
            <w:r w:rsidRPr="00195719">
              <w:rPr>
                <w:rFonts w:ascii="Times New Roman" w:hAnsi="Times New Roman" w:cs="Times New Roman"/>
                <w:sz w:val="18"/>
                <w:szCs w:val="18"/>
              </w:rPr>
              <w:t>В среднем за 2015-2019 гг.</w:t>
            </w:r>
          </w:p>
        </w:tc>
        <w:tc>
          <w:tcPr>
            <w:tcW w:w="1276" w:type="dxa"/>
            <w:vAlign w:val="center"/>
          </w:tcPr>
          <w:p w14:paraId="5F09CBF0"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25,1</w:t>
            </w:r>
          </w:p>
        </w:tc>
        <w:tc>
          <w:tcPr>
            <w:tcW w:w="1417" w:type="dxa"/>
            <w:vAlign w:val="center"/>
          </w:tcPr>
          <w:p w14:paraId="15E1A862"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7,1</w:t>
            </w:r>
          </w:p>
        </w:tc>
        <w:tc>
          <w:tcPr>
            <w:tcW w:w="1250" w:type="dxa"/>
            <w:vAlign w:val="center"/>
          </w:tcPr>
          <w:p w14:paraId="0D056430"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1,1</w:t>
            </w:r>
          </w:p>
        </w:tc>
        <w:tc>
          <w:tcPr>
            <w:tcW w:w="1511" w:type="dxa"/>
            <w:vAlign w:val="center"/>
          </w:tcPr>
          <w:p w14:paraId="22E13BD6"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24,4</w:t>
            </w:r>
          </w:p>
        </w:tc>
        <w:tc>
          <w:tcPr>
            <w:tcW w:w="1275" w:type="dxa"/>
            <w:vAlign w:val="center"/>
          </w:tcPr>
          <w:p w14:paraId="35C155A3"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18,6</w:t>
            </w:r>
          </w:p>
        </w:tc>
        <w:tc>
          <w:tcPr>
            <w:tcW w:w="1345" w:type="dxa"/>
            <w:vAlign w:val="center"/>
          </w:tcPr>
          <w:p w14:paraId="54FF2056"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92,7</w:t>
            </w:r>
          </w:p>
        </w:tc>
      </w:tr>
      <w:tr w:rsidR="00195719" w14:paraId="2E49AEFD" w14:textId="77777777" w:rsidTr="007F7900">
        <w:tc>
          <w:tcPr>
            <w:tcW w:w="9345" w:type="dxa"/>
            <w:gridSpan w:val="7"/>
            <w:vAlign w:val="center"/>
          </w:tcPr>
          <w:p w14:paraId="3CDABB21"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После полного погашения коммерческих кредитов</w:t>
            </w:r>
          </w:p>
        </w:tc>
      </w:tr>
      <w:tr w:rsidR="00195719" w14:paraId="566D2F91" w14:textId="77777777" w:rsidTr="00195719">
        <w:tc>
          <w:tcPr>
            <w:tcW w:w="1271" w:type="dxa"/>
            <w:vAlign w:val="center"/>
          </w:tcPr>
          <w:p w14:paraId="5BCAFD1F"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2020</w:t>
            </w:r>
          </w:p>
        </w:tc>
        <w:tc>
          <w:tcPr>
            <w:tcW w:w="1276" w:type="dxa"/>
          </w:tcPr>
          <w:p w14:paraId="155D669B"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15,7</w:t>
            </w:r>
          </w:p>
        </w:tc>
        <w:tc>
          <w:tcPr>
            <w:tcW w:w="1417" w:type="dxa"/>
            <w:vAlign w:val="center"/>
          </w:tcPr>
          <w:p w14:paraId="3B3601B4"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w:t>
            </w:r>
          </w:p>
        </w:tc>
        <w:tc>
          <w:tcPr>
            <w:tcW w:w="1250" w:type="dxa"/>
            <w:vAlign w:val="center"/>
          </w:tcPr>
          <w:p w14:paraId="21EC357A"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0,1</w:t>
            </w:r>
          </w:p>
        </w:tc>
        <w:tc>
          <w:tcPr>
            <w:tcW w:w="1511" w:type="dxa"/>
            <w:vAlign w:val="center"/>
          </w:tcPr>
          <w:p w14:paraId="7DCC500D"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275" w:type="dxa"/>
            <w:vAlign w:val="center"/>
          </w:tcPr>
          <w:p w14:paraId="2227EE8C"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0,1</w:t>
            </w:r>
          </w:p>
        </w:tc>
        <w:tc>
          <w:tcPr>
            <w:tcW w:w="1345" w:type="dxa"/>
            <w:vAlign w:val="center"/>
          </w:tcPr>
          <w:p w14:paraId="70F73305"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0,3</w:t>
            </w:r>
          </w:p>
        </w:tc>
      </w:tr>
      <w:tr w:rsidR="00195719" w14:paraId="033E7397" w14:textId="77777777" w:rsidTr="00195719">
        <w:tc>
          <w:tcPr>
            <w:tcW w:w="1271" w:type="dxa"/>
            <w:vAlign w:val="center"/>
          </w:tcPr>
          <w:p w14:paraId="35C6A51E"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2021</w:t>
            </w:r>
          </w:p>
        </w:tc>
        <w:tc>
          <w:tcPr>
            <w:tcW w:w="1276" w:type="dxa"/>
          </w:tcPr>
          <w:p w14:paraId="20B948C4"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14,8</w:t>
            </w:r>
          </w:p>
        </w:tc>
        <w:tc>
          <w:tcPr>
            <w:tcW w:w="1417" w:type="dxa"/>
            <w:vAlign w:val="center"/>
          </w:tcPr>
          <w:p w14:paraId="7F294B02"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w:t>
            </w:r>
          </w:p>
        </w:tc>
        <w:tc>
          <w:tcPr>
            <w:tcW w:w="1250" w:type="dxa"/>
            <w:vAlign w:val="center"/>
          </w:tcPr>
          <w:p w14:paraId="6E2F9AB0"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0,1</w:t>
            </w:r>
          </w:p>
        </w:tc>
        <w:tc>
          <w:tcPr>
            <w:tcW w:w="1511" w:type="dxa"/>
            <w:vAlign w:val="center"/>
          </w:tcPr>
          <w:p w14:paraId="334E41A8"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275" w:type="dxa"/>
            <w:vAlign w:val="center"/>
          </w:tcPr>
          <w:p w14:paraId="5C399D46"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0,1</w:t>
            </w:r>
          </w:p>
        </w:tc>
        <w:tc>
          <w:tcPr>
            <w:tcW w:w="1345" w:type="dxa"/>
            <w:vAlign w:val="center"/>
          </w:tcPr>
          <w:p w14:paraId="29537F11"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0,3</w:t>
            </w:r>
          </w:p>
        </w:tc>
      </w:tr>
      <w:tr w:rsidR="00195719" w14:paraId="7537D209" w14:textId="77777777" w:rsidTr="00195719">
        <w:tc>
          <w:tcPr>
            <w:tcW w:w="1271" w:type="dxa"/>
            <w:vAlign w:val="center"/>
          </w:tcPr>
          <w:p w14:paraId="0DE5151E"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2022</w:t>
            </w:r>
          </w:p>
        </w:tc>
        <w:tc>
          <w:tcPr>
            <w:tcW w:w="1276" w:type="dxa"/>
          </w:tcPr>
          <w:p w14:paraId="2867C84A"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16,8</w:t>
            </w:r>
          </w:p>
        </w:tc>
        <w:tc>
          <w:tcPr>
            <w:tcW w:w="1417" w:type="dxa"/>
            <w:vAlign w:val="center"/>
          </w:tcPr>
          <w:p w14:paraId="307B85B1"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w:t>
            </w:r>
          </w:p>
        </w:tc>
        <w:tc>
          <w:tcPr>
            <w:tcW w:w="1250" w:type="dxa"/>
            <w:vAlign w:val="center"/>
          </w:tcPr>
          <w:p w14:paraId="0DC4A3BB"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w:t>
            </w:r>
          </w:p>
        </w:tc>
        <w:tc>
          <w:tcPr>
            <w:tcW w:w="1511" w:type="dxa"/>
            <w:vAlign w:val="center"/>
          </w:tcPr>
          <w:p w14:paraId="4BC9FAE6"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275" w:type="dxa"/>
            <w:vAlign w:val="center"/>
          </w:tcPr>
          <w:p w14:paraId="1EAB2BB7"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0,0</w:t>
            </w:r>
          </w:p>
        </w:tc>
        <w:tc>
          <w:tcPr>
            <w:tcW w:w="1345" w:type="dxa"/>
            <w:vAlign w:val="center"/>
          </w:tcPr>
          <w:p w14:paraId="27B8BD03"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0,0</w:t>
            </w:r>
          </w:p>
        </w:tc>
      </w:tr>
      <w:tr w:rsidR="00195719" w14:paraId="63C5205F" w14:textId="77777777" w:rsidTr="00195719">
        <w:tc>
          <w:tcPr>
            <w:tcW w:w="1271" w:type="dxa"/>
            <w:vAlign w:val="center"/>
          </w:tcPr>
          <w:p w14:paraId="79819B14"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2023</w:t>
            </w:r>
          </w:p>
        </w:tc>
        <w:tc>
          <w:tcPr>
            <w:tcW w:w="1276" w:type="dxa"/>
          </w:tcPr>
          <w:p w14:paraId="7C27392F"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21,5</w:t>
            </w:r>
          </w:p>
        </w:tc>
        <w:tc>
          <w:tcPr>
            <w:tcW w:w="1417" w:type="dxa"/>
            <w:vAlign w:val="center"/>
          </w:tcPr>
          <w:p w14:paraId="07C9C813"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w:t>
            </w:r>
          </w:p>
        </w:tc>
        <w:tc>
          <w:tcPr>
            <w:tcW w:w="1250" w:type="dxa"/>
            <w:vAlign w:val="center"/>
          </w:tcPr>
          <w:p w14:paraId="630D2817"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w:t>
            </w:r>
          </w:p>
        </w:tc>
        <w:tc>
          <w:tcPr>
            <w:tcW w:w="1511" w:type="dxa"/>
            <w:vAlign w:val="center"/>
          </w:tcPr>
          <w:p w14:paraId="0AC7D420"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275" w:type="dxa"/>
            <w:vAlign w:val="center"/>
          </w:tcPr>
          <w:p w14:paraId="2F2173F7"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0,0</w:t>
            </w:r>
          </w:p>
        </w:tc>
        <w:tc>
          <w:tcPr>
            <w:tcW w:w="1345" w:type="dxa"/>
            <w:vAlign w:val="center"/>
          </w:tcPr>
          <w:p w14:paraId="316AA83E"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0,0</w:t>
            </w:r>
          </w:p>
        </w:tc>
      </w:tr>
      <w:tr w:rsidR="00195719" w14:paraId="7FBF8342" w14:textId="77777777" w:rsidTr="00195719">
        <w:tc>
          <w:tcPr>
            <w:tcW w:w="1271" w:type="dxa"/>
            <w:vAlign w:val="center"/>
          </w:tcPr>
          <w:p w14:paraId="1C77D227" w14:textId="77777777" w:rsidR="00195719" w:rsidRPr="00195719" w:rsidRDefault="00195719" w:rsidP="00195719">
            <w:pPr>
              <w:spacing w:line="240" w:lineRule="auto"/>
              <w:jc w:val="both"/>
              <w:rPr>
                <w:rFonts w:ascii="Times New Roman" w:hAnsi="Times New Roman" w:cs="Times New Roman"/>
                <w:sz w:val="18"/>
                <w:szCs w:val="18"/>
              </w:rPr>
            </w:pPr>
            <w:r w:rsidRPr="00195719">
              <w:rPr>
                <w:rFonts w:ascii="Times New Roman" w:hAnsi="Times New Roman" w:cs="Times New Roman"/>
                <w:color w:val="000000"/>
                <w:sz w:val="18"/>
                <w:szCs w:val="18"/>
              </w:rPr>
              <w:t>2024</w:t>
            </w:r>
          </w:p>
        </w:tc>
        <w:tc>
          <w:tcPr>
            <w:tcW w:w="1276" w:type="dxa"/>
          </w:tcPr>
          <w:p w14:paraId="3BC5DC63"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19,3</w:t>
            </w:r>
          </w:p>
        </w:tc>
        <w:tc>
          <w:tcPr>
            <w:tcW w:w="1417" w:type="dxa"/>
            <w:vAlign w:val="center"/>
          </w:tcPr>
          <w:p w14:paraId="30A4A0FA"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w:t>
            </w:r>
          </w:p>
        </w:tc>
        <w:tc>
          <w:tcPr>
            <w:tcW w:w="1250" w:type="dxa"/>
            <w:vAlign w:val="center"/>
          </w:tcPr>
          <w:p w14:paraId="36C05696"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w:t>
            </w:r>
          </w:p>
        </w:tc>
        <w:tc>
          <w:tcPr>
            <w:tcW w:w="1511" w:type="dxa"/>
            <w:vAlign w:val="center"/>
          </w:tcPr>
          <w:p w14:paraId="0BC68213"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275" w:type="dxa"/>
            <w:vAlign w:val="center"/>
          </w:tcPr>
          <w:p w14:paraId="5978D49D"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0,0</w:t>
            </w:r>
          </w:p>
        </w:tc>
        <w:tc>
          <w:tcPr>
            <w:tcW w:w="1345" w:type="dxa"/>
            <w:vAlign w:val="center"/>
          </w:tcPr>
          <w:p w14:paraId="0B817057"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color w:val="000000"/>
                <w:sz w:val="18"/>
                <w:szCs w:val="18"/>
              </w:rPr>
              <w:t>0,0</w:t>
            </w:r>
          </w:p>
        </w:tc>
      </w:tr>
      <w:tr w:rsidR="00195719" w14:paraId="2ABE8E15" w14:textId="77777777" w:rsidTr="00195719">
        <w:tc>
          <w:tcPr>
            <w:tcW w:w="1271" w:type="dxa"/>
          </w:tcPr>
          <w:p w14:paraId="711B6A05" w14:textId="77777777" w:rsidR="00195719" w:rsidRPr="00195719" w:rsidRDefault="00195719" w:rsidP="00195719">
            <w:pPr>
              <w:spacing w:line="240" w:lineRule="auto"/>
              <w:jc w:val="both"/>
              <w:rPr>
                <w:rFonts w:ascii="Times New Roman" w:hAnsi="Times New Roman" w:cs="Times New Roman"/>
                <w:color w:val="000000"/>
                <w:sz w:val="18"/>
                <w:szCs w:val="18"/>
              </w:rPr>
            </w:pPr>
            <w:r w:rsidRPr="00195719">
              <w:rPr>
                <w:rFonts w:ascii="Times New Roman" w:hAnsi="Times New Roman" w:cs="Times New Roman"/>
                <w:sz w:val="18"/>
                <w:szCs w:val="18"/>
              </w:rPr>
              <w:t>В среднем за 2020-2024 гг.</w:t>
            </w:r>
          </w:p>
        </w:tc>
        <w:tc>
          <w:tcPr>
            <w:tcW w:w="1276" w:type="dxa"/>
            <w:vAlign w:val="center"/>
          </w:tcPr>
          <w:p w14:paraId="43BF2326"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17,6</w:t>
            </w:r>
          </w:p>
        </w:tc>
        <w:tc>
          <w:tcPr>
            <w:tcW w:w="1417" w:type="dxa"/>
            <w:vAlign w:val="center"/>
          </w:tcPr>
          <w:p w14:paraId="16B440D9"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250" w:type="dxa"/>
            <w:vAlign w:val="center"/>
          </w:tcPr>
          <w:p w14:paraId="1C2888B8"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511" w:type="dxa"/>
            <w:vAlign w:val="center"/>
          </w:tcPr>
          <w:p w14:paraId="5A11C40C"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275" w:type="dxa"/>
            <w:vAlign w:val="center"/>
          </w:tcPr>
          <w:p w14:paraId="769AEBF4"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0,0</w:t>
            </w:r>
          </w:p>
        </w:tc>
        <w:tc>
          <w:tcPr>
            <w:tcW w:w="1345" w:type="dxa"/>
            <w:vAlign w:val="center"/>
          </w:tcPr>
          <w:p w14:paraId="305AE98D" w14:textId="77777777" w:rsidR="00195719" w:rsidRPr="00195719" w:rsidRDefault="00195719" w:rsidP="00195719">
            <w:pPr>
              <w:spacing w:line="240" w:lineRule="auto"/>
              <w:jc w:val="center"/>
              <w:rPr>
                <w:rFonts w:ascii="Times New Roman" w:hAnsi="Times New Roman" w:cs="Times New Roman"/>
                <w:color w:val="000000"/>
                <w:sz w:val="18"/>
                <w:szCs w:val="18"/>
              </w:rPr>
            </w:pPr>
            <w:r w:rsidRPr="00195719">
              <w:rPr>
                <w:rFonts w:ascii="Times New Roman" w:hAnsi="Times New Roman" w:cs="Times New Roman"/>
                <w:color w:val="000000"/>
                <w:sz w:val="18"/>
                <w:szCs w:val="18"/>
              </w:rPr>
              <w:t>0,1</w:t>
            </w:r>
          </w:p>
        </w:tc>
      </w:tr>
      <w:tr w:rsidR="00195719" w:rsidRPr="00195719" w14:paraId="7B98C3AD" w14:textId="77777777" w:rsidTr="007F7900">
        <w:tc>
          <w:tcPr>
            <w:tcW w:w="9345" w:type="dxa"/>
            <w:gridSpan w:val="7"/>
          </w:tcPr>
          <w:p w14:paraId="6B5D7685" w14:textId="2725839F" w:rsidR="00195719" w:rsidRPr="00195719" w:rsidRDefault="00195719" w:rsidP="00195719">
            <w:pPr>
              <w:spacing w:line="240" w:lineRule="auto"/>
              <w:rPr>
                <w:rFonts w:ascii="Times New Roman" w:hAnsi="Times New Roman" w:cs="Times New Roman"/>
                <w:color w:val="000000"/>
                <w:sz w:val="18"/>
                <w:szCs w:val="18"/>
                <w:lang w:val="en-US"/>
              </w:rPr>
            </w:pPr>
            <w:r w:rsidRPr="00195719">
              <w:rPr>
                <w:rFonts w:ascii="Times New Roman" w:hAnsi="Times New Roman" w:cs="Times New Roman"/>
                <w:sz w:val="18"/>
                <w:szCs w:val="18"/>
              </w:rPr>
              <w:t xml:space="preserve">Источник: разработано автором по данным </w:t>
            </w:r>
            <w:proofErr w:type="spellStart"/>
            <w:r>
              <w:rPr>
                <w:rFonts w:ascii="Times New Roman" w:hAnsi="Times New Roman" w:cs="Times New Roman"/>
                <w:sz w:val="18"/>
                <w:szCs w:val="18"/>
              </w:rPr>
              <w:t>МинФина</w:t>
            </w:r>
            <w:proofErr w:type="spellEnd"/>
            <w:r w:rsidRPr="00195719">
              <w:rPr>
                <w:rFonts w:ascii="Times New Roman" w:hAnsi="Times New Roman" w:cs="Times New Roman"/>
                <w:sz w:val="18"/>
                <w:szCs w:val="18"/>
              </w:rPr>
              <w:t xml:space="preserve"> РФ</w:t>
            </w:r>
            <w:r>
              <w:rPr>
                <w:rFonts w:ascii="Times New Roman" w:hAnsi="Times New Roman" w:cs="Times New Roman"/>
                <w:sz w:val="18"/>
                <w:szCs w:val="18"/>
              </w:rPr>
              <w:t xml:space="preserve">. </w:t>
            </w:r>
            <w:r>
              <w:rPr>
                <w:rFonts w:ascii="Times New Roman" w:hAnsi="Times New Roman" w:cs="Times New Roman"/>
                <w:sz w:val="18"/>
                <w:szCs w:val="18"/>
                <w:lang w:val="en-US"/>
              </w:rPr>
              <w:t>URL</w:t>
            </w:r>
            <w:r w:rsidRPr="00195719">
              <w:rPr>
                <w:rFonts w:ascii="Times New Roman" w:hAnsi="Times New Roman" w:cs="Times New Roman"/>
                <w:sz w:val="18"/>
                <w:szCs w:val="18"/>
                <w:lang w:val="en-US"/>
              </w:rPr>
              <w:t xml:space="preserve">: </w:t>
            </w:r>
            <w:r w:rsidR="006943F7">
              <w:rPr>
                <w:rFonts w:ascii="Times New Roman" w:hAnsi="Times New Roman" w:cs="Times New Roman"/>
                <w:sz w:val="18"/>
                <w:szCs w:val="18"/>
                <w:lang w:val="en-US"/>
              </w:rPr>
              <w:t>https://minfin.gov.ru/ru/statistics/subbud/</w:t>
            </w:r>
          </w:p>
        </w:tc>
      </w:tr>
    </w:tbl>
    <w:p w14:paraId="029B3AE4" w14:textId="4657D58F" w:rsidR="00195719" w:rsidRDefault="00195719" w:rsidP="00195719">
      <w:pPr>
        <w:spacing w:after="0" w:line="300" w:lineRule="auto"/>
        <w:ind w:firstLine="709"/>
        <w:jc w:val="both"/>
        <w:rPr>
          <w:rFonts w:ascii="Times New Roman" w:hAnsi="Times New Roman" w:cs="Times New Roman"/>
          <w:lang w:val="en-US"/>
        </w:rPr>
      </w:pPr>
    </w:p>
    <w:p w14:paraId="32A89F80" w14:textId="231AFD22" w:rsidR="00195719" w:rsidRDefault="00195719" w:rsidP="009F6236">
      <w:pPr>
        <w:spacing w:after="0" w:line="240" w:lineRule="auto"/>
        <w:ind w:firstLine="709"/>
        <w:jc w:val="both"/>
        <w:rPr>
          <w:rFonts w:ascii="Times New Roman" w:hAnsi="Times New Roman" w:cs="Times New Roman"/>
        </w:rPr>
      </w:pPr>
      <w:r w:rsidRPr="00195719">
        <w:rPr>
          <w:rFonts w:ascii="Times New Roman" w:hAnsi="Times New Roman" w:cs="Times New Roman"/>
        </w:rPr>
        <w:t>С 2016 г. Вологодская область стабильно сокращала объем коммерческих кредитов. Так, динамика расходов на обслуживание государственного / муниципального долга снижалась (в 2015 г. 2,0 млрд. руб., в 2016 г. 1,6 млрд. руб. до 0,3 млрд. руб. в 2019 и по 0,1 млрд. руб. в 2020 и 2021 гг.).</w:t>
      </w:r>
      <w:r>
        <w:rPr>
          <w:rFonts w:ascii="Times New Roman" w:hAnsi="Times New Roman" w:cs="Times New Roman"/>
        </w:rPr>
        <w:t xml:space="preserve"> </w:t>
      </w:r>
    </w:p>
    <w:p w14:paraId="625CB4C8" w14:textId="14986CF1" w:rsidR="009F6236" w:rsidRDefault="00195719" w:rsidP="009F6236">
      <w:pPr>
        <w:spacing w:after="0" w:line="240" w:lineRule="auto"/>
        <w:ind w:firstLine="709"/>
        <w:jc w:val="both"/>
        <w:rPr>
          <w:rFonts w:ascii="Times New Roman" w:hAnsi="Times New Roman" w:cs="Times New Roman"/>
        </w:rPr>
      </w:pPr>
      <w:r>
        <w:rPr>
          <w:rFonts w:ascii="Times New Roman" w:hAnsi="Times New Roman" w:cs="Times New Roman"/>
        </w:rPr>
        <w:t>Указать на качественные изменения бюджетного развития региона после погашения коммерчески кредитов может коэффициентный анализ. Выбранные</w:t>
      </w:r>
      <w:r w:rsidRPr="00195719">
        <w:rPr>
          <w:rFonts w:ascii="Times New Roman" w:hAnsi="Times New Roman" w:cs="Times New Roman"/>
        </w:rPr>
        <w:t xml:space="preserve"> коэффициенты используются в рамках системного подхода. Все собранные коэффициенты в совокупности могут дать более четкое представление о состоянии консолидированного бюджета Вологодской области. </w:t>
      </w:r>
      <w:r w:rsidR="009F6236">
        <w:rPr>
          <w:rFonts w:ascii="Times New Roman" w:hAnsi="Times New Roman" w:cs="Times New Roman"/>
        </w:rPr>
        <w:t>Формулы расчета коэффициентов представлены ниже (табл. 2):</w:t>
      </w:r>
    </w:p>
    <w:p w14:paraId="5E34AFAA" w14:textId="63EBC526" w:rsidR="009F6236" w:rsidRDefault="009F6236" w:rsidP="009F6236">
      <w:pPr>
        <w:spacing w:after="0" w:line="240" w:lineRule="auto"/>
        <w:ind w:firstLine="709"/>
        <w:jc w:val="both"/>
        <w:rPr>
          <w:rFonts w:ascii="Times New Roman" w:hAnsi="Times New Roman" w:cs="Times New Roman"/>
        </w:rPr>
      </w:pPr>
      <w:r>
        <w:rPr>
          <w:rFonts w:ascii="Times New Roman" w:hAnsi="Times New Roman" w:cs="Times New Roman"/>
        </w:rPr>
        <w:t>Таблица 2. Коэффициенты и формула их расчета</w:t>
      </w:r>
    </w:p>
    <w:tbl>
      <w:tblPr>
        <w:tblStyle w:val="a7"/>
        <w:tblW w:w="0" w:type="auto"/>
        <w:tblLook w:val="04A0" w:firstRow="1" w:lastRow="0" w:firstColumn="1" w:lastColumn="0" w:noHBand="0" w:noVBand="1"/>
      </w:tblPr>
      <w:tblGrid>
        <w:gridCol w:w="1413"/>
        <w:gridCol w:w="7932"/>
      </w:tblGrid>
      <w:tr w:rsidR="009F6236" w14:paraId="63FE432F" w14:textId="77777777" w:rsidTr="006943F7">
        <w:tc>
          <w:tcPr>
            <w:tcW w:w="1413" w:type="dxa"/>
          </w:tcPr>
          <w:p w14:paraId="53DAAF1F" w14:textId="7AF2F80D" w:rsidR="009F6236" w:rsidRPr="006943F7" w:rsidRDefault="009F6236" w:rsidP="009F6236">
            <w:pPr>
              <w:tabs>
                <w:tab w:val="left" w:pos="1134"/>
              </w:tabs>
              <w:spacing w:line="240" w:lineRule="auto"/>
              <w:jc w:val="both"/>
              <w:rPr>
                <w:rFonts w:ascii="Times New Roman" w:hAnsi="Times New Roman" w:cs="Times New Roman"/>
                <w:sz w:val="18"/>
                <w:szCs w:val="18"/>
              </w:rPr>
            </w:pPr>
            <w:r w:rsidRPr="006943F7">
              <w:rPr>
                <w:rFonts w:ascii="Times New Roman" w:hAnsi="Times New Roman" w:cs="Times New Roman"/>
                <w:sz w:val="18"/>
                <w:szCs w:val="18"/>
              </w:rPr>
              <w:t xml:space="preserve">Коэффициент долговой нагрузки: </w:t>
            </w:r>
          </w:p>
        </w:tc>
        <w:tc>
          <w:tcPr>
            <w:tcW w:w="7932" w:type="dxa"/>
            <w:vAlign w:val="center"/>
          </w:tcPr>
          <w:p w14:paraId="077D10E8" w14:textId="100E06C0" w:rsidR="009F6236" w:rsidRDefault="00AC339F" w:rsidP="009F6236">
            <w:pPr>
              <w:spacing w:line="240" w:lineRule="auto"/>
              <w:jc w:val="both"/>
              <w:rPr>
                <w:rFonts w:ascii="Times New Roman" w:hAnsi="Times New Roman" w:cs="Times New Roman"/>
              </w:rPr>
            </w:pPr>
            <m:oMathPara>
              <m:oMath>
                <m:sSub>
                  <m:sSubPr>
                    <m:ctrlPr>
                      <w:rPr>
                        <w:rFonts w:ascii="Cambria Math" w:hAnsi="Cambria Math" w:cs="Times New Roman"/>
                        <w:i/>
                        <w:sz w:val="18"/>
                        <w:szCs w:val="18"/>
                      </w:rPr>
                    </m:ctrlPr>
                  </m:sSubPr>
                  <m:e>
                    <m:r>
                      <w:rPr>
                        <w:rFonts w:ascii="Cambria Math" w:hAnsi="Cambria Math" w:cs="Times New Roman"/>
                        <w:sz w:val="18"/>
                        <w:szCs w:val="18"/>
                      </w:rPr>
                      <m:t xml:space="preserve"> К</m:t>
                    </m:r>
                  </m:e>
                  <m:sub>
                    <m:r>
                      <w:rPr>
                        <w:rFonts w:ascii="Cambria Math" w:hAnsi="Cambria Math" w:cs="Times New Roman"/>
                        <w:sz w:val="18"/>
                        <w:szCs w:val="18"/>
                      </w:rPr>
                      <m:t>долговой нагрузки</m:t>
                    </m:r>
                  </m:sub>
                </m:sSub>
                <m:r>
                  <w:rPr>
                    <w:rFonts w:ascii="Cambria Math" w:hAnsi="Cambria Math" w:cs="Times New Roman"/>
                    <w:sz w:val="18"/>
                    <w:szCs w:val="18"/>
                  </w:rPr>
                  <m:t xml:space="preserve">= </m:t>
                </m:r>
                <m:f>
                  <m:fPr>
                    <m:ctrlPr>
                      <w:rPr>
                        <w:rFonts w:ascii="Cambria Math" w:hAnsi="Cambria Math" w:cs="Times New Roman"/>
                        <w:i/>
                        <w:sz w:val="18"/>
                        <w:szCs w:val="18"/>
                      </w:rPr>
                    </m:ctrlPr>
                  </m:fPr>
                  <m:num>
                    <m:r>
                      <w:rPr>
                        <w:rFonts w:ascii="Cambria Math" w:hAnsi="Cambria Math" w:cs="Times New Roman"/>
                        <w:sz w:val="18"/>
                        <w:szCs w:val="18"/>
                      </w:rPr>
                      <m:t xml:space="preserve">Общий объем государственного долга </m:t>
                    </m:r>
                  </m:num>
                  <m:den>
                    <m:r>
                      <w:rPr>
                        <w:rFonts w:ascii="Cambria Math" w:hAnsi="Cambria Math" w:cs="Times New Roman"/>
                        <w:sz w:val="18"/>
                        <w:szCs w:val="18"/>
                      </w:rPr>
                      <m:t xml:space="preserve">Собственные доходы бюджета </m:t>
                    </m:r>
                  </m:den>
                </m:f>
                <m:r>
                  <w:rPr>
                    <w:rFonts w:ascii="Cambria Math" w:hAnsi="Cambria Math" w:cs="Times New Roman"/>
                    <w:sz w:val="18"/>
                    <w:szCs w:val="18"/>
                  </w:rPr>
                  <m:t>×100</m:t>
                </m:r>
                <m:r>
                  <w:rPr>
                    <w:rFonts w:ascii="Cambria Math" w:eastAsiaTheme="minorEastAsia" w:hAnsi="Cambria Math" w:cs="Times New Roman"/>
                    <w:sz w:val="18"/>
                    <w:szCs w:val="18"/>
                  </w:rPr>
                  <m:t>%</m:t>
                </m:r>
              </m:oMath>
            </m:oMathPara>
          </w:p>
        </w:tc>
      </w:tr>
      <w:tr w:rsidR="009F6236" w14:paraId="65EB1605" w14:textId="77777777" w:rsidTr="006943F7">
        <w:tc>
          <w:tcPr>
            <w:tcW w:w="1413" w:type="dxa"/>
          </w:tcPr>
          <w:p w14:paraId="2C64570A" w14:textId="3A655208" w:rsidR="009F6236" w:rsidRPr="006943F7" w:rsidRDefault="009F6236" w:rsidP="009F6236">
            <w:pPr>
              <w:tabs>
                <w:tab w:val="left" w:pos="1134"/>
              </w:tabs>
              <w:spacing w:line="240" w:lineRule="auto"/>
              <w:jc w:val="both"/>
              <w:rPr>
                <w:rFonts w:ascii="Times New Roman" w:hAnsi="Times New Roman" w:cs="Times New Roman"/>
                <w:sz w:val="18"/>
                <w:szCs w:val="18"/>
              </w:rPr>
            </w:pPr>
            <w:r w:rsidRPr="006943F7">
              <w:rPr>
                <w:rFonts w:ascii="Times New Roman" w:hAnsi="Times New Roman" w:cs="Times New Roman"/>
                <w:sz w:val="18"/>
                <w:szCs w:val="18"/>
              </w:rPr>
              <w:t>Коэффициент отношения долговой нагрузки, %:</w:t>
            </w:r>
          </w:p>
        </w:tc>
        <w:tc>
          <w:tcPr>
            <w:tcW w:w="7932" w:type="dxa"/>
            <w:vAlign w:val="center"/>
          </w:tcPr>
          <w:p w14:paraId="206BE2DE" w14:textId="27D4855C" w:rsidR="009F6236" w:rsidRDefault="00AC339F" w:rsidP="009F6236">
            <w:pPr>
              <w:spacing w:line="240" w:lineRule="auto"/>
              <w:jc w:val="both"/>
              <w:rPr>
                <w:rFonts w:ascii="Times New Roman" w:hAnsi="Times New Roman" w:cs="Times New Roman"/>
              </w:rPr>
            </w:pPr>
            <m:oMathPara>
              <m:oMath>
                <m:sSub>
                  <m:sSubPr>
                    <m:ctrlPr>
                      <w:rPr>
                        <w:rFonts w:ascii="Cambria Math" w:hAnsi="Cambria Math" w:cs="Times New Roman"/>
                        <w:i/>
                        <w:sz w:val="18"/>
                        <w:szCs w:val="18"/>
                      </w:rPr>
                    </m:ctrlPr>
                  </m:sSubPr>
                  <m:e>
                    <m:r>
                      <w:rPr>
                        <w:rFonts w:ascii="Cambria Math" w:hAnsi="Cambria Math" w:cs="Times New Roman"/>
                        <w:sz w:val="18"/>
                        <w:szCs w:val="18"/>
                      </w:rPr>
                      <m:t xml:space="preserve"> К</m:t>
                    </m:r>
                  </m:e>
                  <m:sub>
                    <m:r>
                      <w:rPr>
                        <w:rFonts w:ascii="Cambria Math" w:hAnsi="Cambria Math" w:cs="Times New Roman"/>
                        <w:sz w:val="18"/>
                        <w:szCs w:val="18"/>
                      </w:rPr>
                      <m:t>долг/ВРП</m:t>
                    </m:r>
                  </m:sub>
                </m:sSub>
                <m:r>
                  <w:rPr>
                    <w:rFonts w:ascii="Cambria Math" w:hAnsi="Cambria Math" w:cs="Times New Roman"/>
                    <w:sz w:val="18"/>
                    <w:szCs w:val="18"/>
                  </w:rPr>
                  <m:t xml:space="preserve">= </m:t>
                </m:r>
                <m:f>
                  <m:fPr>
                    <m:ctrlPr>
                      <w:rPr>
                        <w:rFonts w:ascii="Cambria Math" w:hAnsi="Cambria Math" w:cs="Times New Roman"/>
                        <w:i/>
                        <w:sz w:val="18"/>
                        <w:szCs w:val="18"/>
                      </w:rPr>
                    </m:ctrlPr>
                  </m:fPr>
                  <m:num>
                    <m:r>
                      <w:rPr>
                        <w:rFonts w:ascii="Cambria Math" w:hAnsi="Cambria Math" w:cs="Times New Roman"/>
                        <w:sz w:val="18"/>
                        <w:szCs w:val="18"/>
                      </w:rPr>
                      <m:t>Общий объем государственного долга</m:t>
                    </m:r>
                  </m:num>
                  <m:den>
                    <m:r>
                      <w:rPr>
                        <w:rFonts w:ascii="Cambria Math" w:hAnsi="Cambria Math" w:cs="Times New Roman"/>
                        <w:sz w:val="18"/>
                        <w:szCs w:val="18"/>
                      </w:rPr>
                      <m:t>ВРП региона</m:t>
                    </m:r>
                  </m:den>
                </m:f>
                <m:r>
                  <w:rPr>
                    <w:rFonts w:ascii="Cambria Math" w:hAnsi="Cambria Math" w:cs="Times New Roman"/>
                    <w:sz w:val="18"/>
                    <w:szCs w:val="18"/>
                  </w:rPr>
                  <m:t>×100%</m:t>
                </m:r>
              </m:oMath>
            </m:oMathPara>
          </w:p>
        </w:tc>
      </w:tr>
      <w:tr w:rsidR="009F6236" w14:paraId="15CDE0C6" w14:textId="77777777" w:rsidTr="006943F7">
        <w:tc>
          <w:tcPr>
            <w:tcW w:w="1413" w:type="dxa"/>
          </w:tcPr>
          <w:p w14:paraId="06B8A093" w14:textId="42FB6B74" w:rsidR="009F6236" w:rsidRPr="006943F7" w:rsidRDefault="009F6236" w:rsidP="009F6236">
            <w:pPr>
              <w:tabs>
                <w:tab w:val="left" w:pos="1134"/>
              </w:tabs>
              <w:spacing w:line="240" w:lineRule="auto"/>
              <w:jc w:val="both"/>
              <w:rPr>
                <w:rFonts w:ascii="Times New Roman" w:hAnsi="Times New Roman" w:cs="Times New Roman"/>
                <w:sz w:val="18"/>
                <w:szCs w:val="18"/>
              </w:rPr>
            </w:pPr>
            <w:r w:rsidRPr="006943F7">
              <w:rPr>
                <w:rFonts w:ascii="Times New Roman" w:hAnsi="Times New Roman" w:cs="Times New Roman"/>
                <w:sz w:val="18"/>
                <w:szCs w:val="18"/>
              </w:rPr>
              <w:t>Коэффициент чистой финансовой независимости</w:t>
            </w:r>
          </w:p>
        </w:tc>
        <w:tc>
          <w:tcPr>
            <w:tcW w:w="7932" w:type="dxa"/>
            <w:vAlign w:val="center"/>
          </w:tcPr>
          <w:p w14:paraId="73F4EA4F" w14:textId="5EFD5DAE" w:rsidR="009F6236" w:rsidRDefault="00AC339F" w:rsidP="009F6236">
            <w:pPr>
              <w:spacing w:line="240" w:lineRule="auto"/>
              <w:jc w:val="both"/>
              <w:rPr>
                <w:rFonts w:ascii="Times New Roman" w:hAnsi="Times New Roman" w:cs="Times New Roman"/>
              </w:rPr>
            </w:pPr>
            <m:oMathPara>
              <m:oMath>
                <m:sSub>
                  <m:sSubPr>
                    <m:ctrlPr>
                      <w:rPr>
                        <w:rFonts w:ascii="Cambria Math" w:hAnsi="Cambria Math" w:cs="Times New Roman"/>
                        <w:i/>
                        <w:sz w:val="18"/>
                        <w:szCs w:val="18"/>
                      </w:rPr>
                    </m:ctrlPr>
                  </m:sSubPr>
                  <m:e>
                    <m:r>
                      <w:rPr>
                        <w:rFonts w:ascii="Cambria Math" w:hAnsi="Cambria Math" w:cs="Times New Roman"/>
                        <w:sz w:val="18"/>
                        <w:szCs w:val="18"/>
                      </w:rPr>
                      <m:t xml:space="preserve"> К</m:t>
                    </m:r>
                  </m:e>
                  <m:sub>
                    <m:r>
                      <w:rPr>
                        <w:rFonts w:ascii="Cambria Math" w:hAnsi="Cambria Math" w:cs="Times New Roman"/>
                        <w:sz w:val="18"/>
                        <w:szCs w:val="18"/>
                      </w:rPr>
                      <m:t>независ</m:t>
                    </m:r>
                  </m:sub>
                </m:sSub>
                <m:r>
                  <w:rPr>
                    <w:rFonts w:ascii="Cambria Math" w:hAnsi="Cambria Math" w:cs="Times New Roman"/>
                    <w:sz w:val="18"/>
                    <w:szCs w:val="18"/>
                  </w:rPr>
                  <m:t>=</m:t>
                </m:r>
                <m:f>
                  <m:fPr>
                    <m:ctrlPr>
                      <w:rPr>
                        <w:rFonts w:ascii="Cambria Math" w:hAnsi="Cambria Math" w:cs="Times New Roman"/>
                        <w:i/>
                        <w:sz w:val="18"/>
                        <w:szCs w:val="18"/>
                      </w:rPr>
                    </m:ctrlPr>
                  </m:fPr>
                  <m:num>
                    <m:r>
                      <w:rPr>
                        <w:rFonts w:ascii="Cambria Math" w:hAnsi="Cambria Math" w:cs="Times New Roman"/>
                        <w:sz w:val="18"/>
                        <w:szCs w:val="18"/>
                      </w:rPr>
                      <m:t>Собственные доходы бюджета +субсидии</m:t>
                    </m:r>
                  </m:num>
                  <m:den>
                    <m:r>
                      <w:rPr>
                        <w:rFonts w:ascii="Cambria Math" w:hAnsi="Cambria Math" w:cs="Times New Roman"/>
                        <w:sz w:val="18"/>
                        <w:szCs w:val="18"/>
                      </w:rPr>
                      <m:t>Общие расходы бюджета региона+расходы на обслуживание гос. долга</m:t>
                    </m:r>
                  </m:den>
                </m:f>
                <m:r>
                  <w:rPr>
                    <w:rFonts w:ascii="Cambria Math" w:hAnsi="Cambria Math" w:cs="Times New Roman"/>
                    <w:sz w:val="18"/>
                    <w:szCs w:val="18"/>
                  </w:rPr>
                  <m:t xml:space="preserve"> ×100%</m:t>
                </m:r>
              </m:oMath>
            </m:oMathPara>
          </w:p>
        </w:tc>
      </w:tr>
      <w:tr w:rsidR="009F6236" w14:paraId="0958D568" w14:textId="77777777" w:rsidTr="006943F7">
        <w:tc>
          <w:tcPr>
            <w:tcW w:w="1413" w:type="dxa"/>
          </w:tcPr>
          <w:p w14:paraId="1634BA03" w14:textId="7CD73B08" w:rsidR="009F6236" w:rsidRPr="006943F7" w:rsidRDefault="009F6236" w:rsidP="009F6236">
            <w:pPr>
              <w:tabs>
                <w:tab w:val="left" w:pos="1134"/>
              </w:tabs>
              <w:spacing w:line="240" w:lineRule="auto"/>
              <w:jc w:val="both"/>
              <w:rPr>
                <w:rFonts w:ascii="Times New Roman" w:hAnsi="Times New Roman" w:cs="Times New Roman"/>
                <w:sz w:val="18"/>
                <w:szCs w:val="18"/>
              </w:rPr>
            </w:pPr>
            <w:r w:rsidRPr="006943F7">
              <w:rPr>
                <w:rFonts w:ascii="Times New Roman" w:hAnsi="Times New Roman" w:cs="Times New Roman"/>
                <w:sz w:val="18"/>
                <w:szCs w:val="18"/>
              </w:rPr>
              <w:t xml:space="preserve">Коэффициент чистой </w:t>
            </w:r>
            <w:r w:rsidRPr="006943F7">
              <w:rPr>
                <w:rFonts w:ascii="Times New Roman" w:hAnsi="Times New Roman" w:cs="Times New Roman"/>
                <w:sz w:val="18"/>
                <w:szCs w:val="18"/>
              </w:rPr>
              <w:lastRenderedPageBreak/>
              <w:t>налоговой независимости</w:t>
            </w:r>
          </w:p>
        </w:tc>
        <w:tc>
          <w:tcPr>
            <w:tcW w:w="7932" w:type="dxa"/>
            <w:vAlign w:val="center"/>
          </w:tcPr>
          <w:p w14:paraId="7FD0D3C3" w14:textId="0F5162BF" w:rsidR="009F6236" w:rsidRDefault="00AC339F" w:rsidP="009F6236">
            <w:pPr>
              <w:spacing w:line="240" w:lineRule="auto"/>
              <w:jc w:val="both"/>
              <w:rPr>
                <w:rFonts w:ascii="Times New Roman" w:hAnsi="Times New Roman" w:cs="Times New Roman"/>
              </w:rPr>
            </w:pPr>
            <m:oMathPara>
              <m:oMath>
                <m:sSub>
                  <m:sSubPr>
                    <m:ctrlPr>
                      <w:rPr>
                        <w:rFonts w:ascii="Cambria Math" w:hAnsi="Cambria Math" w:cs="Times New Roman"/>
                        <w:i/>
                        <w:sz w:val="18"/>
                        <w:szCs w:val="18"/>
                      </w:rPr>
                    </m:ctrlPr>
                  </m:sSubPr>
                  <m:e>
                    <m:r>
                      <w:rPr>
                        <w:rFonts w:ascii="Cambria Math" w:hAnsi="Cambria Math" w:cs="Times New Roman"/>
                        <w:sz w:val="18"/>
                        <w:szCs w:val="18"/>
                      </w:rPr>
                      <m:t xml:space="preserve"> К</m:t>
                    </m:r>
                  </m:e>
                  <m:sub>
                    <m:r>
                      <w:rPr>
                        <w:rFonts w:ascii="Cambria Math" w:hAnsi="Cambria Math" w:cs="Times New Roman"/>
                        <w:sz w:val="18"/>
                        <w:szCs w:val="18"/>
                      </w:rPr>
                      <m:t>ч.н.н.</m:t>
                    </m:r>
                  </m:sub>
                </m:sSub>
                <m:r>
                  <w:rPr>
                    <w:rFonts w:ascii="Cambria Math" w:hAnsi="Cambria Math" w:cs="Times New Roman"/>
                    <w:sz w:val="18"/>
                    <w:szCs w:val="18"/>
                  </w:rPr>
                  <m:t xml:space="preserve">= </m:t>
                </m:r>
                <m:f>
                  <m:fPr>
                    <m:ctrlPr>
                      <w:rPr>
                        <w:rFonts w:ascii="Cambria Math" w:hAnsi="Cambria Math" w:cs="Times New Roman"/>
                        <w:i/>
                        <w:sz w:val="18"/>
                        <w:szCs w:val="18"/>
                      </w:rPr>
                    </m:ctrlPr>
                  </m:fPr>
                  <m:num>
                    <m:r>
                      <w:rPr>
                        <w:rFonts w:ascii="Cambria Math" w:hAnsi="Cambria Math" w:cs="Times New Roman"/>
                        <w:sz w:val="18"/>
                        <w:szCs w:val="18"/>
                      </w:rPr>
                      <m:t xml:space="preserve">Налоговые доходы региона </m:t>
                    </m:r>
                    <m:r>
                      <w:rPr>
                        <w:rFonts w:ascii="Cambria Math" w:hAnsi="Cambria Math" w:cs="Times New Roman"/>
                        <w:sz w:val="18"/>
                        <w:szCs w:val="18"/>
                      </w:rPr>
                      <m:t>–</m:t>
                    </m:r>
                    <m:r>
                      <w:rPr>
                        <w:rFonts w:ascii="Cambria Math" w:hAnsi="Cambria Math" w:cs="Times New Roman"/>
                        <w:sz w:val="18"/>
                        <w:szCs w:val="18"/>
                      </w:rPr>
                      <m:t xml:space="preserve"> Межбюджетные трансферты</m:t>
                    </m:r>
                  </m:num>
                  <m:den>
                    <m:r>
                      <w:rPr>
                        <w:rFonts w:ascii="Cambria Math" w:hAnsi="Cambria Math" w:cs="Times New Roman"/>
                        <w:sz w:val="18"/>
                        <w:szCs w:val="18"/>
                      </w:rPr>
                      <m:t>Налоговые доходы региона</m:t>
                    </m:r>
                  </m:den>
                </m:f>
                <m:r>
                  <w:rPr>
                    <w:rFonts w:ascii="Cambria Math" w:hAnsi="Cambria Math" w:cs="Times New Roman"/>
                    <w:sz w:val="18"/>
                    <w:szCs w:val="18"/>
                  </w:rPr>
                  <m:t xml:space="preserve"> ×100%</m:t>
                </m:r>
              </m:oMath>
            </m:oMathPara>
          </w:p>
        </w:tc>
      </w:tr>
      <w:tr w:rsidR="009F6236" w14:paraId="3AF520EA" w14:textId="77777777" w:rsidTr="006943F7">
        <w:tc>
          <w:tcPr>
            <w:tcW w:w="1413" w:type="dxa"/>
          </w:tcPr>
          <w:p w14:paraId="2FFFAA1C" w14:textId="4DD2C1EE" w:rsidR="009F6236" w:rsidRPr="006943F7" w:rsidRDefault="009F6236" w:rsidP="009F6236">
            <w:pPr>
              <w:tabs>
                <w:tab w:val="left" w:pos="1134"/>
              </w:tabs>
              <w:spacing w:line="240" w:lineRule="auto"/>
              <w:jc w:val="both"/>
              <w:rPr>
                <w:rFonts w:ascii="Times New Roman" w:hAnsi="Times New Roman" w:cs="Times New Roman"/>
                <w:sz w:val="18"/>
                <w:szCs w:val="18"/>
              </w:rPr>
            </w:pPr>
            <w:r w:rsidRPr="006943F7">
              <w:rPr>
                <w:rFonts w:ascii="Times New Roman" w:hAnsi="Times New Roman" w:cs="Times New Roman"/>
                <w:sz w:val="18"/>
                <w:szCs w:val="18"/>
              </w:rPr>
              <w:t xml:space="preserve">Коэффициент </w:t>
            </w:r>
            <w:proofErr w:type="spellStart"/>
            <w:r w:rsidRPr="006943F7">
              <w:rPr>
                <w:rFonts w:ascii="Times New Roman" w:hAnsi="Times New Roman" w:cs="Times New Roman"/>
                <w:sz w:val="18"/>
                <w:szCs w:val="18"/>
              </w:rPr>
              <w:t>дотационности</w:t>
            </w:r>
            <w:proofErr w:type="spellEnd"/>
            <w:r w:rsidRPr="006943F7">
              <w:rPr>
                <w:rFonts w:ascii="Times New Roman" w:hAnsi="Times New Roman" w:cs="Times New Roman"/>
                <w:sz w:val="18"/>
                <w:szCs w:val="18"/>
              </w:rPr>
              <w:t xml:space="preserve"> региона</w:t>
            </w:r>
          </w:p>
        </w:tc>
        <w:tc>
          <w:tcPr>
            <w:tcW w:w="7932" w:type="dxa"/>
            <w:vAlign w:val="center"/>
          </w:tcPr>
          <w:p w14:paraId="7E2DB7E7" w14:textId="707A591C" w:rsidR="009F6236" w:rsidRDefault="00AC339F" w:rsidP="009F6236">
            <w:pPr>
              <w:spacing w:line="240" w:lineRule="auto"/>
              <w:jc w:val="both"/>
              <w:rPr>
                <w:rFonts w:ascii="Times New Roman" w:hAnsi="Times New Roman" w:cs="Times New Roman"/>
              </w:rPr>
            </w:pPr>
            <m:oMathPara>
              <m:oMath>
                <m:sSub>
                  <m:sSubPr>
                    <m:ctrlPr>
                      <w:rPr>
                        <w:rFonts w:ascii="Cambria Math" w:hAnsi="Cambria Math" w:cs="Times New Roman"/>
                        <w:i/>
                        <w:sz w:val="18"/>
                        <w:szCs w:val="18"/>
                      </w:rPr>
                    </m:ctrlPr>
                  </m:sSubPr>
                  <m:e>
                    <m:r>
                      <w:rPr>
                        <w:rFonts w:ascii="Cambria Math" w:hAnsi="Cambria Math" w:cs="Times New Roman"/>
                        <w:sz w:val="18"/>
                        <w:szCs w:val="18"/>
                      </w:rPr>
                      <m:t xml:space="preserve"> К</m:t>
                    </m:r>
                  </m:e>
                  <m:sub>
                    <m:r>
                      <w:rPr>
                        <w:rFonts w:ascii="Cambria Math" w:hAnsi="Cambria Math" w:cs="Times New Roman"/>
                        <w:sz w:val="18"/>
                        <w:szCs w:val="18"/>
                      </w:rPr>
                      <m:t>дотационности</m:t>
                    </m:r>
                  </m:sub>
                </m:sSub>
                <m:r>
                  <w:rPr>
                    <w:rFonts w:ascii="Cambria Math" w:hAnsi="Cambria Math" w:cs="Times New Roman"/>
                    <w:sz w:val="18"/>
                    <w:szCs w:val="18"/>
                  </w:rPr>
                  <m:t xml:space="preserve">= </m:t>
                </m:r>
                <m:f>
                  <m:fPr>
                    <m:ctrlPr>
                      <w:rPr>
                        <w:rFonts w:ascii="Cambria Math" w:hAnsi="Cambria Math" w:cs="Times New Roman"/>
                        <w:i/>
                        <w:sz w:val="18"/>
                        <w:szCs w:val="18"/>
                      </w:rPr>
                    </m:ctrlPr>
                  </m:fPr>
                  <m:num>
                    <m:r>
                      <w:rPr>
                        <w:rFonts w:ascii="Cambria Math" w:hAnsi="Cambria Math" w:cs="Times New Roman"/>
                        <w:sz w:val="18"/>
                        <w:szCs w:val="18"/>
                      </w:rPr>
                      <m:t>Дотации из федерального бюджета</m:t>
                    </m:r>
                  </m:num>
                  <m:den>
                    <m:r>
                      <w:rPr>
                        <w:rFonts w:ascii="Cambria Math" w:hAnsi="Cambria Math" w:cs="Times New Roman"/>
                        <w:sz w:val="18"/>
                        <w:szCs w:val="18"/>
                      </w:rPr>
                      <m:t>Собственные доходы регионального бюджета+дотации</m:t>
                    </m:r>
                  </m:den>
                </m:f>
                <m:r>
                  <w:rPr>
                    <w:rFonts w:ascii="Cambria Math" w:hAnsi="Cambria Math" w:cs="Times New Roman"/>
                    <w:sz w:val="18"/>
                    <w:szCs w:val="18"/>
                  </w:rPr>
                  <m:t xml:space="preserve"> ×100%</m:t>
                </m:r>
              </m:oMath>
            </m:oMathPara>
          </w:p>
        </w:tc>
      </w:tr>
      <w:tr w:rsidR="009F6236" w14:paraId="5B8097FE" w14:textId="77777777" w:rsidTr="00AC339F">
        <w:tc>
          <w:tcPr>
            <w:tcW w:w="9345" w:type="dxa"/>
            <w:gridSpan w:val="2"/>
          </w:tcPr>
          <w:p w14:paraId="552A86C2" w14:textId="367EA937" w:rsidR="009F6236" w:rsidRPr="00AC339F" w:rsidRDefault="00AC339F" w:rsidP="009F6236">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Источник: </w:t>
            </w:r>
            <w:r>
              <w:rPr>
                <w:rFonts w:ascii="Times New Roman" w:hAnsi="Times New Roman" w:cs="Times New Roman"/>
                <w:sz w:val="20"/>
                <w:szCs w:val="20"/>
                <w:lang w:val="en-US"/>
              </w:rPr>
              <w:t>[1,2,3,4,5]</w:t>
            </w:r>
          </w:p>
        </w:tc>
      </w:tr>
    </w:tbl>
    <w:p w14:paraId="4F5A2135" w14:textId="66F72209" w:rsidR="009F6236" w:rsidRDefault="009F6236" w:rsidP="009F6236">
      <w:pPr>
        <w:spacing w:after="0" w:line="240" w:lineRule="auto"/>
        <w:ind w:firstLine="709"/>
        <w:jc w:val="both"/>
        <w:rPr>
          <w:rFonts w:ascii="Times New Roman" w:hAnsi="Times New Roman" w:cs="Times New Roman"/>
        </w:rPr>
      </w:pPr>
    </w:p>
    <w:p w14:paraId="31E1AE4E" w14:textId="0907782B" w:rsidR="009F6236" w:rsidRDefault="009F6236" w:rsidP="009F6236">
      <w:pPr>
        <w:spacing w:after="0" w:line="240" w:lineRule="auto"/>
        <w:ind w:firstLine="709"/>
        <w:jc w:val="both"/>
        <w:rPr>
          <w:rFonts w:ascii="Times New Roman" w:hAnsi="Times New Roman" w:cs="Times New Roman"/>
        </w:rPr>
      </w:pPr>
      <w:r>
        <w:rPr>
          <w:rFonts w:ascii="Times New Roman" w:hAnsi="Times New Roman" w:cs="Times New Roman"/>
        </w:rPr>
        <w:t>Далее в таблице 3 будет приведена интерпретация выбранных коэффициентов:</w:t>
      </w:r>
    </w:p>
    <w:p w14:paraId="6B015CFE" w14:textId="04404E0A" w:rsidR="009F6236" w:rsidRPr="000A3DC2" w:rsidRDefault="009F6236" w:rsidP="009F6236">
      <w:pPr>
        <w:spacing w:after="0" w:line="240" w:lineRule="auto"/>
        <w:ind w:firstLine="709"/>
        <w:rPr>
          <w:rFonts w:ascii="Times New Roman" w:hAnsi="Times New Roman" w:cs="Times New Roman"/>
        </w:rPr>
      </w:pPr>
      <w:r w:rsidRPr="00AC339F">
        <w:rPr>
          <w:rFonts w:ascii="Times New Roman" w:hAnsi="Times New Roman" w:cs="Times New Roman"/>
        </w:rPr>
        <w:t xml:space="preserve">Таблица </w:t>
      </w:r>
      <w:r w:rsidR="00AC339F" w:rsidRPr="00AC339F">
        <w:rPr>
          <w:rFonts w:ascii="Times New Roman" w:hAnsi="Times New Roman" w:cs="Times New Roman"/>
        </w:rPr>
        <w:t>3</w:t>
      </w:r>
      <w:r w:rsidRPr="00AC339F">
        <w:rPr>
          <w:rFonts w:ascii="Times New Roman" w:hAnsi="Times New Roman" w:cs="Times New Roman"/>
        </w:rPr>
        <w:t>. Ключевые коэффициенты бюджетного развития региона и их</w:t>
      </w:r>
      <w:r w:rsidRPr="000A3DC2">
        <w:rPr>
          <w:rFonts w:ascii="Times New Roman" w:hAnsi="Times New Roman" w:cs="Times New Roman"/>
        </w:rPr>
        <w:t xml:space="preserve"> расшифровка</w:t>
      </w:r>
    </w:p>
    <w:tbl>
      <w:tblPr>
        <w:tblStyle w:val="a7"/>
        <w:tblW w:w="0" w:type="auto"/>
        <w:tblLook w:val="04A0" w:firstRow="1" w:lastRow="0" w:firstColumn="1" w:lastColumn="0" w:noHBand="0" w:noVBand="1"/>
      </w:tblPr>
      <w:tblGrid>
        <w:gridCol w:w="1406"/>
        <w:gridCol w:w="7939"/>
      </w:tblGrid>
      <w:tr w:rsidR="00AC339F" w:rsidRPr="00EB25C4" w14:paraId="626A4D16" w14:textId="77777777" w:rsidTr="00AC339F">
        <w:tc>
          <w:tcPr>
            <w:tcW w:w="1406" w:type="dxa"/>
            <w:vAlign w:val="center"/>
          </w:tcPr>
          <w:p w14:paraId="2E595C68" w14:textId="77777777" w:rsidR="00AC339F" w:rsidRPr="009F6236" w:rsidRDefault="00AC339F" w:rsidP="007F7900">
            <w:pPr>
              <w:jc w:val="center"/>
              <w:rPr>
                <w:rFonts w:ascii="Times New Roman" w:hAnsi="Times New Roman" w:cs="Times New Roman"/>
                <w:sz w:val="18"/>
                <w:szCs w:val="18"/>
              </w:rPr>
            </w:pPr>
            <w:r w:rsidRPr="009F6236">
              <w:rPr>
                <w:rFonts w:ascii="Times New Roman" w:hAnsi="Times New Roman" w:cs="Times New Roman"/>
                <w:sz w:val="18"/>
                <w:szCs w:val="18"/>
              </w:rPr>
              <w:t xml:space="preserve">Название коэффициента </w:t>
            </w:r>
          </w:p>
        </w:tc>
        <w:tc>
          <w:tcPr>
            <w:tcW w:w="7939" w:type="dxa"/>
            <w:vAlign w:val="center"/>
          </w:tcPr>
          <w:p w14:paraId="2E4D3155" w14:textId="77777777" w:rsidR="00AC339F" w:rsidRPr="009F6236" w:rsidRDefault="00AC339F" w:rsidP="007F7900">
            <w:pPr>
              <w:jc w:val="center"/>
              <w:rPr>
                <w:rFonts w:ascii="Times New Roman" w:hAnsi="Times New Roman" w:cs="Times New Roman"/>
                <w:sz w:val="18"/>
                <w:szCs w:val="18"/>
              </w:rPr>
            </w:pPr>
            <w:r w:rsidRPr="009F6236">
              <w:rPr>
                <w:rFonts w:ascii="Times New Roman" w:hAnsi="Times New Roman" w:cs="Times New Roman"/>
                <w:sz w:val="18"/>
                <w:szCs w:val="18"/>
              </w:rPr>
              <w:t>Норматив*</w:t>
            </w:r>
          </w:p>
        </w:tc>
      </w:tr>
      <w:tr w:rsidR="00AC339F" w:rsidRPr="00EB25C4" w14:paraId="08F224BA" w14:textId="77777777" w:rsidTr="00AC339F">
        <w:tc>
          <w:tcPr>
            <w:tcW w:w="1406" w:type="dxa"/>
            <w:vAlign w:val="center"/>
          </w:tcPr>
          <w:p w14:paraId="231C4293" w14:textId="77777777" w:rsidR="00AC339F" w:rsidRPr="009F6236" w:rsidRDefault="00AC339F" w:rsidP="007F7900">
            <w:pPr>
              <w:rPr>
                <w:rFonts w:ascii="Times New Roman" w:hAnsi="Times New Roman" w:cs="Times New Roman"/>
                <w:sz w:val="18"/>
                <w:szCs w:val="18"/>
              </w:rPr>
            </w:pPr>
            <w:r w:rsidRPr="009F6236">
              <w:rPr>
                <w:rFonts w:ascii="Times New Roman" w:hAnsi="Times New Roman" w:cs="Times New Roman"/>
                <w:sz w:val="18"/>
                <w:szCs w:val="18"/>
              </w:rPr>
              <w:t>1. Коэффициент долговой нагрузки, %</w:t>
            </w:r>
          </w:p>
        </w:tc>
        <w:tc>
          <w:tcPr>
            <w:tcW w:w="7939" w:type="dxa"/>
          </w:tcPr>
          <w:p w14:paraId="0890AE7C"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Если значение коэффициента ниже 10%, это считается приемлемым уровнем долговой нагрузки, и регион может быть признан финансово устойчивым.</w:t>
            </w:r>
          </w:p>
          <w:p w14:paraId="3182789B"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Если значение находится в диапазоне 10–20%, это указывает на повышенную долговую нагрузку, которая требует внимания со стороны руководства региона.</w:t>
            </w:r>
          </w:p>
          <w:p w14:paraId="75599691"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Если значение превышает 20%, это свидетельствует о высокой долговой нагрузке и потенциальных проблемах с обслуживанием долга, что может привести к дефолту или необходимости реструктуризации долговых обязательств.</w:t>
            </w:r>
          </w:p>
        </w:tc>
      </w:tr>
      <w:tr w:rsidR="00AC339F" w:rsidRPr="00EB25C4" w14:paraId="145B821F" w14:textId="77777777" w:rsidTr="00AC339F">
        <w:tc>
          <w:tcPr>
            <w:tcW w:w="1406" w:type="dxa"/>
            <w:vAlign w:val="center"/>
          </w:tcPr>
          <w:p w14:paraId="4C77A459" w14:textId="77777777" w:rsidR="00AC339F" w:rsidRPr="009F6236" w:rsidRDefault="00AC339F" w:rsidP="007F7900">
            <w:pPr>
              <w:tabs>
                <w:tab w:val="left" w:pos="1134"/>
              </w:tabs>
              <w:rPr>
                <w:rFonts w:ascii="Times New Roman" w:hAnsi="Times New Roman" w:cs="Times New Roman"/>
                <w:sz w:val="18"/>
                <w:szCs w:val="18"/>
              </w:rPr>
            </w:pPr>
            <w:r w:rsidRPr="009F6236">
              <w:rPr>
                <w:rFonts w:ascii="Times New Roman" w:hAnsi="Times New Roman" w:cs="Times New Roman"/>
                <w:sz w:val="18"/>
                <w:szCs w:val="18"/>
              </w:rPr>
              <w:t>2. Отношение долговых обязательств к ВРП региона</w:t>
            </w:r>
          </w:p>
        </w:tc>
        <w:tc>
          <w:tcPr>
            <w:tcW w:w="7939" w:type="dxa"/>
          </w:tcPr>
          <w:p w14:paraId="4B1B3A36" w14:textId="77777777" w:rsidR="00AC339F" w:rsidRPr="009F6236" w:rsidRDefault="00AC339F" w:rsidP="007F7900">
            <w:pPr>
              <w:jc w:val="both"/>
              <w:rPr>
                <w:rFonts w:ascii="Times New Roman" w:hAnsi="Times New Roman" w:cs="Times New Roman"/>
                <w:sz w:val="18"/>
                <w:szCs w:val="18"/>
              </w:rPr>
            </w:pPr>
            <w:r w:rsidRPr="009F6236">
              <w:rPr>
                <w:rFonts w:ascii="Times New Roman" w:hAnsi="Times New Roman" w:cs="Times New Roman"/>
                <w:sz w:val="18"/>
                <w:szCs w:val="18"/>
              </w:rPr>
              <w:t>Норматив: 15–20% ВРП (для большинства регионов).</w:t>
            </w:r>
          </w:p>
          <w:p w14:paraId="6E95027B"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Менее 15%: Низкая долговая нагрузка, регион стабилен.</w:t>
            </w:r>
          </w:p>
          <w:p w14:paraId="658D12DB"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20–30%: Средний уровень, но требует внимания.</w:t>
            </w:r>
          </w:p>
          <w:p w14:paraId="7019443B"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Более 30%: Высокая зависимость от долга, возможны проблемы с инвестициями.</w:t>
            </w:r>
          </w:p>
        </w:tc>
      </w:tr>
      <w:tr w:rsidR="00AC339F" w:rsidRPr="00EB25C4" w14:paraId="2C041D9D" w14:textId="77777777" w:rsidTr="00AC339F">
        <w:tc>
          <w:tcPr>
            <w:tcW w:w="1406" w:type="dxa"/>
            <w:vAlign w:val="center"/>
          </w:tcPr>
          <w:p w14:paraId="159BAE50" w14:textId="77777777" w:rsidR="00AC339F" w:rsidRPr="009F6236" w:rsidRDefault="00AC339F" w:rsidP="007F7900">
            <w:pPr>
              <w:tabs>
                <w:tab w:val="left" w:pos="1134"/>
              </w:tabs>
              <w:rPr>
                <w:rFonts w:ascii="Times New Roman" w:hAnsi="Times New Roman" w:cs="Times New Roman"/>
                <w:sz w:val="18"/>
                <w:szCs w:val="18"/>
              </w:rPr>
            </w:pPr>
            <w:r w:rsidRPr="009F6236">
              <w:rPr>
                <w:rFonts w:ascii="Times New Roman" w:hAnsi="Times New Roman" w:cs="Times New Roman"/>
                <w:sz w:val="18"/>
                <w:szCs w:val="18"/>
              </w:rPr>
              <w:t>3. Коэффициент чистой финансовой независимости</w:t>
            </w:r>
          </w:p>
        </w:tc>
        <w:tc>
          <w:tcPr>
            <w:tcW w:w="7939" w:type="dxa"/>
          </w:tcPr>
          <w:p w14:paraId="6A9BC78C"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Если значение коэффициента близко к 100% либо превышает его, то это означает высокую бюджетную независимость региона: он покрывает большую часть своих расходов за счет собственных доходов.</w:t>
            </w:r>
          </w:p>
          <w:p w14:paraId="7543258A"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Если значение меньше 100%, это указывает на зависимость региона от федеральных трансфертов для выполнения своих обязательств.</w:t>
            </w:r>
          </w:p>
        </w:tc>
      </w:tr>
      <w:tr w:rsidR="00AC339F" w:rsidRPr="00EB25C4" w14:paraId="6E89C03A" w14:textId="77777777" w:rsidTr="00AC339F">
        <w:tc>
          <w:tcPr>
            <w:tcW w:w="1406" w:type="dxa"/>
            <w:vAlign w:val="center"/>
          </w:tcPr>
          <w:p w14:paraId="34F0DAE4" w14:textId="77777777" w:rsidR="00AC339F" w:rsidRPr="009F6236" w:rsidRDefault="00AC339F" w:rsidP="007F7900">
            <w:pPr>
              <w:tabs>
                <w:tab w:val="left" w:pos="1134"/>
              </w:tabs>
              <w:rPr>
                <w:rFonts w:ascii="Times New Roman" w:hAnsi="Times New Roman" w:cs="Times New Roman"/>
                <w:sz w:val="18"/>
                <w:szCs w:val="18"/>
              </w:rPr>
            </w:pPr>
            <w:r w:rsidRPr="009F6236">
              <w:rPr>
                <w:rFonts w:ascii="Times New Roman" w:hAnsi="Times New Roman" w:cs="Times New Roman"/>
                <w:sz w:val="18"/>
                <w:szCs w:val="18"/>
              </w:rPr>
              <w:t>4. Коэффициент чистой налоговой независимости</w:t>
            </w:r>
          </w:p>
        </w:tc>
        <w:tc>
          <w:tcPr>
            <w:tcW w:w="7939" w:type="dxa"/>
          </w:tcPr>
          <w:p w14:paraId="45741CC6"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Если значение коэффициента близко либо равно 100%, это означает высокую налоговую независимость региона: он практически полностью обеспечивает себя налоговыми поступлениями без выраженной федеральной поддержки.</w:t>
            </w:r>
          </w:p>
          <w:p w14:paraId="1280B418"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Если значение значительно меньше 100% (менее 70%), это указывает на высокую зависимость региона от федеральных трансфертов для покрытия своих налоговых потребностей.</w:t>
            </w:r>
          </w:p>
        </w:tc>
      </w:tr>
      <w:tr w:rsidR="00AC339F" w:rsidRPr="00EB25C4" w14:paraId="42B59D0D" w14:textId="77777777" w:rsidTr="00AC339F">
        <w:tc>
          <w:tcPr>
            <w:tcW w:w="1406" w:type="dxa"/>
            <w:vAlign w:val="center"/>
          </w:tcPr>
          <w:p w14:paraId="35A06429" w14:textId="77777777" w:rsidR="00AC339F" w:rsidRPr="009F6236" w:rsidRDefault="00AC339F" w:rsidP="007F7900">
            <w:pPr>
              <w:tabs>
                <w:tab w:val="left" w:pos="1134"/>
              </w:tabs>
              <w:rPr>
                <w:rFonts w:ascii="Times New Roman" w:hAnsi="Times New Roman" w:cs="Times New Roman"/>
                <w:sz w:val="18"/>
                <w:szCs w:val="18"/>
              </w:rPr>
            </w:pPr>
            <w:r w:rsidRPr="009F6236">
              <w:rPr>
                <w:rFonts w:ascii="Times New Roman" w:hAnsi="Times New Roman" w:cs="Times New Roman"/>
                <w:sz w:val="18"/>
                <w:szCs w:val="18"/>
              </w:rPr>
              <w:t xml:space="preserve">5. Коэффициент </w:t>
            </w:r>
            <w:proofErr w:type="spellStart"/>
            <w:r w:rsidRPr="009F6236">
              <w:rPr>
                <w:rFonts w:ascii="Times New Roman" w:hAnsi="Times New Roman" w:cs="Times New Roman"/>
                <w:sz w:val="18"/>
                <w:szCs w:val="18"/>
              </w:rPr>
              <w:t>дотационности</w:t>
            </w:r>
            <w:proofErr w:type="spellEnd"/>
            <w:r w:rsidRPr="009F6236">
              <w:rPr>
                <w:rFonts w:ascii="Times New Roman" w:hAnsi="Times New Roman" w:cs="Times New Roman"/>
                <w:sz w:val="18"/>
                <w:szCs w:val="18"/>
              </w:rPr>
              <w:t xml:space="preserve"> региона </w:t>
            </w:r>
          </w:p>
        </w:tc>
        <w:tc>
          <w:tcPr>
            <w:tcW w:w="7939" w:type="dxa"/>
          </w:tcPr>
          <w:p w14:paraId="49B0B946"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Если значение коэффициента близко к 0%, это означает, что регион практически не зависит от федеральных дотаций и финансирует свои расходы за счет собственных доходов.</w:t>
            </w:r>
          </w:p>
          <w:p w14:paraId="1BC07E2F" w14:textId="77777777" w:rsidR="00AC339F" w:rsidRPr="009F6236" w:rsidRDefault="00AC339F" w:rsidP="009F6236">
            <w:pPr>
              <w:pStyle w:val="a6"/>
              <w:numPr>
                <w:ilvl w:val="0"/>
                <w:numId w:val="8"/>
              </w:numPr>
              <w:spacing w:line="240" w:lineRule="auto"/>
              <w:ind w:left="35" w:hanging="118"/>
              <w:jc w:val="both"/>
              <w:rPr>
                <w:rFonts w:ascii="Times New Roman" w:hAnsi="Times New Roman" w:cs="Times New Roman"/>
                <w:sz w:val="18"/>
                <w:szCs w:val="18"/>
              </w:rPr>
            </w:pPr>
            <w:r w:rsidRPr="009F6236">
              <w:rPr>
                <w:rFonts w:ascii="Times New Roman" w:hAnsi="Times New Roman" w:cs="Times New Roman"/>
                <w:sz w:val="18"/>
                <w:szCs w:val="18"/>
              </w:rPr>
              <w:t xml:space="preserve">Если значение значительно выше 0%, это указывает на высокую </w:t>
            </w:r>
            <w:proofErr w:type="spellStart"/>
            <w:r w:rsidRPr="009F6236">
              <w:rPr>
                <w:rFonts w:ascii="Times New Roman" w:hAnsi="Times New Roman" w:cs="Times New Roman"/>
                <w:sz w:val="18"/>
                <w:szCs w:val="18"/>
              </w:rPr>
              <w:t>дотационность</w:t>
            </w:r>
            <w:proofErr w:type="spellEnd"/>
            <w:r w:rsidRPr="009F6236">
              <w:rPr>
                <w:rFonts w:ascii="Times New Roman" w:hAnsi="Times New Roman" w:cs="Times New Roman"/>
                <w:sz w:val="18"/>
                <w:szCs w:val="18"/>
              </w:rPr>
              <w:t xml:space="preserve"> региона, то есть его большая зависимость от федеральной поддержки. Например, если коэффициент превышает 50%, регион может быть отнесен к числу высоко дотационных.</w:t>
            </w:r>
          </w:p>
        </w:tc>
      </w:tr>
      <w:tr w:rsidR="009F6236" w:rsidRPr="00EB25C4" w14:paraId="3B59FAD4" w14:textId="77777777" w:rsidTr="007F7900">
        <w:tc>
          <w:tcPr>
            <w:tcW w:w="9345" w:type="dxa"/>
            <w:gridSpan w:val="2"/>
            <w:vAlign w:val="center"/>
          </w:tcPr>
          <w:p w14:paraId="4C56DC9B" w14:textId="1EAFC1AA" w:rsidR="009F6236" w:rsidRPr="009F6236" w:rsidRDefault="009F6236" w:rsidP="007F7900">
            <w:pPr>
              <w:pStyle w:val="a6"/>
              <w:ind w:left="35"/>
              <w:jc w:val="both"/>
              <w:rPr>
                <w:rFonts w:ascii="Times New Roman" w:hAnsi="Times New Roman" w:cs="Times New Roman"/>
                <w:sz w:val="18"/>
                <w:szCs w:val="18"/>
              </w:rPr>
            </w:pPr>
            <w:r w:rsidRPr="009F6236">
              <w:rPr>
                <w:rFonts w:ascii="Times New Roman" w:hAnsi="Times New Roman" w:cs="Times New Roman"/>
                <w:sz w:val="18"/>
                <w:szCs w:val="18"/>
              </w:rPr>
              <w:t>Источник: составлено автором на материалах [</w:t>
            </w:r>
            <w:r w:rsidR="00AC339F">
              <w:rPr>
                <w:rFonts w:ascii="Times New Roman" w:hAnsi="Times New Roman" w:cs="Times New Roman"/>
                <w:sz w:val="18"/>
                <w:szCs w:val="18"/>
              </w:rPr>
              <w:t>1</w:t>
            </w:r>
            <w:r w:rsidR="00AC339F" w:rsidRPr="00AC339F">
              <w:rPr>
                <w:rFonts w:ascii="Times New Roman" w:hAnsi="Times New Roman" w:cs="Times New Roman"/>
                <w:sz w:val="18"/>
                <w:szCs w:val="18"/>
              </w:rPr>
              <w:t>,2,3,4,5</w:t>
            </w:r>
            <w:r w:rsidRPr="009F6236">
              <w:rPr>
                <w:rFonts w:ascii="Times New Roman" w:hAnsi="Times New Roman" w:cs="Times New Roman"/>
                <w:sz w:val="18"/>
                <w:szCs w:val="18"/>
              </w:rPr>
              <w:t>].</w:t>
            </w:r>
          </w:p>
        </w:tc>
      </w:tr>
    </w:tbl>
    <w:p w14:paraId="3C0AA119" w14:textId="7ED31039" w:rsidR="00AC339F" w:rsidRDefault="00AC339F" w:rsidP="00AC339F">
      <w:pPr>
        <w:pStyle w:val="a6"/>
        <w:tabs>
          <w:tab w:val="left" w:pos="1134"/>
        </w:tabs>
        <w:spacing w:after="0" w:line="240" w:lineRule="auto"/>
        <w:ind w:left="709"/>
        <w:jc w:val="both"/>
        <w:rPr>
          <w:rFonts w:ascii="Times New Roman" w:hAnsi="Times New Roman" w:cs="Times New Roman"/>
        </w:rPr>
      </w:pPr>
    </w:p>
    <w:p w14:paraId="5D6DD14C" w14:textId="597E49BB" w:rsidR="00195719" w:rsidRDefault="00195719" w:rsidP="00AC339F">
      <w:pPr>
        <w:spacing w:after="0" w:line="240" w:lineRule="auto"/>
        <w:ind w:firstLine="709"/>
        <w:jc w:val="both"/>
        <w:rPr>
          <w:rFonts w:ascii="Times New Roman" w:hAnsi="Times New Roman" w:cs="Times New Roman"/>
        </w:rPr>
      </w:pPr>
      <w:r w:rsidRPr="00AC339F">
        <w:rPr>
          <w:rFonts w:ascii="Times New Roman" w:hAnsi="Times New Roman" w:cs="Times New Roman"/>
        </w:rPr>
        <w:t>Далее в таблице</w:t>
      </w:r>
      <w:r w:rsidRPr="00195719">
        <w:rPr>
          <w:rFonts w:ascii="Times New Roman" w:hAnsi="Times New Roman" w:cs="Times New Roman"/>
        </w:rPr>
        <w:t xml:space="preserve"> </w:t>
      </w:r>
      <w:r w:rsidR="00AC339F">
        <w:rPr>
          <w:rFonts w:ascii="Times New Roman" w:hAnsi="Times New Roman" w:cs="Times New Roman"/>
        </w:rPr>
        <w:t>4</w:t>
      </w:r>
      <w:r w:rsidRPr="00195719">
        <w:rPr>
          <w:rFonts w:ascii="Times New Roman" w:hAnsi="Times New Roman" w:cs="Times New Roman"/>
        </w:rPr>
        <w:t xml:space="preserve"> приведены полученные результаты, после чего можно будет сделать выводы</w:t>
      </w:r>
      <w:r>
        <w:rPr>
          <w:rFonts w:ascii="Times New Roman" w:hAnsi="Times New Roman" w:cs="Times New Roman"/>
        </w:rPr>
        <w:t>:</w:t>
      </w:r>
    </w:p>
    <w:p w14:paraId="658D0576" w14:textId="709B8794" w:rsidR="00195719" w:rsidRPr="00AC339F" w:rsidRDefault="00195719" w:rsidP="009F6236">
      <w:pPr>
        <w:spacing w:after="0" w:line="25" w:lineRule="atLeast"/>
        <w:ind w:firstLine="709"/>
        <w:rPr>
          <w:rFonts w:ascii="Times New Roman" w:hAnsi="Times New Roman" w:cs="Times New Roman"/>
        </w:rPr>
      </w:pPr>
      <w:r w:rsidRPr="00AC339F">
        <w:rPr>
          <w:rFonts w:ascii="Times New Roman" w:hAnsi="Times New Roman" w:cs="Times New Roman"/>
        </w:rPr>
        <w:t xml:space="preserve">Таблица </w:t>
      </w:r>
      <w:r w:rsidR="00AC339F" w:rsidRPr="00AC339F">
        <w:rPr>
          <w:rFonts w:ascii="Times New Roman" w:hAnsi="Times New Roman" w:cs="Times New Roman"/>
        </w:rPr>
        <w:t>4</w:t>
      </w:r>
      <w:r w:rsidRPr="00AC339F">
        <w:rPr>
          <w:rFonts w:ascii="Times New Roman" w:hAnsi="Times New Roman" w:cs="Times New Roman"/>
        </w:rPr>
        <w:t>. Расчет коэффициентов, %</w:t>
      </w:r>
    </w:p>
    <w:tbl>
      <w:tblPr>
        <w:tblStyle w:val="a7"/>
        <w:tblW w:w="9356" w:type="dxa"/>
        <w:tblInd w:w="-5" w:type="dxa"/>
        <w:tblLook w:val="04A0" w:firstRow="1" w:lastRow="0" w:firstColumn="1" w:lastColumn="0" w:noHBand="0" w:noVBand="1"/>
      </w:tblPr>
      <w:tblGrid>
        <w:gridCol w:w="2977"/>
        <w:gridCol w:w="851"/>
        <w:gridCol w:w="992"/>
        <w:gridCol w:w="1417"/>
        <w:gridCol w:w="851"/>
        <w:gridCol w:w="947"/>
        <w:gridCol w:w="1321"/>
      </w:tblGrid>
      <w:tr w:rsidR="00195719" w:rsidRPr="000A3DC2" w14:paraId="6EFFD8D6" w14:textId="77777777" w:rsidTr="006943F7">
        <w:trPr>
          <w:trHeight w:val="214"/>
        </w:trPr>
        <w:tc>
          <w:tcPr>
            <w:tcW w:w="2977" w:type="dxa"/>
            <w:vAlign w:val="center"/>
          </w:tcPr>
          <w:p w14:paraId="6E175ECD"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Показатели / Годы</w:t>
            </w:r>
          </w:p>
        </w:tc>
        <w:tc>
          <w:tcPr>
            <w:tcW w:w="851" w:type="dxa"/>
            <w:vAlign w:val="center"/>
          </w:tcPr>
          <w:p w14:paraId="119CBDA2"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2015</w:t>
            </w:r>
          </w:p>
        </w:tc>
        <w:tc>
          <w:tcPr>
            <w:tcW w:w="992" w:type="dxa"/>
            <w:vAlign w:val="center"/>
          </w:tcPr>
          <w:p w14:paraId="4523BDB4"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2019</w:t>
            </w:r>
          </w:p>
        </w:tc>
        <w:tc>
          <w:tcPr>
            <w:tcW w:w="1417" w:type="dxa"/>
            <w:vAlign w:val="center"/>
          </w:tcPr>
          <w:p w14:paraId="073171AB"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Среднее за пятилетку (2015-2019)</w:t>
            </w:r>
          </w:p>
        </w:tc>
        <w:tc>
          <w:tcPr>
            <w:tcW w:w="851" w:type="dxa"/>
            <w:vAlign w:val="center"/>
          </w:tcPr>
          <w:p w14:paraId="0EE26758"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2020</w:t>
            </w:r>
          </w:p>
        </w:tc>
        <w:tc>
          <w:tcPr>
            <w:tcW w:w="947" w:type="dxa"/>
            <w:vAlign w:val="center"/>
          </w:tcPr>
          <w:p w14:paraId="1EA3539E"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2024</w:t>
            </w:r>
          </w:p>
        </w:tc>
        <w:tc>
          <w:tcPr>
            <w:tcW w:w="1321" w:type="dxa"/>
            <w:vAlign w:val="center"/>
          </w:tcPr>
          <w:p w14:paraId="7ACB9429"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Среднее за пятилетку (2020-2024)</w:t>
            </w:r>
          </w:p>
        </w:tc>
      </w:tr>
      <w:tr w:rsidR="00195719" w:rsidRPr="000A3DC2" w14:paraId="24CFC505" w14:textId="77777777" w:rsidTr="006943F7">
        <w:trPr>
          <w:trHeight w:val="70"/>
        </w:trPr>
        <w:tc>
          <w:tcPr>
            <w:tcW w:w="2977" w:type="dxa"/>
            <w:vAlign w:val="center"/>
          </w:tcPr>
          <w:p w14:paraId="682E71F7" w14:textId="77777777" w:rsidR="00195719" w:rsidRPr="00195719" w:rsidRDefault="00195719" w:rsidP="00195719">
            <w:pPr>
              <w:spacing w:line="240" w:lineRule="auto"/>
              <w:rPr>
                <w:rFonts w:ascii="Times New Roman" w:hAnsi="Times New Roman" w:cs="Times New Roman"/>
                <w:sz w:val="18"/>
                <w:szCs w:val="18"/>
              </w:rPr>
            </w:pPr>
            <w:r w:rsidRPr="00195719">
              <w:rPr>
                <w:rFonts w:ascii="Times New Roman" w:hAnsi="Times New Roman" w:cs="Times New Roman"/>
                <w:spacing w:val="5"/>
                <w:sz w:val="18"/>
                <w:szCs w:val="18"/>
              </w:rPr>
              <w:t>Коэффициент долговой нагрузки</w:t>
            </w:r>
          </w:p>
        </w:tc>
        <w:tc>
          <w:tcPr>
            <w:tcW w:w="851" w:type="dxa"/>
            <w:vAlign w:val="center"/>
          </w:tcPr>
          <w:p w14:paraId="58D7040B"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59</w:t>
            </w:r>
          </w:p>
        </w:tc>
        <w:tc>
          <w:tcPr>
            <w:tcW w:w="992" w:type="dxa"/>
            <w:vAlign w:val="center"/>
          </w:tcPr>
          <w:p w14:paraId="4BC308BD"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pacing w:val="5"/>
                <w:sz w:val="18"/>
                <w:szCs w:val="18"/>
              </w:rPr>
              <w:t>15</w:t>
            </w:r>
          </w:p>
        </w:tc>
        <w:tc>
          <w:tcPr>
            <w:tcW w:w="1417" w:type="dxa"/>
            <w:vAlign w:val="center"/>
          </w:tcPr>
          <w:p w14:paraId="14332656"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35</w:t>
            </w:r>
          </w:p>
        </w:tc>
        <w:tc>
          <w:tcPr>
            <w:tcW w:w="851" w:type="dxa"/>
            <w:vAlign w:val="center"/>
          </w:tcPr>
          <w:p w14:paraId="09526565"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9</w:t>
            </w:r>
          </w:p>
        </w:tc>
        <w:tc>
          <w:tcPr>
            <w:tcW w:w="947" w:type="dxa"/>
            <w:vAlign w:val="center"/>
          </w:tcPr>
          <w:p w14:paraId="3908975A" w14:textId="77777777" w:rsidR="00195719" w:rsidRPr="00195719" w:rsidRDefault="00195719" w:rsidP="00195719">
            <w:pPr>
              <w:spacing w:line="240" w:lineRule="auto"/>
              <w:jc w:val="center"/>
              <w:rPr>
                <w:rFonts w:ascii="Times New Roman" w:hAnsi="Times New Roman" w:cs="Times New Roman"/>
                <w:spacing w:val="5"/>
                <w:sz w:val="18"/>
                <w:szCs w:val="18"/>
              </w:rPr>
            </w:pPr>
            <w:r w:rsidRPr="00195719">
              <w:rPr>
                <w:rFonts w:ascii="Times New Roman" w:hAnsi="Times New Roman" w:cs="Times New Roman"/>
                <w:spacing w:val="5"/>
                <w:sz w:val="18"/>
                <w:szCs w:val="18"/>
              </w:rPr>
              <w:t>12</w:t>
            </w:r>
          </w:p>
        </w:tc>
        <w:tc>
          <w:tcPr>
            <w:tcW w:w="1321" w:type="dxa"/>
            <w:vAlign w:val="center"/>
          </w:tcPr>
          <w:p w14:paraId="19A3325C"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pacing w:val="5"/>
                <w:sz w:val="18"/>
                <w:szCs w:val="18"/>
              </w:rPr>
              <w:t>14</w:t>
            </w:r>
          </w:p>
        </w:tc>
      </w:tr>
      <w:tr w:rsidR="00195719" w:rsidRPr="000A3DC2" w14:paraId="6EBE1E18" w14:textId="77777777" w:rsidTr="006943F7">
        <w:trPr>
          <w:trHeight w:val="70"/>
        </w:trPr>
        <w:tc>
          <w:tcPr>
            <w:tcW w:w="2977" w:type="dxa"/>
            <w:vAlign w:val="center"/>
          </w:tcPr>
          <w:p w14:paraId="51C6233D" w14:textId="77777777" w:rsidR="00195719" w:rsidRPr="00195719" w:rsidRDefault="00195719" w:rsidP="00195719">
            <w:pPr>
              <w:spacing w:line="240" w:lineRule="auto"/>
              <w:rPr>
                <w:rFonts w:ascii="Times New Roman" w:hAnsi="Times New Roman" w:cs="Times New Roman"/>
                <w:sz w:val="18"/>
                <w:szCs w:val="18"/>
              </w:rPr>
            </w:pPr>
            <w:r w:rsidRPr="00195719">
              <w:rPr>
                <w:rFonts w:ascii="Times New Roman" w:hAnsi="Times New Roman" w:cs="Times New Roman"/>
                <w:spacing w:val="5"/>
                <w:sz w:val="18"/>
                <w:szCs w:val="18"/>
              </w:rPr>
              <w:t>Отношение долговых обязательств к ВРП региона</w:t>
            </w:r>
          </w:p>
        </w:tc>
        <w:tc>
          <w:tcPr>
            <w:tcW w:w="851" w:type="dxa"/>
            <w:vAlign w:val="center"/>
          </w:tcPr>
          <w:p w14:paraId="3942AD82"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7</w:t>
            </w:r>
          </w:p>
        </w:tc>
        <w:tc>
          <w:tcPr>
            <w:tcW w:w="992" w:type="dxa"/>
            <w:vAlign w:val="center"/>
          </w:tcPr>
          <w:p w14:paraId="4E071F9B"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pacing w:val="5"/>
                <w:sz w:val="18"/>
                <w:szCs w:val="18"/>
              </w:rPr>
              <w:t>2</w:t>
            </w:r>
          </w:p>
        </w:tc>
        <w:tc>
          <w:tcPr>
            <w:tcW w:w="1417" w:type="dxa"/>
            <w:vAlign w:val="center"/>
          </w:tcPr>
          <w:p w14:paraId="02544CD0"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5</w:t>
            </w:r>
          </w:p>
        </w:tc>
        <w:tc>
          <w:tcPr>
            <w:tcW w:w="851" w:type="dxa"/>
            <w:vAlign w:val="center"/>
          </w:tcPr>
          <w:p w14:paraId="77137052"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1</w:t>
            </w:r>
          </w:p>
        </w:tc>
        <w:tc>
          <w:tcPr>
            <w:tcW w:w="947" w:type="dxa"/>
            <w:vAlign w:val="center"/>
          </w:tcPr>
          <w:p w14:paraId="3FC8F2CD" w14:textId="77777777" w:rsidR="00195719" w:rsidRPr="00195719" w:rsidRDefault="00195719" w:rsidP="00195719">
            <w:pPr>
              <w:spacing w:line="240" w:lineRule="auto"/>
              <w:jc w:val="center"/>
              <w:rPr>
                <w:rFonts w:ascii="Times New Roman" w:hAnsi="Times New Roman" w:cs="Times New Roman"/>
                <w:spacing w:val="5"/>
                <w:sz w:val="18"/>
                <w:szCs w:val="18"/>
              </w:rPr>
            </w:pPr>
            <w:r w:rsidRPr="00195719">
              <w:rPr>
                <w:rFonts w:ascii="Times New Roman" w:hAnsi="Times New Roman" w:cs="Times New Roman"/>
                <w:spacing w:val="5"/>
                <w:sz w:val="18"/>
                <w:szCs w:val="18"/>
              </w:rPr>
              <w:t>2</w:t>
            </w:r>
          </w:p>
        </w:tc>
        <w:tc>
          <w:tcPr>
            <w:tcW w:w="1321" w:type="dxa"/>
            <w:vAlign w:val="center"/>
          </w:tcPr>
          <w:p w14:paraId="1B177A5E"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2</w:t>
            </w:r>
          </w:p>
        </w:tc>
      </w:tr>
      <w:tr w:rsidR="00195719" w:rsidRPr="000A3DC2" w14:paraId="14978389" w14:textId="77777777" w:rsidTr="009F6236">
        <w:trPr>
          <w:trHeight w:val="126"/>
        </w:trPr>
        <w:tc>
          <w:tcPr>
            <w:tcW w:w="2977" w:type="dxa"/>
            <w:vAlign w:val="center"/>
          </w:tcPr>
          <w:p w14:paraId="0E957688" w14:textId="77777777" w:rsidR="00195719" w:rsidRPr="00195719" w:rsidRDefault="00195719" w:rsidP="00195719">
            <w:pPr>
              <w:spacing w:line="240" w:lineRule="auto"/>
              <w:rPr>
                <w:rFonts w:ascii="Times New Roman" w:hAnsi="Times New Roman" w:cs="Times New Roman"/>
                <w:sz w:val="18"/>
                <w:szCs w:val="18"/>
              </w:rPr>
            </w:pPr>
            <w:r w:rsidRPr="00195719">
              <w:rPr>
                <w:rFonts w:ascii="Times New Roman" w:hAnsi="Times New Roman" w:cs="Times New Roman"/>
                <w:spacing w:val="5"/>
                <w:sz w:val="18"/>
                <w:szCs w:val="18"/>
              </w:rPr>
              <w:t>Коэффициент чистой финансовой независимости</w:t>
            </w:r>
          </w:p>
        </w:tc>
        <w:tc>
          <w:tcPr>
            <w:tcW w:w="851" w:type="dxa"/>
            <w:vAlign w:val="center"/>
          </w:tcPr>
          <w:p w14:paraId="16F103F8"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81</w:t>
            </w:r>
          </w:p>
        </w:tc>
        <w:tc>
          <w:tcPr>
            <w:tcW w:w="992" w:type="dxa"/>
            <w:vAlign w:val="center"/>
          </w:tcPr>
          <w:p w14:paraId="3731FC4A"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93</w:t>
            </w:r>
          </w:p>
        </w:tc>
        <w:tc>
          <w:tcPr>
            <w:tcW w:w="1417" w:type="dxa"/>
            <w:vAlign w:val="center"/>
          </w:tcPr>
          <w:p w14:paraId="13A86965"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94</w:t>
            </w:r>
          </w:p>
        </w:tc>
        <w:tc>
          <w:tcPr>
            <w:tcW w:w="851" w:type="dxa"/>
            <w:vAlign w:val="center"/>
          </w:tcPr>
          <w:p w14:paraId="3EDFF83F"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pacing w:val="5"/>
                <w:sz w:val="18"/>
                <w:szCs w:val="18"/>
              </w:rPr>
              <w:t>110</w:t>
            </w:r>
          </w:p>
        </w:tc>
        <w:tc>
          <w:tcPr>
            <w:tcW w:w="947" w:type="dxa"/>
            <w:vAlign w:val="center"/>
          </w:tcPr>
          <w:p w14:paraId="31435756" w14:textId="77777777" w:rsidR="00195719" w:rsidRPr="00195719" w:rsidRDefault="00195719" w:rsidP="00195719">
            <w:pPr>
              <w:spacing w:line="240" w:lineRule="auto"/>
              <w:jc w:val="center"/>
              <w:rPr>
                <w:rFonts w:ascii="Times New Roman" w:hAnsi="Times New Roman" w:cs="Times New Roman"/>
                <w:spacing w:val="5"/>
                <w:sz w:val="18"/>
                <w:szCs w:val="18"/>
              </w:rPr>
            </w:pPr>
            <w:r w:rsidRPr="00195719">
              <w:rPr>
                <w:rFonts w:ascii="Times New Roman" w:hAnsi="Times New Roman" w:cs="Times New Roman"/>
                <w:spacing w:val="5"/>
                <w:sz w:val="18"/>
                <w:szCs w:val="18"/>
              </w:rPr>
              <w:t>79</w:t>
            </w:r>
          </w:p>
        </w:tc>
        <w:tc>
          <w:tcPr>
            <w:tcW w:w="1321" w:type="dxa"/>
            <w:vAlign w:val="center"/>
          </w:tcPr>
          <w:p w14:paraId="7F7A5EE5"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92</w:t>
            </w:r>
          </w:p>
        </w:tc>
      </w:tr>
      <w:tr w:rsidR="00195719" w:rsidRPr="000A3DC2" w14:paraId="21002B31" w14:textId="77777777" w:rsidTr="006943F7">
        <w:trPr>
          <w:trHeight w:val="70"/>
        </w:trPr>
        <w:tc>
          <w:tcPr>
            <w:tcW w:w="2977" w:type="dxa"/>
            <w:vAlign w:val="center"/>
          </w:tcPr>
          <w:p w14:paraId="139DDA7E" w14:textId="77777777" w:rsidR="00195719" w:rsidRPr="00195719" w:rsidRDefault="00195719" w:rsidP="00195719">
            <w:pPr>
              <w:spacing w:line="240" w:lineRule="auto"/>
              <w:rPr>
                <w:rFonts w:ascii="Times New Roman" w:hAnsi="Times New Roman" w:cs="Times New Roman"/>
                <w:sz w:val="18"/>
                <w:szCs w:val="18"/>
              </w:rPr>
            </w:pPr>
            <w:r w:rsidRPr="00195719">
              <w:rPr>
                <w:rFonts w:ascii="Times New Roman" w:hAnsi="Times New Roman" w:cs="Times New Roman"/>
                <w:spacing w:val="5"/>
                <w:sz w:val="18"/>
                <w:szCs w:val="18"/>
              </w:rPr>
              <w:t>Коэффициент чистой налоговой независимости</w:t>
            </w:r>
          </w:p>
        </w:tc>
        <w:tc>
          <w:tcPr>
            <w:tcW w:w="851" w:type="dxa"/>
            <w:vAlign w:val="center"/>
          </w:tcPr>
          <w:p w14:paraId="29D3BE56"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75</w:t>
            </w:r>
          </w:p>
        </w:tc>
        <w:tc>
          <w:tcPr>
            <w:tcW w:w="992" w:type="dxa"/>
            <w:vAlign w:val="center"/>
          </w:tcPr>
          <w:p w14:paraId="3B39A350"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pacing w:val="5"/>
                <w:sz w:val="18"/>
                <w:szCs w:val="18"/>
              </w:rPr>
              <w:t>72</w:t>
            </w:r>
          </w:p>
        </w:tc>
        <w:tc>
          <w:tcPr>
            <w:tcW w:w="1417" w:type="dxa"/>
            <w:vAlign w:val="center"/>
          </w:tcPr>
          <w:p w14:paraId="2D3B0523"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78</w:t>
            </w:r>
          </w:p>
        </w:tc>
        <w:tc>
          <w:tcPr>
            <w:tcW w:w="851" w:type="dxa"/>
            <w:vAlign w:val="center"/>
          </w:tcPr>
          <w:p w14:paraId="4C40D7B8"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pacing w:val="5"/>
                <w:sz w:val="18"/>
                <w:szCs w:val="18"/>
              </w:rPr>
              <w:t>64</w:t>
            </w:r>
          </w:p>
        </w:tc>
        <w:tc>
          <w:tcPr>
            <w:tcW w:w="947" w:type="dxa"/>
            <w:vAlign w:val="center"/>
          </w:tcPr>
          <w:p w14:paraId="6EA09D09" w14:textId="77777777" w:rsidR="00195719" w:rsidRPr="00195719" w:rsidRDefault="00195719" w:rsidP="00195719">
            <w:pPr>
              <w:spacing w:line="240" w:lineRule="auto"/>
              <w:jc w:val="center"/>
              <w:rPr>
                <w:rFonts w:ascii="Times New Roman" w:hAnsi="Times New Roman" w:cs="Times New Roman"/>
                <w:spacing w:val="5"/>
                <w:sz w:val="18"/>
                <w:szCs w:val="18"/>
              </w:rPr>
            </w:pPr>
            <w:r w:rsidRPr="00195719">
              <w:rPr>
                <w:rFonts w:ascii="Times New Roman" w:hAnsi="Times New Roman" w:cs="Times New Roman"/>
                <w:spacing w:val="5"/>
                <w:sz w:val="18"/>
                <w:szCs w:val="18"/>
              </w:rPr>
              <w:t>83</w:t>
            </w:r>
          </w:p>
        </w:tc>
        <w:tc>
          <w:tcPr>
            <w:tcW w:w="1321" w:type="dxa"/>
            <w:vAlign w:val="center"/>
          </w:tcPr>
          <w:p w14:paraId="22B55164"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pacing w:val="5"/>
                <w:sz w:val="18"/>
                <w:szCs w:val="18"/>
              </w:rPr>
              <w:t>72</w:t>
            </w:r>
          </w:p>
        </w:tc>
      </w:tr>
      <w:tr w:rsidR="00195719" w:rsidRPr="000A3DC2" w14:paraId="06015B72" w14:textId="77777777" w:rsidTr="006943F7">
        <w:trPr>
          <w:trHeight w:val="70"/>
        </w:trPr>
        <w:tc>
          <w:tcPr>
            <w:tcW w:w="2977" w:type="dxa"/>
            <w:vAlign w:val="center"/>
          </w:tcPr>
          <w:p w14:paraId="1E85C3AE" w14:textId="77777777" w:rsidR="00195719" w:rsidRPr="00195719" w:rsidRDefault="00195719" w:rsidP="00195719">
            <w:pPr>
              <w:spacing w:line="240" w:lineRule="auto"/>
              <w:rPr>
                <w:rFonts w:ascii="Times New Roman" w:hAnsi="Times New Roman" w:cs="Times New Roman"/>
                <w:sz w:val="18"/>
                <w:szCs w:val="18"/>
              </w:rPr>
            </w:pPr>
            <w:r w:rsidRPr="00195719">
              <w:rPr>
                <w:rFonts w:ascii="Times New Roman" w:hAnsi="Times New Roman" w:cs="Times New Roman"/>
                <w:spacing w:val="5"/>
                <w:sz w:val="18"/>
                <w:szCs w:val="18"/>
              </w:rPr>
              <w:t xml:space="preserve">Коэффициент </w:t>
            </w:r>
            <w:proofErr w:type="spellStart"/>
            <w:r w:rsidRPr="00195719">
              <w:rPr>
                <w:rFonts w:ascii="Times New Roman" w:hAnsi="Times New Roman" w:cs="Times New Roman"/>
                <w:spacing w:val="5"/>
                <w:sz w:val="18"/>
                <w:szCs w:val="18"/>
              </w:rPr>
              <w:t>дотационности</w:t>
            </w:r>
            <w:proofErr w:type="spellEnd"/>
            <w:r w:rsidRPr="00195719">
              <w:rPr>
                <w:rFonts w:ascii="Times New Roman" w:hAnsi="Times New Roman" w:cs="Times New Roman"/>
                <w:spacing w:val="5"/>
                <w:sz w:val="18"/>
                <w:szCs w:val="18"/>
              </w:rPr>
              <w:t xml:space="preserve"> региона</w:t>
            </w:r>
          </w:p>
        </w:tc>
        <w:tc>
          <w:tcPr>
            <w:tcW w:w="851" w:type="dxa"/>
            <w:vAlign w:val="center"/>
          </w:tcPr>
          <w:p w14:paraId="0CB0ABA0"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6</w:t>
            </w:r>
          </w:p>
        </w:tc>
        <w:tc>
          <w:tcPr>
            <w:tcW w:w="992" w:type="dxa"/>
            <w:vAlign w:val="center"/>
          </w:tcPr>
          <w:p w14:paraId="70B4E28D"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5</w:t>
            </w:r>
          </w:p>
        </w:tc>
        <w:tc>
          <w:tcPr>
            <w:tcW w:w="1417" w:type="dxa"/>
            <w:vAlign w:val="center"/>
          </w:tcPr>
          <w:p w14:paraId="66643BB9"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6</w:t>
            </w:r>
          </w:p>
        </w:tc>
        <w:tc>
          <w:tcPr>
            <w:tcW w:w="851" w:type="dxa"/>
            <w:vAlign w:val="center"/>
          </w:tcPr>
          <w:p w14:paraId="2E5415D4"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pacing w:val="5"/>
                <w:sz w:val="18"/>
                <w:szCs w:val="18"/>
              </w:rPr>
              <w:t>3</w:t>
            </w:r>
          </w:p>
        </w:tc>
        <w:tc>
          <w:tcPr>
            <w:tcW w:w="947" w:type="dxa"/>
            <w:vAlign w:val="center"/>
          </w:tcPr>
          <w:p w14:paraId="6AD635E3" w14:textId="77777777" w:rsidR="00195719" w:rsidRPr="00195719" w:rsidRDefault="00195719" w:rsidP="00195719">
            <w:pPr>
              <w:spacing w:line="240" w:lineRule="auto"/>
              <w:jc w:val="center"/>
              <w:rPr>
                <w:rFonts w:ascii="Times New Roman" w:hAnsi="Times New Roman" w:cs="Times New Roman"/>
                <w:spacing w:val="5"/>
                <w:sz w:val="18"/>
                <w:szCs w:val="18"/>
              </w:rPr>
            </w:pPr>
            <w:r w:rsidRPr="00195719">
              <w:rPr>
                <w:rFonts w:ascii="Times New Roman" w:hAnsi="Times New Roman" w:cs="Times New Roman"/>
                <w:spacing w:val="5"/>
                <w:sz w:val="18"/>
                <w:szCs w:val="18"/>
              </w:rPr>
              <w:t>0</w:t>
            </w:r>
          </w:p>
        </w:tc>
        <w:tc>
          <w:tcPr>
            <w:tcW w:w="1321" w:type="dxa"/>
            <w:vAlign w:val="center"/>
          </w:tcPr>
          <w:p w14:paraId="36DE376F" w14:textId="77777777" w:rsidR="00195719" w:rsidRPr="00195719" w:rsidRDefault="00195719" w:rsidP="00195719">
            <w:pPr>
              <w:spacing w:line="240" w:lineRule="auto"/>
              <w:jc w:val="center"/>
              <w:rPr>
                <w:rFonts w:ascii="Times New Roman" w:hAnsi="Times New Roman" w:cs="Times New Roman"/>
                <w:sz w:val="18"/>
                <w:szCs w:val="18"/>
              </w:rPr>
            </w:pPr>
            <w:r w:rsidRPr="00195719">
              <w:rPr>
                <w:rFonts w:ascii="Times New Roman" w:hAnsi="Times New Roman" w:cs="Times New Roman"/>
                <w:sz w:val="18"/>
                <w:szCs w:val="18"/>
              </w:rPr>
              <w:t>3</w:t>
            </w:r>
          </w:p>
        </w:tc>
      </w:tr>
      <w:tr w:rsidR="00195719" w:rsidRPr="000A3DC2" w14:paraId="7A86134D" w14:textId="77777777" w:rsidTr="006943F7">
        <w:trPr>
          <w:trHeight w:val="70"/>
        </w:trPr>
        <w:tc>
          <w:tcPr>
            <w:tcW w:w="9356" w:type="dxa"/>
            <w:gridSpan w:val="7"/>
          </w:tcPr>
          <w:p w14:paraId="7D1DC7C7" w14:textId="7E200ECE" w:rsidR="00195719" w:rsidRPr="009F6236" w:rsidRDefault="00195719" w:rsidP="00195719">
            <w:pPr>
              <w:spacing w:line="240" w:lineRule="auto"/>
              <w:rPr>
                <w:rFonts w:ascii="Times New Roman" w:hAnsi="Times New Roman" w:cs="Times New Roman"/>
                <w:sz w:val="18"/>
                <w:szCs w:val="18"/>
              </w:rPr>
            </w:pPr>
            <w:r w:rsidRPr="00195719">
              <w:rPr>
                <w:rFonts w:ascii="Times New Roman" w:hAnsi="Times New Roman" w:cs="Times New Roman"/>
                <w:sz w:val="18"/>
                <w:szCs w:val="18"/>
              </w:rPr>
              <w:t>Источник: рассчитано автором</w:t>
            </w:r>
            <w:r>
              <w:rPr>
                <w:rFonts w:ascii="Times New Roman" w:hAnsi="Times New Roman" w:cs="Times New Roman"/>
                <w:sz w:val="18"/>
                <w:szCs w:val="18"/>
              </w:rPr>
              <w:t xml:space="preserve"> на материалах</w:t>
            </w:r>
            <w:r w:rsidR="009F6236" w:rsidRPr="009F6236">
              <w:rPr>
                <w:rFonts w:ascii="Times New Roman" w:hAnsi="Times New Roman" w:cs="Times New Roman"/>
                <w:sz w:val="18"/>
                <w:szCs w:val="18"/>
              </w:rPr>
              <w:t xml:space="preserve"> [1,2,3,4</w:t>
            </w:r>
            <w:r w:rsidR="00AC339F" w:rsidRPr="00AC339F">
              <w:rPr>
                <w:rFonts w:ascii="Times New Roman" w:hAnsi="Times New Roman" w:cs="Times New Roman"/>
                <w:sz w:val="18"/>
                <w:szCs w:val="18"/>
              </w:rPr>
              <w:t>,5</w:t>
            </w:r>
            <w:r w:rsidR="009F6236" w:rsidRPr="009F6236">
              <w:rPr>
                <w:rFonts w:ascii="Times New Roman" w:hAnsi="Times New Roman" w:cs="Times New Roman"/>
                <w:sz w:val="18"/>
                <w:szCs w:val="18"/>
              </w:rPr>
              <w:t>].</w:t>
            </w:r>
          </w:p>
        </w:tc>
      </w:tr>
    </w:tbl>
    <w:p w14:paraId="049F747A" w14:textId="77777777" w:rsidR="00195719" w:rsidRPr="000A3DC2" w:rsidRDefault="00195719" w:rsidP="00195719">
      <w:pPr>
        <w:spacing w:after="0" w:line="360" w:lineRule="auto"/>
        <w:ind w:firstLine="709"/>
        <w:jc w:val="center"/>
        <w:rPr>
          <w:rFonts w:ascii="Times New Roman" w:hAnsi="Times New Roman" w:cs="Times New Roman"/>
        </w:rPr>
      </w:pPr>
    </w:p>
    <w:p w14:paraId="74441767" w14:textId="0596B65F" w:rsidR="00195719" w:rsidRPr="006943F7" w:rsidRDefault="00195719" w:rsidP="006943F7">
      <w:pPr>
        <w:spacing w:after="0" w:line="240" w:lineRule="auto"/>
        <w:ind w:firstLine="709"/>
        <w:jc w:val="both"/>
        <w:rPr>
          <w:rFonts w:ascii="Times New Roman" w:hAnsi="Times New Roman" w:cs="Times New Roman"/>
        </w:rPr>
      </w:pPr>
      <w:r w:rsidRPr="006943F7">
        <w:rPr>
          <w:rFonts w:ascii="Times New Roman" w:hAnsi="Times New Roman" w:cs="Times New Roman"/>
        </w:rPr>
        <w:t xml:space="preserve">Из полученных значений коэффициентов, представленных в таблице </w:t>
      </w:r>
      <w:r w:rsidR="009F6236" w:rsidRPr="006943F7">
        <w:rPr>
          <w:rFonts w:ascii="Times New Roman" w:hAnsi="Times New Roman" w:cs="Times New Roman"/>
        </w:rPr>
        <w:t>2</w:t>
      </w:r>
      <w:r w:rsidRPr="006943F7">
        <w:rPr>
          <w:rFonts w:ascii="Times New Roman" w:hAnsi="Times New Roman" w:cs="Times New Roman"/>
        </w:rPr>
        <w:t>, можно сделать следующие выводы:</w:t>
      </w:r>
    </w:p>
    <w:p w14:paraId="7342B543" w14:textId="77777777" w:rsidR="00195719" w:rsidRPr="006943F7" w:rsidRDefault="00195719" w:rsidP="006943F7">
      <w:pPr>
        <w:pStyle w:val="a6"/>
        <w:numPr>
          <w:ilvl w:val="0"/>
          <w:numId w:val="6"/>
        </w:numPr>
        <w:tabs>
          <w:tab w:val="left" w:pos="1134"/>
        </w:tabs>
        <w:spacing w:after="0" w:line="240" w:lineRule="auto"/>
        <w:ind w:left="0" w:firstLine="709"/>
        <w:jc w:val="both"/>
        <w:rPr>
          <w:rFonts w:ascii="Times New Roman" w:hAnsi="Times New Roman" w:cs="Times New Roman"/>
        </w:rPr>
      </w:pPr>
      <w:r w:rsidRPr="006943F7">
        <w:rPr>
          <w:rFonts w:ascii="Times New Roman" w:hAnsi="Times New Roman" w:cs="Times New Roman"/>
        </w:rPr>
        <w:t xml:space="preserve">Коэффициент долговой нагрузки Вологодской области на всем рассматриваемом периоде в среднем имел значение 24%. Наибольшая налоговая нагрузка была в 2015 году </w:t>
      </w:r>
      <w:r w:rsidRPr="006943F7">
        <w:rPr>
          <w:rFonts w:ascii="Times New Roman" w:hAnsi="Times New Roman" w:cs="Times New Roman"/>
        </w:rPr>
        <w:lastRenderedPageBreak/>
        <w:t xml:space="preserve">что отражало наличие существенной долговой нагрузки. Однако в последующие года до 2021, Вологодская область снижала долговую нагрузку. После 2021 года наблюдался рост коэффициента, который в 2024 году достиг 12%. </w:t>
      </w:r>
    </w:p>
    <w:p w14:paraId="6130CC71" w14:textId="77777777" w:rsidR="00195719" w:rsidRPr="006943F7" w:rsidRDefault="00195719" w:rsidP="006943F7">
      <w:pPr>
        <w:pStyle w:val="a6"/>
        <w:numPr>
          <w:ilvl w:val="0"/>
          <w:numId w:val="5"/>
        </w:numPr>
        <w:tabs>
          <w:tab w:val="left" w:pos="1134"/>
        </w:tabs>
        <w:spacing w:after="0" w:line="240" w:lineRule="auto"/>
        <w:ind w:left="0" w:firstLine="709"/>
        <w:jc w:val="both"/>
        <w:rPr>
          <w:rFonts w:ascii="Times New Roman" w:hAnsi="Times New Roman" w:cs="Times New Roman"/>
        </w:rPr>
      </w:pPr>
      <w:r w:rsidRPr="006943F7">
        <w:rPr>
          <w:rFonts w:ascii="Times New Roman" w:hAnsi="Times New Roman" w:cs="Times New Roman"/>
        </w:rPr>
        <w:t>Отношение долга к ВРП за рассматриваемый период 2015-2024 гг. являлось низким, поскольку значение коэффициента не превышало 15%.</w:t>
      </w:r>
    </w:p>
    <w:p w14:paraId="281FE3B1" w14:textId="77777777" w:rsidR="00195719" w:rsidRPr="006943F7" w:rsidRDefault="00195719" w:rsidP="006943F7">
      <w:pPr>
        <w:pStyle w:val="a6"/>
        <w:numPr>
          <w:ilvl w:val="0"/>
          <w:numId w:val="5"/>
        </w:numPr>
        <w:tabs>
          <w:tab w:val="left" w:pos="1134"/>
        </w:tabs>
        <w:spacing w:after="0" w:line="240" w:lineRule="auto"/>
        <w:ind w:left="0" w:firstLine="709"/>
        <w:jc w:val="both"/>
        <w:rPr>
          <w:rFonts w:ascii="Times New Roman" w:hAnsi="Times New Roman" w:cs="Times New Roman"/>
        </w:rPr>
      </w:pPr>
      <w:r w:rsidRPr="006943F7">
        <w:rPr>
          <w:rFonts w:ascii="Times New Roman" w:hAnsi="Times New Roman" w:cs="Times New Roman"/>
        </w:rPr>
        <w:t>Чистая финансовая независимость Вологодской области находилась на стабильном уровне, не демонстрируя сильную зависимость региона от федеральных трансфертов. Наибольшее значение коэффициента зафиксировано в 2021 году (110%), значит, что регион мог полностью покрыть собственные расходы собственными доходами, причем оставался определенный излишек финансовых средств, что могло послужить стратегическим резервом. После 2022 года региону удалось сохранить заметную бюджетную независимость, в 2023 году показатель незначительно превысил среднее значение за рассматриваемый период. В 2024 году значение коэффициента составило 79%, что может указывать на снижение финансовой независимости региона от федеральных трансфертов.</w:t>
      </w:r>
    </w:p>
    <w:p w14:paraId="6A6ED291" w14:textId="77777777" w:rsidR="00195719" w:rsidRPr="006943F7" w:rsidRDefault="00195719" w:rsidP="006943F7">
      <w:pPr>
        <w:pStyle w:val="a6"/>
        <w:numPr>
          <w:ilvl w:val="0"/>
          <w:numId w:val="5"/>
        </w:numPr>
        <w:tabs>
          <w:tab w:val="left" w:pos="1134"/>
        </w:tabs>
        <w:spacing w:after="0" w:line="240" w:lineRule="auto"/>
        <w:ind w:left="0" w:firstLine="709"/>
        <w:jc w:val="both"/>
        <w:rPr>
          <w:rFonts w:ascii="Times New Roman" w:hAnsi="Times New Roman" w:cs="Times New Roman"/>
        </w:rPr>
      </w:pPr>
      <w:r w:rsidRPr="006943F7">
        <w:rPr>
          <w:rFonts w:ascii="Times New Roman" w:hAnsi="Times New Roman" w:cs="Times New Roman"/>
        </w:rPr>
        <w:t>Коэффициент чистой налоговой независимости имел наибольшее значение в 2018 году (84%). Динамика увеличения данного показателя сигнализирует о том, что регион постепенно увеличивал долю собственных налоговых доходов и сокращал зависимость от межбюджетных трансфертов. Значение коэффициента в 2024 году превышало среднее значение за рассматриваемый период на 11%.</w:t>
      </w:r>
    </w:p>
    <w:p w14:paraId="3890F9A4" w14:textId="4E096200" w:rsidR="00195719" w:rsidRPr="006943F7" w:rsidRDefault="00195719" w:rsidP="006943F7">
      <w:pPr>
        <w:pStyle w:val="a6"/>
        <w:numPr>
          <w:ilvl w:val="0"/>
          <w:numId w:val="5"/>
        </w:numPr>
        <w:tabs>
          <w:tab w:val="left" w:pos="1134"/>
        </w:tabs>
        <w:spacing w:after="0" w:line="240" w:lineRule="auto"/>
        <w:ind w:left="0" w:firstLine="709"/>
        <w:jc w:val="both"/>
        <w:rPr>
          <w:rFonts w:ascii="Times New Roman" w:hAnsi="Times New Roman" w:cs="Times New Roman"/>
        </w:rPr>
      </w:pPr>
      <w:r w:rsidRPr="006943F7">
        <w:rPr>
          <w:rFonts w:ascii="Times New Roman" w:hAnsi="Times New Roman" w:cs="Times New Roman"/>
        </w:rPr>
        <w:t xml:space="preserve">Коэффициент </w:t>
      </w:r>
      <w:proofErr w:type="spellStart"/>
      <w:r w:rsidRPr="006943F7">
        <w:rPr>
          <w:rFonts w:ascii="Times New Roman" w:hAnsi="Times New Roman" w:cs="Times New Roman"/>
        </w:rPr>
        <w:t>дотационности</w:t>
      </w:r>
      <w:proofErr w:type="spellEnd"/>
      <w:r w:rsidRPr="006943F7">
        <w:rPr>
          <w:rFonts w:ascii="Times New Roman" w:hAnsi="Times New Roman" w:cs="Times New Roman"/>
        </w:rPr>
        <w:t xml:space="preserve"> региона свидетельствует о независимости Вологодской области от предоставляемых дотаций из федерального бюджета, поскольку значение коэффициента за 2022–2024 гг. колебался на уровне 0-1%.</w:t>
      </w:r>
    </w:p>
    <w:p w14:paraId="59017B7B" w14:textId="6EB6B16F" w:rsidR="00AC339F" w:rsidRPr="006943F7" w:rsidRDefault="006943F7" w:rsidP="006943F7">
      <w:pPr>
        <w:pStyle w:val="a6"/>
        <w:tabs>
          <w:tab w:val="left" w:pos="1134"/>
        </w:tabs>
        <w:spacing w:after="0" w:line="240" w:lineRule="auto"/>
        <w:ind w:left="0" w:firstLine="709"/>
        <w:jc w:val="both"/>
        <w:rPr>
          <w:rFonts w:ascii="Times New Roman" w:hAnsi="Times New Roman" w:cs="Times New Roman"/>
        </w:rPr>
      </w:pPr>
      <w:r w:rsidRPr="006943F7">
        <w:rPr>
          <w:rFonts w:ascii="Times New Roman" w:hAnsi="Times New Roman" w:cs="Times New Roman"/>
        </w:rPr>
        <w:t>Таким образом, погашение коммерческих кредитов улучшило бюджетное развитие Вологодской области, что проявилось в снижении долговой нагрузки и повышении привлекательности региона для дополнительных инвестиций как государственного, так и частного характера. Однако следует отметить, что некоторые социальные и экономические показатели (например, динамика реальных доходов населения) все еще остаются зависимыми от внешних факторов, что требует дальнейшего улучшения управления бюджетными ресурсами.</w:t>
      </w:r>
    </w:p>
    <w:p w14:paraId="69EE1687" w14:textId="28EB0396" w:rsidR="00195719" w:rsidRPr="006943F7" w:rsidRDefault="00AC339F" w:rsidP="006943F7">
      <w:pPr>
        <w:spacing w:after="0" w:line="240" w:lineRule="auto"/>
        <w:ind w:firstLine="709"/>
        <w:jc w:val="center"/>
        <w:rPr>
          <w:rFonts w:ascii="Times New Roman" w:hAnsi="Times New Roman" w:cs="Times New Roman"/>
          <w:b/>
          <w:bCs/>
        </w:rPr>
      </w:pPr>
      <w:r w:rsidRPr="006943F7">
        <w:rPr>
          <w:rFonts w:ascii="Times New Roman" w:hAnsi="Times New Roman" w:cs="Times New Roman"/>
          <w:b/>
          <w:bCs/>
        </w:rPr>
        <w:t>Библиографический список</w:t>
      </w:r>
    </w:p>
    <w:p w14:paraId="3DB8991F" w14:textId="6DD705C9" w:rsidR="00AC339F" w:rsidRPr="006943F7" w:rsidRDefault="00AC339F" w:rsidP="006943F7">
      <w:pPr>
        <w:pStyle w:val="a6"/>
        <w:numPr>
          <w:ilvl w:val="0"/>
          <w:numId w:val="14"/>
        </w:numPr>
        <w:tabs>
          <w:tab w:val="left" w:pos="1134"/>
        </w:tabs>
        <w:spacing w:after="0" w:line="240" w:lineRule="auto"/>
        <w:ind w:left="0" w:firstLine="709"/>
        <w:jc w:val="both"/>
        <w:rPr>
          <w:rFonts w:ascii="Times New Roman" w:hAnsi="Times New Roman" w:cs="Times New Roman"/>
        </w:rPr>
      </w:pPr>
      <w:proofErr w:type="spellStart"/>
      <w:r w:rsidRPr="006943F7">
        <w:rPr>
          <w:rFonts w:ascii="Times New Roman" w:hAnsi="Times New Roman" w:cs="Times New Roman"/>
        </w:rPr>
        <w:t>Гладковская</w:t>
      </w:r>
      <w:proofErr w:type="spellEnd"/>
      <w:r w:rsidRPr="006943F7">
        <w:rPr>
          <w:rFonts w:ascii="Times New Roman" w:hAnsi="Times New Roman" w:cs="Times New Roman"/>
        </w:rPr>
        <w:t xml:space="preserve"> Е.Н., </w:t>
      </w:r>
      <w:proofErr w:type="spellStart"/>
      <w:r w:rsidRPr="006943F7">
        <w:rPr>
          <w:rFonts w:ascii="Times New Roman" w:hAnsi="Times New Roman" w:cs="Times New Roman"/>
        </w:rPr>
        <w:t>Цало</w:t>
      </w:r>
      <w:proofErr w:type="spellEnd"/>
      <w:r w:rsidRPr="006943F7">
        <w:rPr>
          <w:rFonts w:ascii="Times New Roman" w:hAnsi="Times New Roman" w:cs="Times New Roman"/>
        </w:rPr>
        <w:t xml:space="preserve"> И.М., Тетеркина Л.Б. (2017). Оценка финансовой устойчивости региональных бюджетов в России: методика и алгоритм ее применения // Вопросы управления. С.119-131. </w:t>
      </w:r>
      <w:r w:rsidRPr="006943F7">
        <w:rPr>
          <w:rFonts w:ascii="Times New Roman" w:hAnsi="Times New Roman" w:cs="Times New Roman"/>
          <w:lang w:val="en-US"/>
        </w:rPr>
        <w:t>URL</w:t>
      </w:r>
      <w:r w:rsidRPr="006943F7">
        <w:rPr>
          <w:rFonts w:ascii="Times New Roman" w:hAnsi="Times New Roman" w:cs="Times New Roman"/>
        </w:rPr>
        <w:t xml:space="preserve">: </w:t>
      </w:r>
      <w:r w:rsidRPr="006943F7">
        <w:rPr>
          <w:rFonts w:ascii="Times New Roman" w:hAnsi="Times New Roman" w:cs="Times New Roman"/>
          <w:lang w:val="en-US"/>
        </w:rPr>
        <w:t>https</w:t>
      </w:r>
      <w:r w:rsidRPr="006943F7">
        <w:rPr>
          <w:rFonts w:ascii="Times New Roman" w:hAnsi="Times New Roman" w:cs="Times New Roman"/>
        </w:rPr>
        <w:t>://</w:t>
      </w:r>
      <w:r w:rsidRPr="006943F7">
        <w:rPr>
          <w:rFonts w:ascii="Times New Roman" w:hAnsi="Times New Roman" w:cs="Times New Roman"/>
          <w:lang w:val="en-US"/>
        </w:rPr>
        <w:t>www</w:t>
      </w:r>
      <w:r w:rsidRPr="006943F7">
        <w:rPr>
          <w:rFonts w:ascii="Times New Roman" w:hAnsi="Times New Roman" w:cs="Times New Roman"/>
        </w:rPr>
        <w:t>.</w:t>
      </w:r>
      <w:proofErr w:type="spellStart"/>
      <w:r w:rsidRPr="006943F7">
        <w:rPr>
          <w:rFonts w:ascii="Times New Roman" w:hAnsi="Times New Roman" w:cs="Times New Roman"/>
          <w:lang w:val="en-US"/>
        </w:rPr>
        <w:t>elibrary</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ru</w:t>
      </w:r>
      <w:proofErr w:type="spellEnd"/>
      <w:r w:rsidRPr="006943F7">
        <w:rPr>
          <w:rFonts w:ascii="Times New Roman" w:hAnsi="Times New Roman" w:cs="Times New Roman"/>
        </w:rPr>
        <w:t>/</w:t>
      </w:r>
      <w:r w:rsidRPr="006943F7">
        <w:rPr>
          <w:rFonts w:ascii="Times New Roman" w:hAnsi="Times New Roman" w:cs="Times New Roman"/>
          <w:lang w:val="en-US"/>
        </w:rPr>
        <w:t>item</w:t>
      </w:r>
      <w:r w:rsidRPr="006943F7">
        <w:rPr>
          <w:rFonts w:ascii="Times New Roman" w:hAnsi="Times New Roman" w:cs="Times New Roman"/>
        </w:rPr>
        <w:t>.</w:t>
      </w:r>
      <w:r w:rsidRPr="006943F7">
        <w:rPr>
          <w:rFonts w:ascii="Times New Roman" w:hAnsi="Times New Roman" w:cs="Times New Roman"/>
          <w:lang w:val="en-US"/>
        </w:rPr>
        <w:t>asp</w:t>
      </w:r>
      <w:r w:rsidRPr="006943F7">
        <w:rPr>
          <w:rFonts w:ascii="Times New Roman" w:hAnsi="Times New Roman" w:cs="Times New Roman"/>
        </w:rPr>
        <w:t>?</w:t>
      </w:r>
      <w:r w:rsidRPr="006943F7">
        <w:rPr>
          <w:rFonts w:ascii="Times New Roman" w:hAnsi="Times New Roman" w:cs="Times New Roman"/>
          <w:lang w:val="en-US"/>
        </w:rPr>
        <w:t>id</w:t>
      </w:r>
      <w:r w:rsidRPr="006943F7">
        <w:rPr>
          <w:rFonts w:ascii="Times New Roman" w:hAnsi="Times New Roman" w:cs="Times New Roman"/>
        </w:rPr>
        <w:t>=32834793 (дата обращения: 24.02.2025).</w:t>
      </w:r>
    </w:p>
    <w:p w14:paraId="62BD2DED" w14:textId="2A9DE273" w:rsidR="00AC339F" w:rsidRPr="006943F7" w:rsidRDefault="00AC339F" w:rsidP="006943F7">
      <w:pPr>
        <w:pStyle w:val="a6"/>
        <w:numPr>
          <w:ilvl w:val="0"/>
          <w:numId w:val="14"/>
        </w:numPr>
        <w:tabs>
          <w:tab w:val="left" w:pos="1134"/>
        </w:tabs>
        <w:spacing w:after="0" w:line="240" w:lineRule="auto"/>
        <w:ind w:left="0" w:firstLine="709"/>
        <w:jc w:val="both"/>
        <w:rPr>
          <w:rFonts w:ascii="Times New Roman" w:hAnsi="Times New Roman" w:cs="Times New Roman"/>
        </w:rPr>
      </w:pPr>
      <w:r w:rsidRPr="006943F7">
        <w:rPr>
          <w:rFonts w:ascii="Times New Roman" w:hAnsi="Times New Roman" w:cs="Times New Roman"/>
        </w:rPr>
        <w:t xml:space="preserve">Домбровский Е.А. (2015). Десять шагов к сбалансированности бюджетов субъектов Российской Федерации // Финансы и кредит. Т.37. С. 52-64. </w:t>
      </w:r>
      <w:r w:rsidRPr="006943F7">
        <w:rPr>
          <w:rFonts w:ascii="Times New Roman" w:hAnsi="Times New Roman" w:cs="Times New Roman"/>
          <w:lang w:val="en-US"/>
        </w:rPr>
        <w:t>URL</w:t>
      </w:r>
      <w:r w:rsidRPr="006943F7">
        <w:rPr>
          <w:rFonts w:ascii="Times New Roman" w:hAnsi="Times New Roman" w:cs="Times New Roman"/>
        </w:rPr>
        <w:t xml:space="preserve">: </w:t>
      </w:r>
      <w:r w:rsidRPr="006943F7">
        <w:rPr>
          <w:rFonts w:ascii="Times New Roman" w:hAnsi="Times New Roman" w:cs="Times New Roman"/>
          <w:lang w:val="en-US"/>
        </w:rPr>
        <w:t>https</w:t>
      </w:r>
      <w:r w:rsidRPr="006943F7">
        <w:rPr>
          <w:rFonts w:ascii="Times New Roman" w:hAnsi="Times New Roman" w:cs="Times New Roman"/>
        </w:rPr>
        <w:t>://</w:t>
      </w:r>
      <w:proofErr w:type="spellStart"/>
      <w:r w:rsidRPr="006943F7">
        <w:rPr>
          <w:rFonts w:ascii="Times New Roman" w:hAnsi="Times New Roman" w:cs="Times New Roman"/>
          <w:lang w:val="en-US"/>
        </w:rPr>
        <w:t>cyberleninka</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ru</w:t>
      </w:r>
      <w:proofErr w:type="spellEnd"/>
      <w:r w:rsidRPr="006943F7">
        <w:rPr>
          <w:rFonts w:ascii="Times New Roman" w:hAnsi="Times New Roman" w:cs="Times New Roman"/>
        </w:rPr>
        <w:t>/</w:t>
      </w:r>
      <w:r w:rsidRPr="006943F7">
        <w:rPr>
          <w:rFonts w:ascii="Times New Roman" w:hAnsi="Times New Roman" w:cs="Times New Roman"/>
          <w:lang w:val="en-US"/>
        </w:rPr>
        <w:t>article</w:t>
      </w:r>
      <w:r w:rsidRPr="006943F7">
        <w:rPr>
          <w:rFonts w:ascii="Times New Roman" w:hAnsi="Times New Roman" w:cs="Times New Roman"/>
        </w:rPr>
        <w:t>/</w:t>
      </w:r>
      <w:r w:rsidRPr="006943F7">
        <w:rPr>
          <w:rFonts w:ascii="Times New Roman" w:hAnsi="Times New Roman" w:cs="Times New Roman"/>
          <w:lang w:val="en-US"/>
        </w:rPr>
        <w:t>n</w:t>
      </w:r>
      <w:r w:rsidRPr="006943F7">
        <w:rPr>
          <w:rFonts w:ascii="Times New Roman" w:hAnsi="Times New Roman" w:cs="Times New Roman"/>
        </w:rPr>
        <w:t>/</w:t>
      </w:r>
      <w:proofErr w:type="spellStart"/>
      <w:r w:rsidRPr="006943F7">
        <w:rPr>
          <w:rFonts w:ascii="Times New Roman" w:hAnsi="Times New Roman" w:cs="Times New Roman"/>
          <w:lang w:val="en-US"/>
        </w:rPr>
        <w:t>desyat</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shagov</w:t>
      </w:r>
      <w:proofErr w:type="spellEnd"/>
      <w:r w:rsidRPr="006943F7">
        <w:rPr>
          <w:rFonts w:ascii="Times New Roman" w:hAnsi="Times New Roman" w:cs="Times New Roman"/>
        </w:rPr>
        <w:t>-</w:t>
      </w:r>
      <w:r w:rsidRPr="006943F7">
        <w:rPr>
          <w:rFonts w:ascii="Times New Roman" w:hAnsi="Times New Roman" w:cs="Times New Roman"/>
          <w:lang w:val="en-US"/>
        </w:rPr>
        <w:t>k</w:t>
      </w:r>
      <w:r w:rsidRPr="006943F7">
        <w:rPr>
          <w:rFonts w:ascii="Times New Roman" w:hAnsi="Times New Roman" w:cs="Times New Roman"/>
        </w:rPr>
        <w:t>-</w:t>
      </w:r>
      <w:proofErr w:type="spellStart"/>
      <w:r w:rsidRPr="006943F7">
        <w:rPr>
          <w:rFonts w:ascii="Times New Roman" w:hAnsi="Times New Roman" w:cs="Times New Roman"/>
          <w:lang w:val="en-US"/>
        </w:rPr>
        <w:t>sbalansirovannosti</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byudzhetov</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subektov</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rossiyskoy</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federatsii</w:t>
      </w:r>
      <w:proofErr w:type="spellEnd"/>
      <w:r w:rsidRPr="006943F7">
        <w:rPr>
          <w:rFonts w:ascii="Times New Roman" w:hAnsi="Times New Roman" w:cs="Times New Roman"/>
        </w:rPr>
        <w:t>/</w:t>
      </w:r>
      <w:r w:rsidRPr="006943F7">
        <w:rPr>
          <w:rFonts w:ascii="Times New Roman" w:hAnsi="Times New Roman" w:cs="Times New Roman"/>
          <w:lang w:val="en-US"/>
        </w:rPr>
        <w:t>viewer</w:t>
      </w:r>
      <w:r w:rsidRPr="006943F7">
        <w:rPr>
          <w:rFonts w:ascii="Times New Roman" w:hAnsi="Times New Roman" w:cs="Times New Roman"/>
        </w:rPr>
        <w:t xml:space="preserve"> (дата обращения: 04.03.2025)</w:t>
      </w:r>
    </w:p>
    <w:p w14:paraId="65F2C5B6" w14:textId="77777777" w:rsidR="00AC339F" w:rsidRPr="006943F7" w:rsidRDefault="00AC339F" w:rsidP="006943F7">
      <w:pPr>
        <w:pStyle w:val="a6"/>
        <w:numPr>
          <w:ilvl w:val="0"/>
          <w:numId w:val="14"/>
        </w:numPr>
        <w:tabs>
          <w:tab w:val="left" w:pos="1134"/>
        </w:tabs>
        <w:spacing w:after="0" w:line="240" w:lineRule="auto"/>
        <w:ind w:left="0" w:firstLine="709"/>
        <w:contextualSpacing w:val="0"/>
        <w:jc w:val="both"/>
        <w:rPr>
          <w:rFonts w:ascii="Times New Roman" w:hAnsi="Times New Roman" w:cs="Times New Roman"/>
        </w:rPr>
      </w:pPr>
      <w:proofErr w:type="spellStart"/>
      <w:r w:rsidRPr="006943F7">
        <w:rPr>
          <w:rFonts w:ascii="Times New Roman" w:hAnsi="Times New Roman" w:cs="Times New Roman"/>
        </w:rPr>
        <w:t>Мохнаткина</w:t>
      </w:r>
      <w:proofErr w:type="spellEnd"/>
      <w:r w:rsidRPr="006943F7">
        <w:rPr>
          <w:rFonts w:ascii="Times New Roman" w:hAnsi="Times New Roman" w:cs="Times New Roman"/>
        </w:rPr>
        <w:t xml:space="preserve"> Л.Б. (2018). Сбалансированность бюджета и государственный долг как индикаторы финансово-бюджетной безопасности региона // Региональный финансы, №2. </w:t>
      </w:r>
      <w:r w:rsidRPr="006943F7">
        <w:rPr>
          <w:rFonts w:ascii="Times New Roman" w:hAnsi="Times New Roman" w:cs="Times New Roman"/>
          <w:lang w:val="en-US"/>
        </w:rPr>
        <w:t>URL</w:t>
      </w:r>
      <w:r w:rsidRPr="006943F7">
        <w:rPr>
          <w:rFonts w:ascii="Times New Roman" w:hAnsi="Times New Roman" w:cs="Times New Roman"/>
        </w:rPr>
        <w:t xml:space="preserve">: </w:t>
      </w:r>
      <w:r w:rsidRPr="006943F7">
        <w:rPr>
          <w:rFonts w:ascii="Times New Roman" w:hAnsi="Times New Roman" w:cs="Times New Roman"/>
          <w:lang w:val="en-US"/>
        </w:rPr>
        <w:t>https</w:t>
      </w:r>
      <w:r w:rsidRPr="006943F7">
        <w:rPr>
          <w:rFonts w:ascii="Times New Roman" w:hAnsi="Times New Roman" w:cs="Times New Roman"/>
        </w:rPr>
        <w:t>://</w:t>
      </w:r>
      <w:proofErr w:type="spellStart"/>
      <w:r w:rsidRPr="006943F7">
        <w:rPr>
          <w:rFonts w:ascii="Times New Roman" w:hAnsi="Times New Roman" w:cs="Times New Roman"/>
          <w:lang w:val="en-US"/>
        </w:rPr>
        <w:t>cyberleninka</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ru</w:t>
      </w:r>
      <w:proofErr w:type="spellEnd"/>
      <w:r w:rsidRPr="006943F7">
        <w:rPr>
          <w:rFonts w:ascii="Times New Roman" w:hAnsi="Times New Roman" w:cs="Times New Roman"/>
        </w:rPr>
        <w:t>/</w:t>
      </w:r>
      <w:r w:rsidRPr="006943F7">
        <w:rPr>
          <w:rFonts w:ascii="Times New Roman" w:hAnsi="Times New Roman" w:cs="Times New Roman"/>
          <w:lang w:val="en-US"/>
        </w:rPr>
        <w:t>article</w:t>
      </w:r>
      <w:r w:rsidRPr="006943F7">
        <w:rPr>
          <w:rFonts w:ascii="Times New Roman" w:hAnsi="Times New Roman" w:cs="Times New Roman"/>
        </w:rPr>
        <w:t>/</w:t>
      </w:r>
      <w:r w:rsidRPr="006943F7">
        <w:rPr>
          <w:rFonts w:ascii="Times New Roman" w:hAnsi="Times New Roman" w:cs="Times New Roman"/>
          <w:lang w:val="en-US"/>
        </w:rPr>
        <w:t>n</w:t>
      </w:r>
      <w:r w:rsidRPr="006943F7">
        <w:rPr>
          <w:rFonts w:ascii="Times New Roman" w:hAnsi="Times New Roman" w:cs="Times New Roman"/>
        </w:rPr>
        <w:t>/</w:t>
      </w:r>
      <w:proofErr w:type="spellStart"/>
      <w:r w:rsidRPr="006943F7">
        <w:rPr>
          <w:rFonts w:ascii="Times New Roman" w:hAnsi="Times New Roman" w:cs="Times New Roman"/>
          <w:lang w:val="en-US"/>
        </w:rPr>
        <w:t>sbalansirovannost</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byudzheta</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i</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gosudarstvennyy</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dolg</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kak</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indikatory</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finansovo</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byudzhetnoy</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bezopasnosti</w:t>
      </w:r>
      <w:proofErr w:type="spellEnd"/>
      <w:r w:rsidRPr="006943F7">
        <w:rPr>
          <w:rFonts w:ascii="Times New Roman" w:hAnsi="Times New Roman" w:cs="Times New Roman"/>
        </w:rPr>
        <w:t>-</w:t>
      </w:r>
      <w:proofErr w:type="spellStart"/>
      <w:r w:rsidRPr="006943F7">
        <w:rPr>
          <w:rFonts w:ascii="Times New Roman" w:hAnsi="Times New Roman" w:cs="Times New Roman"/>
          <w:lang w:val="en-US"/>
        </w:rPr>
        <w:t>regiona</w:t>
      </w:r>
      <w:proofErr w:type="spellEnd"/>
      <w:r w:rsidRPr="006943F7">
        <w:rPr>
          <w:rFonts w:ascii="Times New Roman" w:hAnsi="Times New Roman" w:cs="Times New Roman"/>
        </w:rPr>
        <w:t>/</w:t>
      </w:r>
      <w:r w:rsidRPr="006943F7">
        <w:rPr>
          <w:rFonts w:ascii="Times New Roman" w:hAnsi="Times New Roman" w:cs="Times New Roman"/>
          <w:lang w:val="en-US"/>
        </w:rPr>
        <w:t>viewer</w:t>
      </w:r>
      <w:r w:rsidRPr="006943F7">
        <w:rPr>
          <w:rFonts w:ascii="Times New Roman" w:hAnsi="Times New Roman" w:cs="Times New Roman"/>
        </w:rPr>
        <w:t xml:space="preserve"> (дата обращения: 12.03.2025).</w:t>
      </w:r>
    </w:p>
    <w:p w14:paraId="5AF56C87" w14:textId="204E000D" w:rsidR="00AC339F" w:rsidRPr="006943F7" w:rsidRDefault="00AC339F" w:rsidP="006943F7">
      <w:pPr>
        <w:pStyle w:val="a6"/>
        <w:numPr>
          <w:ilvl w:val="0"/>
          <w:numId w:val="14"/>
        </w:numPr>
        <w:tabs>
          <w:tab w:val="left" w:pos="1134"/>
        </w:tabs>
        <w:spacing w:after="0" w:line="240" w:lineRule="auto"/>
        <w:ind w:left="0" w:firstLine="709"/>
        <w:contextualSpacing w:val="0"/>
        <w:jc w:val="both"/>
        <w:rPr>
          <w:rFonts w:ascii="Times New Roman" w:hAnsi="Times New Roman" w:cs="Times New Roman"/>
        </w:rPr>
      </w:pPr>
      <w:proofErr w:type="spellStart"/>
      <w:r w:rsidRPr="006943F7">
        <w:rPr>
          <w:rFonts w:ascii="Times New Roman" w:hAnsi="Times New Roman" w:cs="Times New Roman"/>
        </w:rPr>
        <w:t>Печенская</w:t>
      </w:r>
      <w:proofErr w:type="spellEnd"/>
      <w:r w:rsidRPr="006943F7">
        <w:rPr>
          <w:rFonts w:ascii="Times New Roman" w:hAnsi="Times New Roman" w:cs="Times New Roman"/>
        </w:rPr>
        <w:t xml:space="preserve">-Полищук М.А. (2022). Привлечение в бюджетную систему заемных ресурсов. Эволюция научных взглядов и особенности практической реализации // Финансовый журнал. Т. 14. № 2. С. 26–42. </w:t>
      </w:r>
      <w:hyperlink r:id="rId10" w:history="1">
        <w:r w:rsidRPr="006943F7">
          <w:rPr>
            <w:rFonts w:ascii="Times New Roman" w:hAnsi="Times New Roman" w:cs="Times New Roman"/>
          </w:rPr>
          <w:t>https://doi.org/10.31107/2075-1990-2022-2-26-42</w:t>
        </w:r>
      </w:hyperlink>
    </w:p>
    <w:p w14:paraId="17E4E016" w14:textId="4CAF2FDF" w:rsidR="00AC339F" w:rsidRDefault="00AC339F" w:rsidP="006943F7">
      <w:pPr>
        <w:pStyle w:val="a6"/>
        <w:numPr>
          <w:ilvl w:val="0"/>
          <w:numId w:val="14"/>
        </w:numPr>
        <w:tabs>
          <w:tab w:val="left" w:pos="1134"/>
        </w:tabs>
        <w:spacing w:after="0" w:line="240" w:lineRule="auto"/>
        <w:ind w:left="0" w:firstLine="709"/>
        <w:contextualSpacing w:val="0"/>
        <w:jc w:val="both"/>
        <w:rPr>
          <w:rFonts w:ascii="Times New Roman" w:hAnsi="Times New Roman" w:cs="Times New Roman"/>
        </w:rPr>
      </w:pPr>
      <w:r w:rsidRPr="006943F7">
        <w:rPr>
          <w:rFonts w:ascii="Times New Roman" w:hAnsi="Times New Roman" w:cs="Times New Roman"/>
        </w:rPr>
        <w:t>Седова Н.В., Болотов Р.О. (2018). Оценка региональной бюджетной сбалансированности в Российской Федерации // Российское предпринимательство. Т. 19. №6. С. 1825-1838. URL: https://</w:t>
      </w:r>
      <w:proofErr w:type="spellStart"/>
      <w:r w:rsidRPr="006943F7">
        <w:rPr>
          <w:rFonts w:ascii="Times New Roman" w:hAnsi="Times New Roman" w:cs="Times New Roman"/>
        </w:rPr>
        <w:t>cyberleninka</w:t>
      </w:r>
      <w:proofErr w:type="spellEnd"/>
      <w:r w:rsidRPr="006943F7">
        <w:rPr>
          <w:rFonts w:ascii="Times New Roman" w:hAnsi="Times New Roman" w:cs="Times New Roman"/>
        </w:rPr>
        <w:t>.</w:t>
      </w:r>
      <w:proofErr w:type="spellStart"/>
      <w:r w:rsidRPr="006943F7">
        <w:rPr>
          <w:rFonts w:ascii="Times New Roman" w:hAnsi="Times New Roman" w:cs="Times New Roman"/>
        </w:rPr>
        <w:t>ru</w:t>
      </w:r>
      <w:proofErr w:type="spellEnd"/>
      <w:r w:rsidRPr="006943F7">
        <w:rPr>
          <w:rFonts w:ascii="Times New Roman" w:hAnsi="Times New Roman" w:cs="Times New Roman"/>
        </w:rPr>
        <w:t>/article/n/</w:t>
      </w:r>
      <w:proofErr w:type="spellStart"/>
      <w:r w:rsidRPr="006943F7">
        <w:rPr>
          <w:rFonts w:ascii="Times New Roman" w:hAnsi="Times New Roman" w:cs="Times New Roman"/>
        </w:rPr>
        <w:t>otsenka</w:t>
      </w:r>
      <w:proofErr w:type="spellEnd"/>
      <w:r w:rsidRPr="006943F7">
        <w:rPr>
          <w:rFonts w:ascii="Times New Roman" w:hAnsi="Times New Roman" w:cs="Times New Roman"/>
        </w:rPr>
        <w:t>-</w:t>
      </w:r>
      <w:proofErr w:type="spellStart"/>
      <w:r w:rsidRPr="006943F7">
        <w:rPr>
          <w:rFonts w:ascii="Times New Roman" w:hAnsi="Times New Roman" w:cs="Times New Roman"/>
        </w:rPr>
        <w:t>regionalnoy</w:t>
      </w:r>
      <w:proofErr w:type="spellEnd"/>
      <w:r w:rsidRPr="006943F7">
        <w:rPr>
          <w:rFonts w:ascii="Times New Roman" w:hAnsi="Times New Roman" w:cs="Times New Roman"/>
        </w:rPr>
        <w:t>-</w:t>
      </w:r>
      <w:proofErr w:type="spellStart"/>
      <w:r w:rsidRPr="006943F7">
        <w:rPr>
          <w:rFonts w:ascii="Times New Roman" w:hAnsi="Times New Roman" w:cs="Times New Roman"/>
        </w:rPr>
        <w:t>byudzhetnoy</w:t>
      </w:r>
      <w:proofErr w:type="spellEnd"/>
      <w:r w:rsidRPr="006943F7">
        <w:rPr>
          <w:rFonts w:ascii="Times New Roman" w:hAnsi="Times New Roman" w:cs="Times New Roman"/>
        </w:rPr>
        <w:t>-</w:t>
      </w:r>
      <w:proofErr w:type="spellStart"/>
      <w:r w:rsidRPr="006943F7">
        <w:rPr>
          <w:rFonts w:ascii="Times New Roman" w:hAnsi="Times New Roman" w:cs="Times New Roman"/>
        </w:rPr>
        <w:t>sbalansirovannosti</w:t>
      </w:r>
      <w:proofErr w:type="spellEnd"/>
      <w:r w:rsidRPr="006943F7">
        <w:rPr>
          <w:rFonts w:ascii="Times New Roman" w:hAnsi="Times New Roman" w:cs="Times New Roman"/>
        </w:rPr>
        <w:t>-v-</w:t>
      </w:r>
      <w:proofErr w:type="spellStart"/>
      <w:r w:rsidRPr="006943F7">
        <w:rPr>
          <w:rFonts w:ascii="Times New Roman" w:hAnsi="Times New Roman" w:cs="Times New Roman"/>
        </w:rPr>
        <w:t>rossiyskoy</w:t>
      </w:r>
      <w:proofErr w:type="spellEnd"/>
      <w:r w:rsidRPr="006943F7">
        <w:rPr>
          <w:rFonts w:ascii="Times New Roman" w:hAnsi="Times New Roman" w:cs="Times New Roman"/>
        </w:rPr>
        <w:t>-</w:t>
      </w:r>
      <w:proofErr w:type="spellStart"/>
      <w:r w:rsidRPr="006943F7">
        <w:rPr>
          <w:rFonts w:ascii="Times New Roman" w:hAnsi="Times New Roman" w:cs="Times New Roman"/>
        </w:rPr>
        <w:t>federatsii</w:t>
      </w:r>
      <w:proofErr w:type="spellEnd"/>
      <w:r w:rsidRPr="006943F7">
        <w:rPr>
          <w:rFonts w:ascii="Times New Roman" w:hAnsi="Times New Roman" w:cs="Times New Roman"/>
        </w:rPr>
        <w:t>/viewer (дата обращения: 09.02.2025).</w:t>
      </w:r>
    </w:p>
    <w:p w14:paraId="77CC5A3F" w14:textId="75AF13BA" w:rsidR="0071716E" w:rsidRDefault="0071716E" w:rsidP="0071716E">
      <w:pPr>
        <w:pStyle w:val="a6"/>
        <w:tabs>
          <w:tab w:val="left" w:pos="1134"/>
        </w:tabs>
        <w:spacing w:after="0" w:line="240" w:lineRule="auto"/>
        <w:ind w:left="709"/>
        <w:contextualSpacing w:val="0"/>
        <w:jc w:val="both"/>
        <w:rPr>
          <w:rFonts w:ascii="Times New Roman" w:hAnsi="Times New Roman" w:cs="Times New Roman"/>
        </w:rPr>
      </w:pPr>
    </w:p>
    <w:p w14:paraId="5894B5B0" w14:textId="0BE7E501" w:rsidR="0071716E" w:rsidRPr="0071716E" w:rsidRDefault="0071716E" w:rsidP="0071716E">
      <w:pPr>
        <w:pStyle w:val="a6"/>
        <w:tabs>
          <w:tab w:val="left" w:pos="1134"/>
        </w:tabs>
        <w:spacing w:after="0" w:line="240" w:lineRule="auto"/>
        <w:ind w:left="0"/>
        <w:contextualSpacing w:val="0"/>
        <w:jc w:val="center"/>
        <w:rPr>
          <w:rFonts w:ascii="Times New Roman" w:hAnsi="Times New Roman" w:cs="Times New Roman"/>
          <w:b/>
          <w:bCs/>
        </w:rPr>
      </w:pPr>
      <w:r w:rsidRPr="0071716E">
        <w:rPr>
          <w:rFonts w:ascii="Times New Roman" w:hAnsi="Times New Roman" w:cs="Times New Roman"/>
          <w:b/>
          <w:bCs/>
        </w:rPr>
        <w:lastRenderedPageBreak/>
        <w:t>Информация об авторе</w:t>
      </w:r>
    </w:p>
    <w:p w14:paraId="5A491481" w14:textId="705B8880" w:rsidR="0071716E" w:rsidRDefault="0071716E" w:rsidP="0071716E">
      <w:pPr>
        <w:pStyle w:val="a6"/>
        <w:tabs>
          <w:tab w:val="left" w:pos="1134"/>
        </w:tabs>
        <w:spacing w:after="0" w:line="240" w:lineRule="auto"/>
        <w:ind w:left="0" w:firstLine="709"/>
        <w:contextualSpacing w:val="0"/>
        <w:jc w:val="both"/>
        <w:rPr>
          <w:rFonts w:ascii="Times New Roman" w:hAnsi="Times New Roman" w:cs="Times New Roman"/>
        </w:rPr>
      </w:pPr>
      <w:r>
        <w:rPr>
          <w:rFonts w:ascii="Times New Roman" w:hAnsi="Times New Roman" w:cs="Times New Roman"/>
        </w:rPr>
        <w:t xml:space="preserve">Борисов Евгений Витальевич (Россия, г. Вологда) – инженер-исследователь Вологодского научного центра Российской Академии Наук. </w:t>
      </w:r>
      <w:r w:rsidRPr="0071716E">
        <w:rPr>
          <w:rFonts w:ascii="Times New Roman" w:hAnsi="Times New Roman" w:cs="Times New Roman"/>
        </w:rPr>
        <w:t>Россия, 160014, г. Вологда, ул. Горького, д. 56а</w:t>
      </w:r>
    </w:p>
    <w:p w14:paraId="02909CB3" w14:textId="00D83ECC" w:rsidR="00822876" w:rsidRDefault="00822876" w:rsidP="0071716E">
      <w:pPr>
        <w:pStyle w:val="a6"/>
        <w:tabs>
          <w:tab w:val="left" w:pos="1134"/>
        </w:tabs>
        <w:spacing w:after="0" w:line="240" w:lineRule="auto"/>
        <w:ind w:left="0" w:firstLine="709"/>
        <w:contextualSpacing w:val="0"/>
        <w:jc w:val="both"/>
        <w:rPr>
          <w:rFonts w:ascii="Times New Roman" w:hAnsi="Times New Roman" w:cs="Times New Roman"/>
        </w:rPr>
      </w:pPr>
    </w:p>
    <w:p w14:paraId="02EDBB55" w14:textId="07EE180A" w:rsidR="00822876" w:rsidRPr="00822876" w:rsidRDefault="00822876" w:rsidP="00822876">
      <w:pPr>
        <w:pStyle w:val="a6"/>
        <w:tabs>
          <w:tab w:val="left" w:pos="1134"/>
        </w:tabs>
        <w:spacing w:after="0" w:line="240" w:lineRule="auto"/>
        <w:ind w:left="0" w:firstLine="709"/>
        <w:contextualSpacing w:val="0"/>
        <w:jc w:val="right"/>
        <w:rPr>
          <w:rFonts w:ascii="Times New Roman" w:hAnsi="Times New Roman" w:cs="Times New Roman"/>
          <w:b/>
          <w:bCs/>
          <w:lang w:val="en-US"/>
        </w:rPr>
      </w:pPr>
      <w:proofErr w:type="spellStart"/>
      <w:r w:rsidRPr="00822876">
        <w:rPr>
          <w:rFonts w:ascii="Times New Roman" w:hAnsi="Times New Roman" w:cs="Times New Roman"/>
          <w:b/>
          <w:bCs/>
          <w:lang w:val="en-US"/>
        </w:rPr>
        <w:t>Borisov.E.V</w:t>
      </w:r>
      <w:proofErr w:type="spellEnd"/>
      <w:r w:rsidRPr="00822876">
        <w:rPr>
          <w:rFonts w:ascii="Times New Roman" w:hAnsi="Times New Roman" w:cs="Times New Roman"/>
          <w:b/>
          <w:bCs/>
          <w:lang w:val="en-US"/>
        </w:rPr>
        <w:t>.</w:t>
      </w:r>
    </w:p>
    <w:p w14:paraId="541CF500" w14:textId="75EFD1C5" w:rsidR="00822876" w:rsidRDefault="00822876" w:rsidP="00822876">
      <w:pPr>
        <w:pStyle w:val="a6"/>
        <w:tabs>
          <w:tab w:val="left" w:pos="1134"/>
        </w:tabs>
        <w:spacing w:after="0" w:line="240" w:lineRule="auto"/>
        <w:ind w:left="0" w:firstLine="709"/>
        <w:contextualSpacing w:val="0"/>
        <w:jc w:val="right"/>
        <w:rPr>
          <w:rFonts w:ascii="Times New Roman" w:hAnsi="Times New Roman" w:cs="Times New Roman"/>
          <w:lang w:val="en-US"/>
        </w:rPr>
      </w:pPr>
    </w:p>
    <w:p w14:paraId="0C4F6B6E" w14:textId="53C7D0E8" w:rsidR="00822876" w:rsidRDefault="00822876" w:rsidP="00822876">
      <w:pPr>
        <w:pStyle w:val="a6"/>
        <w:tabs>
          <w:tab w:val="left" w:pos="1134"/>
        </w:tabs>
        <w:spacing w:after="0" w:line="240" w:lineRule="auto"/>
        <w:ind w:left="0" w:firstLine="709"/>
        <w:contextualSpacing w:val="0"/>
        <w:jc w:val="center"/>
        <w:rPr>
          <w:rFonts w:ascii="Times New Roman" w:hAnsi="Times New Roman" w:cs="Times New Roman"/>
          <w:b/>
          <w:bCs/>
          <w:lang w:val="en-US"/>
        </w:rPr>
      </w:pPr>
      <w:r w:rsidRPr="00822876">
        <w:rPr>
          <w:rFonts w:ascii="Times New Roman" w:hAnsi="Times New Roman" w:cs="Times New Roman"/>
          <w:b/>
          <w:bCs/>
          <w:lang w:val="en-US"/>
        </w:rPr>
        <w:t>Analysis of Regional Budget Development Dynamics Before and After Repayment of Commercial Loans (Case Study: Vologda Oblast)</w:t>
      </w:r>
    </w:p>
    <w:p w14:paraId="33A63278" w14:textId="09EAE570" w:rsidR="00822876" w:rsidRDefault="00822876" w:rsidP="00822876">
      <w:pPr>
        <w:pStyle w:val="a6"/>
        <w:tabs>
          <w:tab w:val="left" w:pos="1134"/>
        </w:tabs>
        <w:spacing w:after="0" w:line="240" w:lineRule="auto"/>
        <w:ind w:left="0" w:firstLine="709"/>
        <w:contextualSpacing w:val="0"/>
        <w:jc w:val="center"/>
        <w:rPr>
          <w:rFonts w:ascii="Times New Roman" w:hAnsi="Times New Roman" w:cs="Times New Roman"/>
          <w:b/>
          <w:bCs/>
          <w:lang w:val="en-US"/>
        </w:rPr>
      </w:pPr>
    </w:p>
    <w:p w14:paraId="1370A3E0" w14:textId="51FA6D5A" w:rsidR="00822876" w:rsidRDefault="00822876" w:rsidP="00822876">
      <w:pPr>
        <w:pStyle w:val="a6"/>
        <w:tabs>
          <w:tab w:val="left" w:pos="1134"/>
        </w:tabs>
        <w:spacing w:after="0" w:line="240" w:lineRule="auto"/>
        <w:ind w:left="0"/>
        <w:contextualSpacing w:val="0"/>
        <w:jc w:val="both"/>
        <w:rPr>
          <w:rFonts w:ascii="Times New Roman" w:hAnsi="Times New Roman" w:cs="Times New Roman"/>
          <w:i/>
          <w:iCs/>
          <w:lang w:val="en-US"/>
        </w:rPr>
      </w:pPr>
      <w:r w:rsidRPr="00822876">
        <w:rPr>
          <w:rFonts w:ascii="Times New Roman" w:hAnsi="Times New Roman" w:cs="Times New Roman"/>
          <w:i/>
          <w:iCs/>
          <w:lang w:val="en-US"/>
        </w:rPr>
        <w:t>In the context of the transformation of the Russian Federation’s economy due to external shocks, the key role of Russian regions (subjects of the Federation) in ensuring national economic stability remains critical and is further reinforced. However, a potential obstacle to the fiscal development of Russian regions may be over-indebtedness through commercial loans.</w:t>
      </w:r>
    </w:p>
    <w:p w14:paraId="0F41FEC0" w14:textId="71D6B22F" w:rsidR="00822876" w:rsidRDefault="00822876" w:rsidP="00822876">
      <w:pPr>
        <w:pStyle w:val="a6"/>
        <w:tabs>
          <w:tab w:val="left" w:pos="1134"/>
        </w:tabs>
        <w:spacing w:after="0" w:line="240" w:lineRule="auto"/>
        <w:ind w:left="0"/>
        <w:contextualSpacing w:val="0"/>
        <w:jc w:val="both"/>
        <w:rPr>
          <w:rFonts w:ascii="Times New Roman" w:hAnsi="Times New Roman" w:cs="Times New Roman"/>
          <w:i/>
          <w:iCs/>
          <w:lang w:val="en-US"/>
        </w:rPr>
      </w:pPr>
    </w:p>
    <w:p w14:paraId="03A5BED6" w14:textId="2C1F8A05" w:rsidR="00822876" w:rsidRDefault="00822876" w:rsidP="00822876">
      <w:pPr>
        <w:pStyle w:val="a6"/>
        <w:tabs>
          <w:tab w:val="left" w:pos="1134"/>
        </w:tabs>
        <w:spacing w:after="0" w:line="240" w:lineRule="auto"/>
        <w:ind w:left="0"/>
        <w:jc w:val="both"/>
        <w:rPr>
          <w:rFonts w:ascii="Times New Roman" w:hAnsi="Times New Roman" w:cs="Times New Roman"/>
          <w:lang w:val="en-US"/>
        </w:rPr>
      </w:pPr>
      <w:r w:rsidRPr="00822876">
        <w:rPr>
          <w:rFonts w:ascii="Times New Roman" w:hAnsi="Times New Roman" w:cs="Times New Roman"/>
          <w:b/>
          <w:bCs/>
          <w:lang w:val="en-US"/>
        </w:rPr>
        <w:t>Keywords</w:t>
      </w:r>
      <w:r w:rsidRPr="00822876">
        <w:rPr>
          <w:rFonts w:ascii="Times New Roman" w:hAnsi="Times New Roman" w:cs="Times New Roman"/>
          <w:lang w:val="en-US"/>
        </w:rPr>
        <w:t>: Commercial Loans, Consolidated Budget, Regional Development.</w:t>
      </w:r>
    </w:p>
    <w:p w14:paraId="50FEB13D" w14:textId="77777777" w:rsidR="00822876" w:rsidRPr="00822876" w:rsidRDefault="00822876" w:rsidP="00822876">
      <w:pPr>
        <w:pStyle w:val="a6"/>
        <w:tabs>
          <w:tab w:val="left" w:pos="1134"/>
        </w:tabs>
        <w:spacing w:after="0" w:line="240" w:lineRule="auto"/>
        <w:ind w:left="0"/>
        <w:jc w:val="both"/>
        <w:rPr>
          <w:rFonts w:ascii="Times New Roman" w:hAnsi="Times New Roman" w:cs="Times New Roman"/>
          <w:lang w:val="en-US"/>
        </w:rPr>
      </w:pPr>
      <w:bookmarkStart w:id="0" w:name="_GoBack"/>
      <w:bookmarkEnd w:id="0"/>
    </w:p>
    <w:p w14:paraId="547EBC3E" w14:textId="0896B8A4" w:rsidR="00822876" w:rsidRPr="00822876" w:rsidRDefault="00822876" w:rsidP="00822876">
      <w:pPr>
        <w:pStyle w:val="a6"/>
        <w:tabs>
          <w:tab w:val="left" w:pos="1134"/>
        </w:tabs>
        <w:spacing w:after="0" w:line="240" w:lineRule="auto"/>
        <w:ind w:left="0"/>
        <w:contextualSpacing w:val="0"/>
        <w:jc w:val="both"/>
        <w:rPr>
          <w:rFonts w:ascii="Times New Roman" w:hAnsi="Times New Roman" w:cs="Times New Roman"/>
          <w:lang w:val="en-US"/>
        </w:rPr>
      </w:pPr>
      <w:r w:rsidRPr="00822876">
        <w:rPr>
          <w:rFonts w:ascii="Times New Roman" w:hAnsi="Times New Roman" w:cs="Times New Roman"/>
          <w:lang w:val="en-US"/>
        </w:rPr>
        <w:t xml:space="preserve">Borisov </w:t>
      </w:r>
      <w:proofErr w:type="spellStart"/>
      <w:r w:rsidRPr="00822876">
        <w:rPr>
          <w:rFonts w:ascii="Times New Roman" w:hAnsi="Times New Roman" w:cs="Times New Roman"/>
          <w:lang w:val="en-US"/>
        </w:rPr>
        <w:t>Evgeny</w:t>
      </w:r>
      <w:proofErr w:type="spellEnd"/>
      <w:r w:rsidRPr="00822876">
        <w:rPr>
          <w:rFonts w:ascii="Times New Roman" w:hAnsi="Times New Roman" w:cs="Times New Roman"/>
          <w:lang w:val="en-US"/>
        </w:rPr>
        <w:t xml:space="preserve"> </w:t>
      </w:r>
      <w:proofErr w:type="spellStart"/>
      <w:r w:rsidRPr="00822876">
        <w:rPr>
          <w:rFonts w:ascii="Times New Roman" w:hAnsi="Times New Roman" w:cs="Times New Roman"/>
          <w:lang w:val="en-US"/>
        </w:rPr>
        <w:t>Vitalievich</w:t>
      </w:r>
      <w:proofErr w:type="spellEnd"/>
      <w:r w:rsidRPr="00822876">
        <w:rPr>
          <w:rFonts w:ascii="Times New Roman" w:hAnsi="Times New Roman" w:cs="Times New Roman"/>
          <w:lang w:val="en-US"/>
        </w:rPr>
        <w:t xml:space="preserve"> (Vologda, Russia) – Research Engineer at the Vologda Scientific Center of the Russian Academy of Sciences. 160014, Vologda, Russia, 56a Gorky St.</w:t>
      </w:r>
    </w:p>
    <w:sectPr w:rsidR="00822876" w:rsidRPr="0082287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010388" w14:textId="77777777" w:rsidR="00A8172F" w:rsidRDefault="00A8172F" w:rsidP="00E610D8">
      <w:pPr>
        <w:spacing w:after="0" w:line="240" w:lineRule="auto"/>
      </w:pPr>
      <w:r>
        <w:separator/>
      </w:r>
    </w:p>
  </w:endnote>
  <w:endnote w:type="continuationSeparator" w:id="0">
    <w:p w14:paraId="4979E639" w14:textId="77777777" w:rsidR="00A8172F" w:rsidRDefault="00A8172F" w:rsidP="00E610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3B85E1" w14:textId="77777777" w:rsidR="00A8172F" w:rsidRDefault="00A8172F" w:rsidP="00E610D8">
      <w:pPr>
        <w:spacing w:after="0" w:line="240" w:lineRule="auto"/>
      </w:pPr>
      <w:r>
        <w:separator/>
      </w:r>
    </w:p>
  </w:footnote>
  <w:footnote w:type="continuationSeparator" w:id="0">
    <w:p w14:paraId="37CBAFA0" w14:textId="77777777" w:rsidR="00A8172F" w:rsidRDefault="00A8172F" w:rsidP="00E610D8">
      <w:pPr>
        <w:spacing w:after="0" w:line="240" w:lineRule="auto"/>
      </w:pPr>
      <w:r>
        <w:continuationSeparator/>
      </w:r>
    </w:p>
  </w:footnote>
  <w:footnote w:id="1">
    <w:p w14:paraId="08DD5E9C" w14:textId="63BBBD23" w:rsidR="00762EA5" w:rsidRPr="00762EA5" w:rsidRDefault="00762EA5" w:rsidP="00762EA5">
      <w:pPr>
        <w:spacing w:after="0" w:line="240" w:lineRule="auto"/>
        <w:rPr>
          <w:rFonts w:ascii="Arial Narrow" w:hAnsi="Arial Narrow" w:cs="Times New Roman"/>
          <w:sz w:val="20"/>
          <w:szCs w:val="20"/>
        </w:rPr>
      </w:pPr>
      <w:r>
        <w:rPr>
          <w:rStyle w:val="a5"/>
        </w:rPr>
        <w:footnoteRef/>
      </w:r>
      <w:r>
        <w:t xml:space="preserve"> </w:t>
      </w:r>
      <w:r w:rsidRPr="000A3DC2">
        <w:rPr>
          <w:rFonts w:ascii="Arial Narrow" w:hAnsi="Arial Narrow" w:cs="Times New Roman"/>
          <w:sz w:val="20"/>
          <w:szCs w:val="20"/>
        </w:rPr>
        <w:t xml:space="preserve">Путин: долги регионов по кредитам свыше 25% доходов заменят бюджетными кредитами. ТАСС. </w:t>
      </w:r>
      <w:r w:rsidRPr="000A3DC2">
        <w:rPr>
          <w:rFonts w:ascii="Arial Narrow" w:hAnsi="Arial Narrow" w:cs="Times New Roman"/>
          <w:sz w:val="20"/>
          <w:szCs w:val="20"/>
          <w:lang w:val="en-US"/>
        </w:rPr>
        <w:t>URL</w:t>
      </w:r>
      <w:r w:rsidRPr="000A3DC2">
        <w:rPr>
          <w:rFonts w:ascii="Arial Narrow" w:hAnsi="Arial Narrow" w:cs="Times New Roman"/>
          <w:sz w:val="20"/>
          <w:szCs w:val="20"/>
        </w:rPr>
        <w:t>:</w:t>
      </w:r>
      <w:r>
        <w:rPr>
          <w:rFonts w:ascii="Arial Narrow" w:hAnsi="Arial Narrow" w:cs="Times New Roman"/>
          <w:sz w:val="20"/>
          <w:szCs w:val="20"/>
        </w:rPr>
        <w:t xml:space="preserve"> https://tass.ru/ekonomika/11205371?ysclid=m8mwjudvcz394756935</w:t>
      </w:r>
    </w:p>
  </w:footnote>
  <w:footnote w:id="2">
    <w:p w14:paraId="372B0F2F" w14:textId="472972F8" w:rsidR="00762EA5" w:rsidRDefault="00762EA5">
      <w:pPr>
        <w:pStyle w:val="a3"/>
      </w:pPr>
      <w:r>
        <w:rPr>
          <w:rStyle w:val="a5"/>
        </w:rPr>
        <w:footnoteRef/>
      </w:r>
      <w:r>
        <w:t xml:space="preserve"> </w:t>
      </w:r>
      <w:r w:rsidRPr="000A3DC2">
        <w:rPr>
          <w:rFonts w:ascii="Arial Narrow" w:hAnsi="Arial Narrow" w:cs="Times New Roman"/>
        </w:rPr>
        <w:t>Срок предоставления бюджетных кредитов регионам продлен. Государственная Дума официальный портал. URL:</w:t>
      </w:r>
      <w:r>
        <w:rPr>
          <w:rFonts w:ascii="Arial Narrow" w:hAnsi="Arial Narrow" w:cs="Times New Roman"/>
        </w:rPr>
        <w:t xml:space="preserve"> </w:t>
      </w:r>
      <w:r w:rsidRPr="000A3DC2">
        <w:rPr>
          <w:rFonts w:ascii="Arial Narrow" w:hAnsi="Arial Narrow" w:cs="Times New Roman"/>
        </w:rPr>
        <w:t>http://duma.gov.ru/news/50120/</w:t>
      </w:r>
    </w:p>
  </w:footnote>
  <w:footnote w:id="3">
    <w:p w14:paraId="779E98CA" w14:textId="466294B9" w:rsidR="00762EA5" w:rsidRDefault="00762EA5">
      <w:pPr>
        <w:pStyle w:val="a3"/>
      </w:pPr>
      <w:r>
        <w:rPr>
          <w:rStyle w:val="a5"/>
        </w:rPr>
        <w:footnoteRef/>
      </w:r>
      <w:r>
        <w:t xml:space="preserve"> </w:t>
      </w:r>
      <w:r w:rsidRPr="000A3DC2">
        <w:rPr>
          <w:rFonts w:ascii="Arial Narrow" w:hAnsi="Arial Narrow" w:cs="Times New Roman"/>
        </w:rPr>
        <w:t xml:space="preserve">Возможности федерального бюджета не так велики, как кажется на первый взгляд. Коммерсант. URL: </w:t>
      </w:r>
      <w:hyperlink r:id="rId1" w:history="1">
        <w:r w:rsidRPr="000A3DC2">
          <w:rPr>
            <w:rFonts w:ascii="Arial Narrow" w:hAnsi="Arial Narrow"/>
          </w:rPr>
          <w:t>https://www.kommersant.ru/doc/2858032</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A00C2B"/>
    <w:multiLevelType w:val="hybridMultilevel"/>
    <w:tmpl w:val="A49C7950"/>
    <w:lvl w:ilvl="0" w:tplc="22B6EA28">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EEE6A5A"/>
    <w:multiLevelType w:val="hybridMultilevel"/>
    <w:tmpl w:val="CB52B3CA"/>
    <w:lvl w:ilvl="0" w:tplc="248A05D2">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FB543CF"/>
    <w:multiLevelType w:val="hybridMultilevel"/>
    <w:tmpl w:val="8D2659C6"/>
    <w:lvl w:ilvl="0" w:tplc="D3B205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B6F19FE"/>
    <w:multiLevelType w:val="hybridMultilevel"/>
    <w:tmpl w:val="D0FCFBA2"/>
    <w:lvl w:ilvl="0" w:tplc="0C000001">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B7934BC"/>
    <w:multiLevelType w:val="hybridMultilevel"/>
    <w:tmpl w:val="1BACF36E"/>
    <w:lvl w:ilvl="0" w:tplc="CDFCDB14">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D5743D1"/>
    <w:multiLevelType w:val="hybridMultilevel"/>
    <w:tmpl w:val="BEA207FA"/>
    <w:lvl w:ilvl="0" w:tplc="A8380A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DCA24D3"/>
    <w:multiLevelType w:val="hybridMultilevel"/>
    <w:tmpl w:val="8A5C82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56BA6362"/>
    <w:multiLevelType w:val="hybridMultilevel"/>
    <w:tmpl w:val="E4D2CB24"/>
    <w:lvl w:ilvl="0" w:tplc="0C00000F">
      <w:start w:val="1"/>
      <w:numFmt w:val="decimal"/>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8" w15:restartNumberingAfterBreak="0">
    <w:nsid w:val="5C8C2574"/>
    <w:multiLevelType w:val="hybridMultilevel"/>
    <w:tmpl w:val="7D9E8286"/>
    <w:lvl w:ilvl="0" w:tplc="106E97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65CB5E1B"/>
    <w:multiLevelType w:val="hybridMultilevel"/>
    <w:tmpl w:val="1AA46BC0"/>
    <w:lvl w:ilvl="0" w:tplc="0C000001">
      <w:start w:val="1"/>
      <w:numFmt w:val="bullet"/>
      <w:lvlText w:val=""/>
      <w:lvlJc w:val="left"/>
      <w:pPr>
        <w:ind w:left="1429" w:hanging="360"/>
      </w:pPr>
      <w:rPr>
        <w:rFonts w:ascii="Symbol" w:hAnsi="Symbol" w:hint="default"/>
      </w:rPr>
    </w:lvl>
    <w:lvl w:ilvl="1" w:tplc="0C000003" w:tentative="1">
      <w:start w:val="1"/>
      <w:numFmt w:val="bullet"/>
      <w:lvlText w:val="o"/>
      <w:lvlJc w:val="left"/>
      <w:pPr>
        <w:ind w:left="2149" w:hanging="360"/>
      </w:pPr>
      <w:rPr>
        <w:rFonts w:ascii="Courier New" w:hAnsi="Courier New" w:cs="Courier New" w:hint="default"/>
      </w:rPr>
    </w:lvl>
    <w:lvl w:ilvl="2" w:tplc="0C000005" w:tentative="1">
      <w:start w:val="1"/>
      <w:numFmt w:val="bullet"/>
      <w:lvlText w:val=""/>
      <w:lvlJc w:val="left"/>
      <w:pPr>
        <w:ind w:left="2869" w:hanging="360"/>
      </w:pPr>
      <w:rPr>
        <w:rFonts w:ascii="Wingdings" w:hAnsi="Wingdings" w:hint="default"/>
      </w:rPr>
    </w:lvl>
    <w:lvl w:ilvl="3" w:tplc="0C000001" w:tentative="1">
      <w:start w:val="1"/>
      <w:numFmt w:val="bullet"/>
      <w:lvlText w:val=""/>
      <w:lvlJc w:val="left"/>
      <w:pPr>
        <w:ind w:left="3589" w:hanging="360"/>
      </w:pPr>
      <w:rPr>
        <w:rFonts w:ascii="Symbol" w:hAnsi="Symbol" w:hint="default"/>
      </w:rPr>
    </w:lvl>
    <w:lvl w:ilvl="4" w:tplc="0C000003" w:tentative="1">
      <w:start w:val="1"/>
      <w:numFmt w:val="bullet"/>
      <w:lvlText w:val="o"/>
      <w:lvlJc w:val="left"/>
      <w:pPr>
        <w:ind w:left="4309" w:hanging="360"/>
      </w:pPr>
      <w:rPr>
        <w:rFonts w:ascii="Courier New" w:hAnsi="Courier New" w:cs="Courier New" w:hint="default"/>
      </w:rPr>
    </w:lvl>
    <w:lvl w:ilvl="5" w:tplc="0C000005" w:tentative="1">
      <w:start w:val="1"/>
      <w:numFmt w:val="bullet"/>
      <w:lvlText w:val=""/>
      <w:lvlJc w:val="left"/>
      <w:pPr>
        <w:ind w:left="5029" w:hanging="360"/>
      </w:pPr>
      <w:rPr>
        <w:rFonts w:ascii="Wingdings" w:hAnsi="Wingdings" w:hint="default"/>
      </w:rPr>
    </w:lvl>
    <w:lvl w:ilvl="6" w:tplc="0C000001" w:tentative="1">
      <w:start w:val="1"/>
      <w:numFmt w:val="bullet"/>
      <w:lvlText w:val=""/>
      <w:lvlJc w:val="left"/>
      <w:pPr>
        <w:ind w:left="5749" w:hanging="360"/>
      </w:pPr>
      <w:rPr>
        <w:rFonts w:ascii="Symbol" w:hAnsi="Symbol" w:hint="default"/>
      </w:rPr>
    </w:lvl>
    <w:lvl w:ilvl="7" w:tplc="0C000003" w:tentative="1">
      <w:start w:val="1"/>
      <w:numFmt w:val="bullet"/>
      <w:lvlText w:val="o"/>
      <w:lvlJc w:val="left"/>
      <w:pPr>
        <w:ind w:left="6469" w:hanging="360"/>
      </w:pPr>
      <w:rPr>
        <w:rFonts w:ascii="Courier New" w:hAnsi="Courier New" w:cs="Courier New" w:hint="default"/>
      </w:rPr>
    </w:lvl>
    <w:lvl w:ilvl="8" w:tplc="0C000005" w:tentative="1">
      <w:start w:val="1"/>
      <w:numFmt w:val="bullet"/>
      <w:lvlText w:val=""/>
      <w:lvlJc w:val="left"/>
      <w:pPr>
        <w:ind w:left="7189" w:hanging="360"/>
      </w:pPr>
      <w:rPr>
        <w:rFonts w:ascii="Wingdings" w:hAnsi="Wingdings" w:hint="default"/>
      </w:rPr>
    </w:lvl>
  </w:abstractNum>
  <w:abstractNum w:abstractNumId="10" w15:restartNumberingAfterBreak="0">
    <w:nsid w:val="6D051867"/>
    <w:multiLevelType w:val="hybridMultilevel"/>
    <w:tmpl w:val="823A68F2"/>
    <w:lvl w:ilvl="0" w:tplc="625E0A38">
      <w:start w:val="1"/>
      <w:numFmt w:val="decimal"/>
      <w:lvlText w:val="%1."/>
      <w:lvlJc w:val="left"/>
      <w:pPr>
        <w:ind w:left="1099" w:hanging="390"/>
      </w:pPr>
      <w:rPr>
        <w:rFonts w:hint="default"/>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6F9031FB"/>
    <w:multiLevelType w:val="hybridMultilevel"/>
    <w:tmpl w:val="BB203C16"/>
    <w:lvl w:ilvl="0" w:tplc="37F63BA0">
      <w:start w:val="2"/>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71E075F0"/>
    <w:multiLevelType w:val="hybridMultilevel"/>
    <w:tmpl w:val="7BC018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92E2604"/>
    <w:multiLevelType w:val="hybridMultilevel"/>
    <w:tmpl w:val="D59671C0"/>
    <w:lvl w:ilvl="0" w:tplc="E850DFA8">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2"/>
  </w:num>
  <w:num w:numId="2">
    <w:abstractNumId w:val="13"/>
  </w:num>
  <w:num w:numId="3">
    <w:abstractNumId w:val="4"/>
  </w:num>
  <w:num w:numId="4">
    <w:abstractNumId w:val="0"/>
  </w:num>
  <w:num w:numId="5">
    <w:abstractNumId w:val="9"/>
  </w:num>
  <w:num w:numId="6">
    <w:abstractNumId w:val="3"/>
  </w:num>
  <w:num w:numId="7">
    <w:abstractNumId w:val="5"/>
  </w:num>
  <w:num w:numId="8">
    <w:abstractNumId w:val="6"/>
  </w:num>
  <w:num w:numId="9">
    <w:abstractNumId w:val="2"/>
  </w:num>
  <w:num w:numId="10">
    <w:abstractNumId w:val="8"/>
  </w:num>
  <w:num w:numId="11">
    <w:abstractNumId w:val="7"/>
  </w:num>
  <w:num w:numId="12">
    <w:abstractNumId w:val="1"/>
  </w:num>
  <w:num w:numId="13">
    <w:abstractNumId w:val="1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7EC6"/>
    <w:rsid w:val="00150FC9"/>
    <w:rsid w:val="00195719"/>
    <w:rsid w:val="003A7EC6"/>
    <w:rsid w:val="006943F7"/>
    <w:rsid w:val="0071716E"/>
    <w:rsid w:val="00762EA5"/>
    <w:rsid w:val="00822876"/>
    <w:rsid w:val="009F6236"/>
    <w:rsid w:val="00A8172F"/>
    <w:rsid w:val="00AC339F"/>
    <w:rsid w:val="00E610D8"/>
    <w:rsid w:val="00FD3A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CE4FA"/>
  <w15:chartTrackingRefBased/>
  <w15:docId w15:val="{4211A18B-FCFE-4012-8582-0B1909F16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10D8"/>
    <w:pPr>
      <w:spacing w:line="278" w:lineRule="auto"/>
    </w:pPr>
    <w:rPr>
      <w:kern w:val="2"/>
      <w:sz w:val="24"/>
      <w:szCs w:val="24"/>
      <w14:ligatures w14:val="standardContextual"/>
    </w:rPr>
  </w:style>
  <w:style w:type="paragraph" w:styleId="3">
    <w:name w:val="heading 3"/>
    <w:basedOn w:val="a"/>
    <w:next w:val="a"/>
    <w:link w:val="30"/>
    <w:uiPriority w:val="9"/>
    <w:unhideWhenUsed/>
    <w:qFormat/>
    <w:rsid w:val="00E610D8"/>
    <w:pPr>
      <w:keepNext/>
      <w:keepLines/>
      <w:spacing w:before="40" w:after="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semiHidden/>
    <w:unhideWhenUsed/>
    <w:qFormat/>
    <w:rsid w:val="0071716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E610D8"/>
    <w:rPr>
      <w:rFonts w:asciiTheme="majorHAnsi" w:eastAsiaTheme="majorEastAsia" w:hAnsiTheme="majorHAnsi" w:cstheme="majorBidi"/>
      <w:color w:val="1F3763" w:themeColor="accent1" w:themeShade="7F"/>
      <w:sz w:val="24"/>
      <w:szCs w:val="24"/>
    </w:rPr>
  </w:style>
  <w:style w:type="paragraph" w:styleId="a3">
    <w:name w:val="footnote text"/>
    <w:basedOn w:val="a"/>
    <w:link w:val="a4"/>
    <w:uiPriority w:val="99"/>
    <w:semiHidden/>
    <w:unhideWhenUsed/>
    <w:rsid w:val="00E610D8"/>
    <w:pPr>
      <w:spacing w:after="0" w:line="240" w:lineRule="auto"/>
    </w:pPr>
    <w:rPr>
      <w:sz w:val="20"/>
      <w:szCs w:val="20"/>
    </w:rPr>
  </w:style>
  <w:style w:type="character" w:customStyle="1" w:styleId="a4">
    <w:name w:val="Текст сноски Знак"/>
    <w:basedOn w:val="a0"/>
    <w:link w:val="a3"/>
    <w:uiPriority w:val="99"/>
    <w:semiHidden/>
    <w:rsid w:val="00E610D8"/>
    <w:rPr>
      <w:sz w:val="20"/>
      <w:szCs w:val="20"/>
    </w:rPr>
  </w:style>
  <w:style w:type="character" w:styleId="a5">
    <w:name w:val="footnote reference"/>
    <w:basedOn w:val="a0"/>
    <w:uiPriority w:val="99"/>
    <w:unhideWhenUsed/>
    <w:rsid w:val="00E610D8"/>
    <w:rPr>
      <w:vertAlign w:val="superscript"/>
    </w:rPr>
  </w:style>
  <w:style w:type="paragraph" w:styleId="a6">
    <w:name w:val="List Paragraph"/>
    <w:basedOn w:val="a"/>
    <w:uiPriority w:val="34"/>
    <w:qFormat/>
    <w:rsid w:val="00E610D8"/>
    <w:pPr>
      <w:ind w:left="720"/>
      <w:contextualSpacing/>
    </w:pPr>
  </w:style>
  <w:style w:type="table" w:styleId="a7">
    <w:name w:val="Table Grid"/>
    <w:basedOn w:val="a1"/>
    <w:uiPriority w:val="39"/>
    <w:rsid w:val="00762EA5"/>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762EA5"/>
    <w:rPr>
      <w:color w:val="0563C1" w:themeColor="hyperlink"/>
      <w:u w:val="single"/>
    </w:rPr>
  </w:style>
  <w:style w:type="character" w:styleId="a9">
    <w:name w:val="Unresolved Mention"/>
    <w:basedOn w:val="a0"/>
    <w:uiPriority w:val="99"/>
    <w:semiHidden/>
    <w:unhideWhenUsed/>
    <w:rsid w:val="00762EA5"/>
    <w:rPr>
      <w:color w:val="605E5C"/>
      <w:shd w:val="clear" w:color="auto" w:fill="E1DFDD"/>
    </w:rPr>
  </w:style>
  <w:style w:type="character" w:customStyle="1" w:styleId="40">
    <w:name w:val="Заголовок 4 Знак"/>
    <w:basedOn w:val="a0"/>
    <w:link w:val="4"/>
    <w:uiPriority w:val="9"/>
    <w:semiHidden/>
    <w:rsid w:val="0071716E"/>
    <w:rPr>
      <w:rFonts w:asciiTheme="majorHAnsi" w:eastAsiaTheme="majorEastAsia" w:hAnsiTheme="majorHAnsi" w:cstheme="majorBidi"/>
      <w:i/>
      <w:iCs/>
      <w:color w:val="2F5496" w:themeColor="accent1" w:themeShade="BF"/>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1974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31107/2075-1990-2022-2-26-42" TargetMode="External"/><Relationship Id="rId4" Type="http://schemas.openxmlformats.org/officeDocument/2006/relationships/settings" Target="settings.xml"/><Relationship Id="rId9" Type="http://schemas.openxmlformats.org/officeDocument/2006/relationships/hyperlink" Target="https://minfin.gov.ru/ru/perfomance/public_debt/subj/subdbt"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kommersant.ru/doc/2858032"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Коммерческие кредиты, млрд. руб.</c:v>
                </c:pt>
              </c:strCache>
            </c:strRef>
          </c:tx>
          <c:spPr>
            <a:ln w="28575" cap="rnd">
              <a:solidFill>
                <a:schemeClr val="accent1">
                  <a:lumMod val="50000"/>
                </a:schemeClr>
              </a:solidFill>
              <a:round/>
            </a:ln>
            <a:effectLst/>
          </c:spPr>
          <c:marker>
            <c:symbol val="circle"/>
            <c:size val="5"/>
            <c:spPr>
              <a:solidFill>
                <a:schemeClr val="accent1"/>
              </a:solidFill>
              <a:ln w="12700">
                <a:solidFill>
                  <a:schemeClr val="accent1">
                    <a:lumMod val="60000"/>
                    <a:lumOff val="40000"/>
                  </a:schemeClr>
                </a:solidFill>
              </a:ln>
              <a:effectLst/>
            </c:spPr>
          </c:marker>
          <c:dLbls>
            <c:dLbl>
              <c:idx val="0"/>
              <c:layout>
                <c:manualLayout>
                  <c:x val="-3.6441586280814578E-2"/>
                  <c:y val="-4.45831475702184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9C4-42C0-B71C-AF83AE9A5B97}"/>
                </c:ext>
              </c:extLst>
            </c:dLbl>
            <c:dLbl>
              <c:idx val="1"/>
              <c:layout>
                <c:manualLayout>
                  <c:x val="-1.9292604501607736E-2"/>
                  <c:y val="-4.012483281319662E-2"/>
                </c:manualLayout>
              </c:layout>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9C4-42C0-B71C-AF83AE9A5B97}"/>
                </c:ext>
              </c:extLst>
            </c:dLbl>
            <c:dLbl>
              <c:idx val="6"/>
              <c:delete val="1"/>
              <c:extLst>
                <c:ext xmlns:c15="http://schemas.microsoft.com/office/drawing/2012/chart" uri="{CE6537A1-D6FC-4f65-9D91-7224C49458BB}"/>
                <c:ext xmlns:c16="http://schemas.microsoft.com/office/drawing/2014/chart" uri="{C3380CC4-5D6E-409C-BE32-E72D297353CC}">
                  <c16:uniqueId val="{00000002-A9C4-42C0-B71C-AF83AE9A5B97}"/>
                </c:ext>
              </c:extLst>
            </c:dLbl>
            <c:dLbl>
              <c:idx val="7"/>
              <c:delete val="1"/>
              <c:extLst>
                <c:ext xmlns:c15="http://schemas.microsoft.com/office/drawing/2012/chart" uri="{CE6537A1-D6FC-4f65-9D91-7224C49458BB}"/>
                <c:ext xmlns:c16="http://schemas.microsoft.com/office/drawing/2014/chart" uri="{C3380CC4-5D6E-409C-BE32-E72D297353CC}">
                  <c16:uniqueId val="{00000003-A9C4-42C0-B71C-AF83AE9A5B97}"/>
                </c:ext>
              </c:extLst>
            </c:dLbl>
            <c:dLbl>
              <c:idx val="8"/>
              <c:delete val="1"/>
              <c:extLst>
                <c:ext xmlns:c15="http://schemas.microsoft.com/office/drawing/2012/chart" uri="{CE6537A1-D6FC-4f65-9D91-7224C49458BB}"/>
                <c:ext xmlns:c16="http://schemas.microsoft.com/office/drawing/2014/chart" uri="{C3380CC4-5D6E-409C-BE32-E72D297353CC}">
                  <c16:uniqueId val="{00000004-A9C4-42C0-B71C-AF83AE9A5B97}"/>
                </c:ext>
              </c:extLst>
            </c:dLbl>
            <c:dLbl>
              <c:idx val="9"/>
              <c:delete val="1"/>
              <c:extLst>
                <c:ext xmlns:c15="http://schemas.microsoft.com/office/drawing/2012/chart" uri="{CE6537A1-D6FC-4f65-9D91-7224C49458BB}"/>
                <c:ext xmlns:c16="http://schemas.microsoft.com/office/drawing/2014/chart" uri="{C3380CC4-5D6E-409C-BE32-E72D297353CC}">
                  <c16:uniqueId val="{00000005-A9C4-42C0-B71C-AF83AE9A5B97}"/>
                </c:ext>
              </c:extLst>
            </c:dLbl>
            <c:dLbl>
              <c:idx val="10"/>
              <c:delete val="1"/>
              <c:extLst>
                <c:ext xmlns:c15="http://schemas.microsoft.com/office/drawing/2012/chart" uri="{CE6537A1-D6FC-4f65-9D91-7224C49458BB}"/>
                <c:ext xmlns:c16="http://schemas.microsoft.com/office/drawing/2014/chart" uri="{C3380CC4-5D6E-409C-BE32-E72D297353CC}">
                  <c16:uniqueId val="{00000006-A9C4-42C0-B71C-AF83AE9A5B97}"/>
                </c:ext>
              </c:extLst>
            </c:dLbl>
            <c:dLbl>
              <c:idx val="11"/>
              <c:delete val="1"/>
              <c:extLst>
                <c:ext xmlns:c15="http://schemas.microsoft.com/office/drawing/2012/chart" uri="{CE6537A1-D6FC-4f65-9D91-7224C49458BB}"/>
                <c:ext xmlns:c16="http://schemas.microsoft.com/office/drawing/2014/chart" uri="{C3380CC4-5D6E-409C-BE32-E72D297353CC}">
                  <c16:uniqueId val="{00000007-A9C4-42C0-B71C-AF83AE9A5B9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Лист1!$A$2:$A$13</c:f>
              <c:numCache>
                <c:formatCode>General</c:formatCod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numCache>
            </c:numRef>
          </c:cat>
          <c:val>
            <c:numRef>
              <c:f>Лист1!$B$2:$B$13</c:f>
              <c:numCache>
                <c:formatCode>General</c:formatCode>
                <c:ptCount val="12"/>
                <c:pt idx="0">
                  <c:v>13.9</c:v>
                </c:pt>
                <c:pt idx="1">
                  <c:v>14</c:v>
                </c:pt>
                <c:pt idx="2">
                  <c:v>15.1</c:v>
                </c:pt>
                <c:pt idx="3">
                  <c:v>10.1</c:v>
                </c:pt>
                <c:pt idx="4">
                  <c:v>6.1</c:v>
                </c:pt>
                <c:pt idx="5">
                  <c:v>4.0999999999999996</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8-A9C4-42C0-B71C-AF83AE9A5B97}"/>
            </c:ext>
          </c:extLst>
        </c:ser>
        <c:ser>
          <c:idx val="1"/>
          <c:order val="1"/>
          <c:tx>
            <c:strRef>
              <c:f>Лист1!$C$1</c:f>
              <c:strCache>
                <c:ptCount val="1"/>
                <c:pt idx="0">
                  <c:v>Расходы на обслуживание гос/мун долга, млрд. руб.</c:v>
                </c:pt>
              </c:strCache>
            </c:strRef>
          </c:tx>
          <c:spPr>
            <a:ln w="28575" cap="rnd">
              <a:solidFill>
                <a:schemeClr val="accent2">
                  <a:lumMod val="60000"/>
                  <a:lumOff val="40000"/>
                </a:schemeClr>
              </a:solidFill>
              <a:round/>
            </a:ln>
            <a:effectLst/>
          </c:spPr>
          <c:marker>
            <c:symbol val="circle"/>
            <c:size val="5"/>
            <c:spPr>
              <a:solidFill>
                <a:schemeClr val="accent2"/>
              </a:solidFill>
              <a:ln w="9525">
                <a:solidFill>
                  <a:schemeClr val="accent2"/>
                </a:solidFill>
              </a:ln>
              <a:effectLst/>
            </c:spPr>
          </c:marker>
          <c:dLbls>
            <c:dLbl>
              <c:idx val="6"/>
              <c:layout>
                <c:manualLayout>
                  <c:x val="-2.1436227224008574E-3"/>
                  <c:y val="-3.56665180561748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9C4-42C0-B71C-AF83AE9A5B97}"/>
                </c:ext>
              </c:extLst>
            </c:dLbl>
            <c:dLbl>
              <c:idx val="7"/>
              <c:layout>
                <c:manualLayout>
                  <c:x val="-4.2872454448018718E-3"/>
                  <c:y val="-5.34997770842622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9C4-42C0-B71C-AF83AE9A5B97}"/>
                </c:ext>
              </c:extLst>
            </c:dLbl>
            <c:dLbl>
              <c:idx val="8"/>
              <c:layout>
                <c:manualLayout>
                  <c:x val="-2.1436227224008494E-2"/>
                  <c:y val="-5.34997770842622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9C4-42C0-B71C-AF83AE9A5B97}"/>
                </c:ext>
              </c:extLst>
            </c:dLbl>
            <c:dLbl>
              <c:idx val="9"/>
              <c:delete val="1"/>
              <c:extLst>
                <c:ext xmlns:c15="http://schemas.microsoft.com/office/drawing/2012/chart" uri="{CE6537A1-D6FC-4f65-9D91-7224C49458BB}"/>
                <c:ext xmlns:c16="http://schemas.microsoft.com/office/drawing/2014/chart" uri="{C3380CC4-5D6E-409C-BE32-E72D297353CC}">
                  <c16:uniqueId val="{0000000C-A9C4-42C0-B71C-AF83AE9A5B97}"/>
                </c:ext>
              </c:extLst>
            </c:dLbl>
            <c:dLbl>
              <c:idx val="10"/>
              <c:delete val="1"/>
              <c:extLst>
                <c:ext xmlns:c15="http://schemas.microsoft.com/office/drawing/2012/chart" uri="{CE6537A1-D6FC-4f65-9D91-7224C49458BB}"/>
                <c:ext xmlns:c16="http://schemas.microsoft.com/office/drawing/2014/chart" uri="{C3380CC4-5D6E-409C-BE32-E72D297353CC}">
                  <c16:uniqueId val="{0000000D-A9C4-42C0-B71C-AF83AE9A5B97}"/>
                </c:ext>
              </c:extLst>
            </c:dLbl>
            <c:dLbl>
              <c:idx val="11"/>
              <c:delete val="1"/>
              <c:extLst>
                <c:ext xmlns:c15="http://schemas.microsoft.com/office/drawing/2012/chart" uri="{CE6537A1-D6FC-4f65-9D91-7224C49458BB}"/>
                <c:ext xmlns:c16="http://schemas.microsoft.com/office/drawing/2014/chart" uri="{C3380CC4-5D6E-409C-BE32-E72D297353CC}">
                  <c16:uniqueId val="{0000000E-A9C4-42C0-B71C-AF83AE9A5B9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Лист1!$A$2:$A$13</c:f>
              <c:numCache>
                <c:formatCode>General</c:formatCod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numCache>
            </c:numRef>
          </c:cat>
          <c:val>
            <c:numRef>
              <c:f>Лист1!$C$2:$C$13</c:f>
              <c:numCache>
                <c:formatCode>General</c:formatCode>
                <c:ptCount val="12"/>
                <c:pt idx="0">
                  <c:v>1.9</c:v>
                </c:pt>
                <c:pt idx="1">
                  <c:v>2.1</c:v>
                </c:pt>
                <c:pt idx="2">
                  <c:v>2</c:v>
                </c:pt>
                <c:pt idx="3">
                  <c:v>1.6</c:v>
                </c:pt>
                <c:pt idx="4">
                  <c:v>0.9</c:v>
                </c:pt>
                <c:pt idx="5">
                  <c:v>0.6</c:v>
                </c:pt>
                <c:pt idx="6">
                  <c:v>0.3</c:v>
                </c:pt>
                <c:pt idx="7">
                  <c:v>0.1</c:v>
                </c:pt>
                <c:pt idx="8">
                  <c:v>0.1</c:v>
                </c:pt>
                <c:pt idx="9">
                  <c:v>0</c:v>
                </c:pt>
                <c:pt idx="10">
                  <c:v>0</c:v>
                </c:pt>
                <c:pt idx="11">
                  <c:v>0</c:v>
                </c:pt>
              </c:numCache>
            </c:numRef>
          </c:val>
          <c:smooth val="0"/>
          <c:extLst>
            <c:ext xmlns:c16="http://schemas.microsoft.com/office/drawing/2014/chart" uri="{C3380CC4-5D6E-409C-BE32-E72D297353CC}">
              <c16:uniqueId val="{0000000F-A9C4-42C0-B71C-AF83AE9A5B97}"/>
            </c:ext>
          </c:extLst>
        </c:ser>
        <c:dLbls>
          <c:showLegendKey val="0"/>
          <c:showVal val="0"/>
          <c:showCatName val="0"/>
          <c:showSerName val="0"/>
          <c:showPercent val="0"/>
          <c:showBubbleSize val="0"/>
        </c:dLbls>
        <c:marker val="1"/>
        <c:smooth val="0"/>
        <c:axId val="1058222128"/>
        <c:axId val="966397024"/>
      </c:lineChart>
      <c:catAx>
        <c:axId val="1058222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6397024"/>
        <c:crosses val="autoZero"/>
        <c:auto val="1"/>
        <c:lblAlgn val="ctr"/>
        <c:lblOffset val="100"/>
        <c:noMultiLvlLbl val="0"/>
      </c:catAx>
      <c:valAx>
        <c:axId val="966397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58222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E89CF-E670-44B7-99C3-29A119218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6</Pages>
  <Words>2093</Words>
  <Characters>14551</Characters>
  <Application>Microsoft Office Word</Application>
  <DocSecurity>0</DocSecurity>
  <Lines>279</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 В. Борисов</dc:creator>
  <cp:keywords/>
  <dc:description/>
  <cp:lastModifiedBy>Евгений В. Борисов</cp:lastModifiedBy>
  <cp:revision>3</cp:revision>
  <dcterms:created xsi:type="dcterms:W3CDTF">2025-05-13T07:41:00Z</dcterms:created>
  <dcterms:modified xsi:type="dcterms:W3CDTF">2025-05-13T09:09:00Z</dcterms:modified>
</cp:coreProperties>
</file>