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3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8E2" w:rsidRPr="005438E2" w:rsidRDefault="005438E2" w:rsidP="005438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38E2">
        <w:rPr>
          <w:rFonts w:ascii="Times New Roman" w:hAnsi="Times New Roman" w:cs="Times New Roman"/>
          <w:sz w:val="24"/>
          <w:szCs w:val="24"/>
        </w:rPr>
        <w:t>УДК 332.122</w:t>
      </w:r>
    </w:p>
    <w:p w:rsidR="00085933" w:rsidRPr="005438E2" w:rsidRDefault="005438E2" w:rsidP="005438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38E2">
        <w:rPr>
          <w:rFonts w:ascii="Times New Roman" w:hAnsi="Times New Roman" w:cs="Times New Roman"/>
          <w:sz w:val="24"/>
          <w:szCs w:val="24"/>
        </w:rPr>
        <w:t xml:space="preserve"> ББК 65.04</w:t>
      </w:r>
    </w:p>
    <w:p w:rsidR="005438E2" w:rsidRDefault="005438E2" w:rsidP="00BF60F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F60F3" w:rsidRPr="005438E2" w:rsidRDefault="00BF60F3" w:rsidP="00BF60F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438E2">
        <w:rPr>
          <w:rFonts w:ascii="Times New Roman" w:hAnsi="Times New Roman" w:cs="Times New Roman"/>
          <w:sz w:val="24"/>
          <w:szCs w:val="24"/>
        </w:rPr>
        <w:t>Мельников В.В.</w:t>
      </w:r>
    </w:p>
    <w:p w:rsidR="00BF60F3" w:rsidRDefault="00BF60F3" w:rsidP="00BF60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ПАРАМЕТРЫ И </w:t>
      </w:r>
      <w:r w:rsidR="00C83AAC">
        <w:rPr>
          <w:rFonts w:ascii="Times New Roman" w:hAnsi="Times New Roman" w:cs="Times New Roman"/>
          <w:b/>
          <w:sz w:val="24"/>
          <w:szCs w:val="24"/>
        </w:rPr>
        <w:t>ТРЕНДЫ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332A">
        <w:rPr>
          <w:rFonts w:ascii="Times New Roman" w:hAnsi="Times New Roman" w:cs="Times New Roman"/>
          <w:b/>
          <w:sz w:val="24"/>
          <w:szCs w:val="24"/>
        </w:rPr>
        <w:t>МЕЖРЕГИОНАЛЬНОЙ ДИФФЕРЕНЦИАЦИИ В</w:t>
      </w:r>
      <w:r>
        <w:rPr>
          <w:rFonts w:ascii="Times New Roman" w:hAnsi="Times New Roman" w:cs="Times New Roman"/>
          <w:b/>
          <w:sz w:val="24"/>
          <w:szCs w:val="24"/>
        </w:rPr>
        <w:t xml:space="preserve"> РОССИЙСКО</w:t>
      </w:r>
      <w:r w:rsidR="0068332A">
        <w:rPr>
          <w:rFonts w:ascii="Times New Roman" w:hAnsi="Times New Roman" w:cs="Times New Roman"/>
          <w:b/>
          <w:sz w:val="24"/>
          <w:szCs w:val="24"/>
        </w:rPr>
        <w:t>Й</w:t>
      </w:r>
      <w:r>
        <w:rPr>
          <w:rFonts w:ascii="Times New Roman" w:hAnsi="Times New Roman" w:cs="Times New Roman"/>
          <w:b/>
          <w:sz w:val="24"/>
          <w:szCs w:val="24"/>
        </w:rPr>
        <w:t xml:space="preserve"> ФЕДЕРАЦИИ</w:t>
      </w:r>
    </w:p>
    <w:p w:rsidR="005438E2" w:rsidRDefault="005438E2" w:rsidP="00BF60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38E2" w:rsidRPr="005438E2" w:rsidRDefault="005438E2" w:rsidP="005438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Pr="005438E2">
        <w:rPr>
          <w:rFonts w:ascii="Times New Roman" w:hAnsi="Times New Roman" w:cs="Times New Roman"/>
          <w:sz w:val="24"/>
          <w:szCs w:val="24"/>
        </w:rPr>
        <w:t>Российские регионы дифференцированы по ряду важных параметров</w:t>
      </w:r>
      <w:r>
        <w:rPr>
          <w:rFonts w:ascii="Times New Roman" w:hAnsi="Times New Roman" w:cs="Times New Roman"/>
          <w:sz w:val="24"/>
          <w:szCs w:val="24"/>
        </w:rPr>
        <w:t>, что актуализирует определение параметров и современных трендов межрегиональной дифференциации. В работе рассмотрена динамика среднегодовой температуры воздуха в федеральных округах, индекса Джини по отдельным экономическим и социальным параметрам, коэффициента рождаемости.</w:t>
      </w:r>
    </w:p>
    <w:p w:rsidR="005438E2" w:rsidRPr="005438E2" w:rsidRDefault="005438E2" w:rsidP="005438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sz w:val="24"/>
          <w:szCs w:val="24"/>
        </w:rPr>
        <w:t>социально-экономическое неравенство, регион, индекс Джини, качество жизни.</w:t>
      </w:r>
    </w:p>
    <w:p w:rsidR="00442678" w:rsidRPr="0068332A" w:rsidRDefault="00442678" w:rsidP="0044267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0A87" w:rsidRPr="008033A6" w:rsidRDefault="00E90A87" w:rsidP="0044267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2678">
        <w:rPr>
          <w:rFonts w:ascii="Times New Roman" w:hAnsi="Times New Roman" w:cs="Times New Roman"/>
          <w:sz w:val="24"/>
          <w:szCs w:val="24"/>
        </w:rPr>
        <w:t>На сегодняшний день определены новые национальные цели РФ,</w:t>
      </w:r>
      <w:r w:rsidRPr="004426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2678">
        <w:rPr>
          <w:rFonts w:ascii="Times New Roman" w:hAnsi="Times New Roman" w:cs="Times New Roman"/>
          <w:sz w:val="24"/>
          <w:szCs w:val="24"/>
        </w:rPr>
        <w:t xml:space="preserve">утверждена </w:t>
      </w:r>
      <w:r w:rsidRPr="00442678">
        <w:rPr>
          <w:rFonts w:ascii="Times New Roman" w:hAnsi="Times New Roman" w:cs="Times New Roman"/>
          <w:bCs/>
          <w:sz w:val="24"/>
          <w:szCs w:val="24"/>
        </w:rPr>
        <w:t>Стратегия пространственного развития Российской Федерации на период до 2030 года. Однако</w:t>
      </w:r>
      <w:r w:rsidR="0047094E">
        <w:rPr>
          <w:rFonts w:ascii="Times New Roman" w:hAnsi="Times New Roman" w:cs="Times New Roman"/>
          <w:bCs/>
          <w:sz w:val="24"/>
          <w:szCs w:val="24"/>
        </w:rPr>
        <w:t>,</w:t>
      </w:r>
      <w:r w:rsidRPr="0044267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C1206" w:rsidRPr="00442678">
        <w:rPr>
          <w:rFonts w:ascii="Times New Roman" w:hAnsi="Times New Roman" w:cs="Times New Roman"/>
          <w:sz w:val="24"/>
          <w:szCs w:val="24"/>
        </w:rPr>
        <w:t xml:space="preserve">наблюдается не только высокая межрегиональная дифференциация по социальным и экономическим показателям, но и тренд, усиливающийся концентрации ресурсов (финансовых, инновационных, трудовых) в отдельных регионах на фоне опустынивания </w:t>
      </w:r>
      <w:r w:rsidR="008033A6" w:rsidRPr="00442678">
        <w:rPr>
          <w:rFonts w:ascii="Times New Roman" w:hAnsi="Times New Roman" w:cs="Times New Roman"/>
          <w:sz w:val="24"/>
          <w:szCs w:val="24"/>
        </w:rPr>
        <w:t>периферии, что</w:t>
      </w:r>
      <w:r w:rsidRPr="00442678">
        <w:rPr>
          <w:rFonts w:ascii="Times New Roman" w:hAnsi="Times New Roman" w:cs="Times New Roman"/>
          <w:sz w:val="24"/>
          <w:szCs w:val="24"/>
        </w:rPr>
        <w:t xml:space="preserve"> препятствует сбалансированному пространственному развитию. </w:t>
      </w:r>
    </w:p>
    <w:p w:rsidR="00085933" w:rsidRDefault="00085933" w:rsidP="000859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Российские регионы дифференцированы по ряду важных социально-экономических, климатических и экологических </w:t>
      </w:r>
      <w:r w:rsidR="008033A6">
        <w:rPr>
          <w:rFonts w:ascii="Times New Roman" w:hAnsi="Times New Roman" w:cs="Times New Roman"/>
          <w:sz w:val="24"/>
          <w:szCs w:val="24"/>
        </w:rPr>
        <w:t>параметров</w:t>
      </w:r>
      <w:r>
        <w:rPr>
          <w:rFonts w:ascii="Times New Roman" w:hAnsi="Times New Roman" w:cs="Times New Roman"/>
          <w:sz w:val="24"/>
          <w:szCs w:val="24"/>
        </w:rPr>
        <w:t>: а) субъекты</w:t>
      </w:r>
      <w:r w:rsidRPr="00085933">
        <w:rPr>
          <w:rFonts w:ascii="Times New Roman" w:hAnsi="Times New Roman" w:cs="Times New Roman"/>
          <w:sz w:val="24"/>
          <w:szCs w:val="24"/>
        </w:rPr>
        <w:t xml:space="preserve"> РФ расположены в границах одиннадцати часовых поясов; </w:t>
      </w:r>
      <w:r>
        <w:rPr>
          <w:rFonts w:ascii="Times New Roman" w:hAnsi="Times New Roman" w:cs="Times New Roman"/>
          <w:sz w:val="24"/>
          <w:szCs w:val="24"/>
        </w:rPr>
        <w:t>б</w:t>
      </w:r>
      <w:r w:rsidRPr="00085933">
        <w:rPr>
          <w:rFonts w:ascii="Times New Roman" w:hAnsi="Times New Roman" w:cs="Times New Roman"/>
          <w:sz w:val="24"/>
          <w:szCs w:val="24"/>
        </w:rPr>
        <w:t xml:space="preserve">) карта климатических поясов России включает три основных типа с севера на юг: арктический, субарктический и умеренный, которые имеют подтипы;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085933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регионы</w:t>
      </w:r>
      <w:r w:rsidRPr="00085933">
        <w:rPr>
          <w:rFonts w:ascii="Times New Roman" w:hAnsi="Times New Roman" w:cs="Times New Roman"/>
          <w:sz w:val="24"/>
          <w:szCs w:val="24"/>
        </w:rPr>
        <w:t xml:space="preserve"> РФ расположены   в различных природно-географических условиях, определяющих их приоритеты и угрозы развития;  </w:t>
      </w:r>
      <w:r w:rsidR="00AC13BA">
        <w:rPr>
          <w:rFonts w:ascii="Times New Roman" w:hAnsi="Times New Roman" w:cs="Times New Roman"/>
          <w:sz w:val="24"/>
          <w:szCs w:val="24"/>
        </w:rPr>
        <w:t>г</w:t>
      </w:r>
      <w:r w:rsidRPr="00085933">
        <w:rPr>
          <w:rFonts w:ascii="Times New Roman" w:hAnsi="Times New Roman" w:cs="Times New Roman"/>
          <w:sz w:val="24"/>
          <w:szCs w:val="24"/>
        </w:rPr>
        <w:t xml:space="preserve">) отсутствуют промежуточные  города с численностью населения от 2 до 5 млн. чел., 85 % городом имеют численность населения менее 100 тыс. чел.  Таким образом, определение параметров и современных трендов социально-экономического неравенства субъектов РФ приобретает особую популярность. </w:t>
      </w:r>
    </w:p>
    <w:p w:rsidR="00460186" w:rsidRPr="00D729A1" w:rsidRDefault="00460186" w:rsidP="000859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Проблемы социально-экономического неравенства находятся в </w:t>
      </w:r>
      <w:r w:rsidR="00226753">
        <w:rPr>
          <w:rFonts w:ascii="Times New Roman" w:hAnsi="Times New Roman" w:cs="Times New Roman"/>
          <w:sz w:val="24"/>
          <w:szCs w:val="24"/>
        </w:rPr>
        <w:t xml:space="preserve">фокусе зарубежных и российских исследователей: </w:t>
      </w:r>
      <w:r w:rsidR="003831EC" w:rsidRPr="003831EC">
        <w:rPr>
          <w:rFonts w:ascii="Times New Roman" w:eastAsia="Calibri" w:hAnsi="Times New Roman" w:cs="Times New Roman"/>
          <w:iCs/>
          <w:sz w:val="24"/>
          <w:szCs w:val="24"/>
        </w:rPr>
        <w:t>Д. </w:t>
      </w:r>
      <w:proofErr w:type="spellStart"/>
      <w:r w:rsidR="003831EC" w:rsidRPr="003831EC">
        <w:rPr>
          <w:rFonts w:ascii="Times New Roman" w:eastAsia="Calibri" w:hAnsi="Times New Roman" w:cs="Times New Roman"/>
          <w:iCs/>
          <w:sz w:val="24"/>
          <w:szCs w:val="24"/>
        </w:rPr>
        <w:t>Ачемоглоу</w:t>
      </w:r>
      <w:proofErr w:type="spellEnd"/>
      <w:r w:rsidR="003831EC" w:rsidRPr="003831EC">
        <w:rPr>
          <w:rFonts w:ascii="Times New Roman" w:eastAsia="Calibri" w:hAnsi="Times New Roman" w:cs="Times New Roman"/>
          <w:iCs/>
          <w:sz w:val="24"/>
          <w:szCs w:val="24"/>
        </w:rPr>
        <w:t xml:space="preserve"> и Дж. А. Робинсон</w:t>
      </w:r>
      <w:r w:rsidR="003831EC">
        <w:rPr>
          <w:rFonts w:ascii="Times New Roman" w:eastAsia="Calibri" w:hAnsi="Times New Roman" w:cs="Times New Roman"/>
          <w:iCs/>
          <w:sz w:val="24"/>
          <w:szCs w:val="24"/>
        </w:rPr>
        <w:t xml:space="preserve"> [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begin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instrText xml:space="preserve"> REF _Ref176357655 \r \h </w:instrTex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separate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t>1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end"/>
      </w:r>
      <w:r w:rsidR="003831EC">
        <w:rPr>
          <w:rFonts w:ascii="Times New Roman" w:eastAsia="Calibri" w:hAnsi="Times New Roman" w:cs="Times New Roman"/>
          <w:iCs/>
          <w:sz w:val="24"/>
          <w:szCs w:val="24"/>
        </w:rPr>
        <w:t xml:space="preserve">], </w:t>
      </w:r>
      <w:r w:rsidR="003831EC" w:rsidRPr="003831EC">
        <w:rPr>
          <w:rFonts w:ascii="Times New Roman" w:eastAsia="Calibri" w:hAnsi="Times New Roman" w:cs="Times New Roman"/>
          <w:iCs/>
          <w:sz w:val="24"/>
          <w:szCs w:val="24"/>
        </w:rPr>
        <w:t>Т. Ремингтон</w:t>
      </w:r>
      <w:r w:rsidR="003831EC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3831EC" w:rsidRPr="003831EC">
        <w:rPr>
          <w:rFonts w:ascii="Times New Roman" w:eastAsia="Calibri" w:hAnsi="Times New Roman" w:cs="Times New Roman"/>
          <w:iCs/>
          <w:sz w:val="24"/>
          <w:szCs w:val="24"/>
        </w:rPr>
        <w:t>[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begin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instrText xml:space="preserve"> REF _Ref173760124 \r \h </w:instrTex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separate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t>2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end"/>
      </w:r>
      <w:r w:rsidR="003831EC" w:rsidRPr="003831EC">
        <w:rPr>
          <w:rFonts w:ascii="Times New Roman" w:eastAsia="Calibri" w:hAnsi="Times New Roman" w:cs="Times New Roman"/>
          <w:iCs/>
          <w:sz w:val="24"/>
          <w:szCs w:val="24"/>
        </w:rPr>
        <w:t>]</w:t>
      </w:r>
      <w:r w:rsidR="003831EC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47094E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Л. </w:t>
      </w:r>
      <w:proofErr w:type="spellStart"/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>Батракова</w:t>
      </w:r>
      <w:proofErr w:type="spellEnd"/>
      <w:r w:rsidR="00D729A1">
        <w:rPr>
          <w:rFonts w:ascii="Times New Roman" w:eastAsia="Calibri" w:hAnsi="Times New Roman" w:cs="Times New Roman"/>
          <w:iCs/>
          <w:sz w:val="24"/>
          <w:szCs w:val="24"/>
        </w:rPr>
        <w:t xml:space="preserve"> [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begin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instrText xml:space="preserve"> REF _Ref173760155 \r \h </w:instrTex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separate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t>3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end"/>
      </w:r>
      <w:proofErr w:type="gramStart"/>
      <w:r w:rsidR="00D729A1">
        <w:rPr>
          <w:rFonts w:ascii="Times New Roman" w:eastAsia="Calibri" w:hAnsi="Times New Roman" w:cs="Times New Roman"/>
          <w:iCs/>
          <w:sz w:val="24"/>
          <w:szCs w:val="24"/>
        </w:rPr>
        <w:t>],</w:t>
      </w:r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>В.</w:t>
      </w:r>
      <w:proofErr w:type="gramEnd"/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> Плотникова и Е. </w:t>
      </w:r>
      <w:proofErr w:type="spellStart"/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>Лисинова</w:t>
      </w:r>
      <w:proofErr w:type="spellEnd"/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 [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begin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instrText xml:space="preserve"> REF _Ref173760238 \r \h </w:instrTex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separate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t>4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end"/>
      </w:r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],А. </w:t>
      </w:r>
      <w:proofErr w:type="spellStart"/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>Буфетова</w:t>
      </w:r>
      <w:proofErr w:type="spellEnd"/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 [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begin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instrText xml:space="preserve"> REF _Ref173935537 \r \h </w:instrTex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separate"/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t>5</w:t>
      </w:r>
      <w:r w:rsidR="00167DA1">
        <w:rPr>
          <w:rFonts w:ascii="Times New Roman" w:eastAsia="Calibri" w:hAnsi="Times New Roman" w:cs="Times New Roman"/>
          <w:iCs/>
          <w:sz w:val="24"/>
          <w:szCs w:val="24"/>
        </w:rPr>
        <w:fldChar w:fldCharType="end"/>
      </w:r>
      <w:r w:rsidR="00D729A1" w:rsidRPr="00D729A1">
        <w:rPr>
          <w:rFonts w:ascii="Times New Roman" w:eastAsia="Calibri" w:hAnsi="Times New Roman" w:cs="Times New Roman"/>
          <w:iCs/>
          <w:sz w:val="24"/>
          <w:szCs w:val="24"/>
        </w:rPr>
        <w:t>]</w:t>
      </w:r>
      <w:r w:rsidR="00D729A1">
        <w:rPr>
          <w:rFonts w:ascii="Times New Roman" w:eastAsia="Calibri" w:hAnsi="Times New Roman" w:cs="Times New Roman"/>
          <w:iCs/>
          <w:sz w:val="24"/>
          <w:szCs w:val="24"/>
        </w:rPr>
        <w:t xml:space="preserve"> и др.</w:t>
      </w:r>
    </w:p>
    <w:p w:rsidR="00617107" w:rsidRDefault="007912E2" w:rsidP="000859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Исследователи и представителя власти используют ряд значимых статистических показателей для оценки социально-экономического неравенства </w:t>
      </w:r>
      <w:r w:rsidR="009E225C">
        <w:rPr>
          <w:rFonts w:ascii="Times New Roman" w:hAnsi="Times New Roman" w:cs="Times New Roman"/>
          <w:sz w:val="24"/>
          <w:szCs w:val="24"/>
        </w:rPr>
        <w:t>городов и регионов РФ. Рассмотрим, на наш взгляд наиболее релевантные параметры</w:t>
      </w:r>
      <w:r w:rsidR="00C63426">
        <w:rPr>
          <w:rFonts w:ascii="Times New Roman" w:hAnsi="Times New Roman" w:cs="Times New Roman"/>
          <w:sz w:val="24"/>
          <w:szCs w:val="24"/>
        </w:rPr>
        <w:t>.</w:t>
      </w:r>
    </w:p>
    <w:p w:rsidR="00C63426" w:rsidRDefault="0047094E" w:rsidP="00C6342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8"/>
        </w:rPr>
      </w:pPr>
      <w:r>
        <w:rPr>
          <w:rFonts w:ascii="Times New Roman" w:eastAsia="Calibri" w:hAnsi="Times New Roman" w:cs="Times New Roman"/>
          <w:sz w:val="24"/>
          <w:szCs w:val="28"/>
        </w:rPr>
        <w:t>Результаты оценки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динамик</w:t>
      </w:r>
      <w:r>
        <w:rPr>
          <w:rFonts w:ascii="Times New Roman" w:eastAsia="Calibri" w:hAnsi="Times New Roman" w:cs="Times New Roman"/>
          <w:sz w:val="24"/>
          <w:szCs w:val="28"/>
        </w:rPr>
        <w:t>и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среднегодовой температуры воздуха в федеральных округах России </w:t>
      </w:r>
      <w:r>
        <w:rPr>
          <w:rFonts w:ascii="Times New Roman" w:eastAsia="Calibri" w:hAnsi="Times New Roman" w:cs="Times New Roman"/>
          <w:sz w:val="24"/>
          <w:szCs w:val="28"/>
        </w:rPr>
        <w:t>представлены на рисунке 1.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</w:t>
      </w:r>
      <w:r>
        <w:rPr>
          <w:rFonts w:ascii="Times New Roman" w:eastAsia="Calibri" w:hAnsi="Times New Roman" w:cs="Times New Roman"/>
          <w:sz w:val="24"/>
          <w:szCs w:val="28"/>
        </w:rPr>
        <w:t>Можем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сделать вывод, что в территориальном пространстве РФ условно существу</w:t>
      </w:r>
      <w:r>
        <w:rPr>
          <w:rFonts w:ascii="Times New Roman" w:eastAsia="Calibri" w:hAnsi="Times New Roman" w:cs="Times New Roman"/>
          <w:sz w:val="24"/>
          <w:szCs w:val="28"/>
        </w:rPr>
        <w:t>ю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т </w:t>
      </w:r>
      <w:r>
        <w:rPr>
          <w:rFonts w:ascii="Times New Roman" w:eastAsia="Calibri" w:hAnsi="Times New Roman" w:cs="Times New Roman"/>
          <w:sz w:val="24"/>
          <w:szCs w:val="28"/>
        </w:rPr>
        <w:t>различные уровни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среднегодов</w:t>
      </w:r>
      <w:r>
        <w:rPr>
          <w:rFonts w:ascii="Times New Roman" w:eastAsia="Calibri" w:hAnsi="Times New Roman" w:cs="Times New Roman"/>
          <w:sz w:val="24"/>
          <w:szCs w:val="28"/>
        </w:rPr>
        <w:t>ой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температур</w:t>
      </w:r>
      <w:r>
        <w:rPr>
          <w:rFonts w:ascii="Times New Roman" w:eastAsia="Calibri" w:hAnsi="Times New Roman" w:cs="Times New Roman"/>
          <w:sz w:val="24"/>
          <w:szCs w:val="28"/>
        </w:rPr>
        <w:t>ы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воздуха: а) высокий (ЮФО и СКФО); б) средний (ЦФО, СЗФО, ПФО); в) низкий (СФО, УФО, ДВФО)</w:t>
      </w:r>
      <w:r w:rsidR="00C63426" w:rsidRPr="00C63426">
        <w:rPr>
          <w:rFonts w:ascii="Times New Roman" w:eastAsia="Calibri" w:hAnsi="Times New Roman" w:cs="Times New Roman"/>
          <w:sz w:val="24"/>
          <w:szCs w:val="28"/>
          <w:vertAlign w:val="superscript"/>
        </w:rPr>
        <w:footnoteReference w:id="1"/>
      </w:r>
      <w:r w:rsidR="00C63426">
        <w:rPr>
          <w:rFonts w:ascii="Times New Roman" w:eastAsia="Calibri" w:hAnsi="Times New Roman" w:cs="Times New Roman"/>
          <w:sz w:val="24"/>
          <w:szCs w:val="28"/>
        </w:rPr>
        <w:t>, что определяет</w:t>
      </w:r>
      <w:r>
        <w:rPr>
          <w:rFonts w:ascii="Times New Roman" w:eastAsia="Calibri" w:hAnsi="Times New Roman" w:cs="Times New Roman"/>
          <w:sz w:val="24"/>
          <w:szCs w:val="28"/>
        </w:rPr>
        <w:t xml:space="preserve"> не только</w:t>
      </w:r>
      <w:r w:rsidR="00C63426">
        <w:rPr>
          <w:rFonts w:ascii="Times New Roman" w:eastAsia="Calibri" w:hAnsi="Times New Roman" w:cs="Times New Roman"/>
          <w:sz w:val="24"/>
          <w:szCs w:val="28"/>
        </w:rPr>
        <w:t xml:space="preserve"> качество жизни населения</w:t>
      </w:r>
      <w:r>
        <w:rPr>
          <w:rFonts w:ascii="Times New Roman" w:eastAsia="Calibri" w:hAnsi="Times New Roman" w:cs="Times New Roman"/>
          <w:sz w:val="24"/>
          <w:szCs w:val="28"/>
        </w:rPr>
        <w:t>, но</w:t>
      </w:r>
      <w:r w:rsidR="00C63426">
        <w:rPr>
          <w:rFonts w:ascii="Times New Roman" w:eastAsia="Calibri" w:hAnsi="Times New Roman" w:cs="Times New Roman"/>
          <w:sz w:val="24"/>
          <w:szCs w:val="28"/>
        </w:rPr>
        <w:t xml:space="preserve"> и </w:t>
      </w:r>
      <w:r>
        <w:rPr>
          <w:rFonts w:ascii="Times New Roman" w:eastAsia="Calibri" w:hAnsi="Times New Roman" w:cs="Times New Roman"/>
          <w:sz w:val="24"/>
          <w:szCs w:val="28"/>
        </w:rPr>
        <w:t>размещение производительных сил в пространственной экономике РФ</w:t>
      </w:r>
      <w:r w:rsidR="00C63426">
        <w:rPr>
          <w:rFonts w:ascii="Times New Roman" w:eastAsia="Calibri" w:hAnsi="Times New Roman" w:cs="Times New Roman"/>
          <w:sz w:val="24"/>
          <w:szCs w:val="28"/>
        </w:rPr>
        <w:t>.</w:t>
      </w:r>
    </w:p>
    <w:p w:rsidR="00A239B2" w:rsidRDefault="00A239B2" w:rsidP="00C6342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8"/>
        </w:rPr>
      </w:pPr>
      <w:r>
        <w:rPr>
          <w:rFonts w:ascii="Times New Roman" w:eastAsia="Calibri" w:hAnsi="Times New Roman" w:cs="Times New Roman"/>
          <w:sz w:val="24"/>
          <w:szCs w:val="28"/>
        </w:rPr>
        <w:t>Анализ динамики экономического и социального неравенства субъектов РФ проведем путем расчета индекса Джини по ряду показателей (рис. 2-3).</w:t>
      </w:r>
    </w:p>
    <w:p w:rsidR="008033A6" w:rsidRPr="00C63426" w:rsidRDefault="008033A6" w:rsidP="00C6342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8"/>
        </w:rPr>
      </w:pPr>
      <w:bookmarkStart w:id="0" w:name="_GoBack"/>
      <w:bookmarkEnd w:id="0"/>
    </w:p>
    <w:p w:rsidR="00C63426" w:rsidRPr="00C63426" w:rsidRDefault="00C63426" w:rsidP="00C63426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C63426"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 wp14:anchorId="3300122F" wp14:editId="24C65A63">
            <wp:extent cx="5909901" cy="263347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58" cy="26485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3426" w:rsidRPr="00C63426" w:rsidRDefault="00C63426" w:rsidP="00C63426">
      <w:pPr>
        <w:spacing w:after="0" w:line="240" w:lineRule="auto"/>
        <w:jc w:val="center"/>
        <w:rPr>
          <w:rFonts w:ascii="Times New Roman" w:eastAsia="Calibri" w:hAnsi="Times New Roman" w:cs="Times New Roman"/>
          <w:szCs w:val="28"/>
        </w:rPr>
      </w:pPr>
      <w:r w:rsidRPr="00C63426">
        <w:rPr>
          <w:rFonts w:ascii="Times New Roman" w:eastAsia="Calibri" w:hAnsi="Times New Roman" w:cs="Times New Roman"/>
          <w:szCs w:val="28"/>
        </w:rPr>
        <w:t>Рис</w:t>
      </w:r>
      <w:r w:rsidR="00B86170">
        <w:rPr>
          <w:rFonts w:ascii="Times New Roman" w:eastAsia="Calibri" w:hAnsi="Times New Roman" w:cs="Times New Roman"/>
          <w:szCs w:val="28"/>
        </w:rPr>
        <w:t>.</w:t>
      </w:r>
      <w:r w:rsidRPr="00C63426">
        <w:rPr>
          <w:rFonts w:ascii="Times New Roman" w:eastAsia="Calibri" w:hAnsi="Times New Roman" w:cs="Times New Roman"/>
          <w:szCs w:val="28"/>
        </w:rPr>
        <w:t xml:space="preserve"> 1 </w:t>
      </w:r>
      <w:r w:rsidRPr="00B86170">
        <w:rPr>
          <w:rFonts w:ascii="Times New Roman" w:eastAsia="Calibri" w:hAnsi="Times New Roman" w:cs="Times New Roman"/>
          <w:b/>
          <w:szCs w:val="28"/>
        </w:rPr>
        <w:t>Динамика среднегодовой температуры воздуха в федеральных округах России 2009–2023г.</w:t>
      </w:r>
      <w:r w:rsidRPr="00C63426">
        <w:rPr>
          <w:rFonts w:ascii="Times New Roman" w:eastAsia="Calibri" w:hAnsi="Times New Roman" w:cs="Times New Roman"/>
          <w:szCs w:val="28"/>
          <w:vertAlign w:val="superscript"/>
        </w:rPr>
        <w:footnoteReference w:id="2"/>
      </w:r>
    </w:p>
    <w:p w:rsidR="00AC13BA" w:rsidRDefault="00C63426" w:rsidP="008033A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8"/>
        </w:rPr>
      </w:pPr>
      <w:r>
        <w:rPr>
          <w:rFonts w:ascii="Times New Roman" w:eastAsia="Calibri" w:hAnsi="Times New Roman" w:cs="Times New Roman"/>
          <w:sz w:val="20"/>
          <w:szCs w:val="28"/>
        </w:rPr>
        <w:t xml:space="preserve">Источник: </w:t>
      </w:r>
      <w:r w:rsidRPr="00C63426">
        <w:rPr>
          <w:rFonts w:ascii="Times New Roman" w:eastAsia="Calibri" w:hAnsi="Times New Roman" w:cs="Times New Roman"/>
          <w:sz w:val="20"/>
          <w:szCs w:val="28"/>
        </w:rPr>
        <w:t>Температура воздуха и осадки по месяцам и годам: http://www.pogodaiklimat.ru/history.php (дата обращения 23.0</w:t>
      </w:r>
      <w:r>
        <w:rPr>
          <w:rFonts w:ascii="Times New Roman" w:eastAsia="Calibri" w:hAnsi="Times New Roman" w:cs="Times New Roman"/>
          <w:sz w:val="20"/>
          <w:szCs w:val="28"/>
        </w:rPr>
        <w:t>1</w:t>
      </w:r>
      <w:r w:rsidRPr="00C63426">
        <w:rPr>
          <w:rFonts w:ascii="Times New Roman" w:eastAsia="Calibri" w:hAnsi="Times New Roman" w:cs="Times New Roman"/>
          <w:sz w:val="20"/>
          <w:szCs w:val="28"/>
        </w:rPr>
        <w:t>.202</w:t>
      </w:r>
      <w:r>
        <w:rPr>
          <w:rFonts w:ascii="Times New Roman" w:eastAsia="Calibri" w:hAnsi="Times New Roman" w:cs="Times New Roman"/>
          <w:sz w:val="20"/>
          <w:szCs w:val="28"/>
        </w:rPr>
        <w:t>5</w:t>
      </w:r>
      <w:r w:rsidRPr="00C63426">
        <w:rPr>
          <w:rFonts w:ascii="Times New Roman" w:eastAsia="Calibri" w:hAnsi="Times New Roman" w:cs="Times New Roman"/>
          <w:sz w:val="20"/>
          <w:szCs w:val="28"/>
        </w:rPr>
        <w:t>г.)</w:t>
      </w:r>
      <w:r w:rsidR="008033A6">
        <w:rPr>
          <w:rFonts w:ascii="Times New Roman" w:eastAsia="Calibri" w:hAnsi="Times New Roman" w:cs="Times New Roman"/>
          <w:sz w:val="20"/>
          <w:szCs w:val="28"/>
        </w:rPr>
        <w:t xml:space="preserve"> </w:t>
      </w:r>
    </w:p>
    <w:p w:rsidR="00C63426" w:rsidRPr="008033A6" w:rsidRDefault="00AC13BA" w:rsidP="008033A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8"/>
        </w:rPr>
      </w:pPr>
      <w:r>
        <w:rPr>
          <w:rFonts w:ascii="Times New Roman" w:eastAsia="Calibri" w:hAnsi="Times New Roman" w:cs="Times New Roman"/>
          <w:sz w:val="24"/>
          <w:szCs w:val="28"/>
        </w:rPr>
        <w:t>Таким образом, можем констатировать, что на всей</w:t>
      </w:r>
      <w:r w:rsidR="00C63426">
        <w:rPr>
          <w:rFonts w:ascii="Times New Roman" w:eastAsia="Calibri" w:hAnsi="Times New Roman" w:cs="Times New Roman"/>
          <w:sz w:val="24"/>
          <w:szCs w:val="28"/>
        </w:rPr>
        <w:t xml:space="preserve"> территории </w:t>
      </w:r>
      <w:r>
        <w:rPr>
          <w:rFonts w:ascii="Times New Roman" w:eastAsia="Calibri" w:hAnsi="Times New Roman" w:cs="Times New Roman"/>
          <w:sz w:val="24"/>
          <w:szCs w:val="28"/>
        </w:rPr>
        <w:t>России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намечена </w:t>
      </w:r>
      <w:r>
        <w:rPr>
          <w:rFonts w:ascii="Times New Roman" w:eastAsia="Calibri" w:hAnsi="Times New Roman" w:cs="Times New Roman"/>
          <w:sz w:val="24"/>
          <w:szCs w:val="28"/>
        </w:rPr>
        <w:t xml:space="preserve">положительная 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>тенденция рост</w:t>
      </w:r>
      <w:r>
        <w:rPr>
          <w:rFonts w:ascii="Times New Roman" w:eastAsia="Calibri" w:hAnsi="Times New Roman" w:cs="Times New Roman"/>
          <w:sz w:val="24"/>
          <w:szCs w:val="28"/>
        </w:rPr>
        <w:t>а</w:t>
      </w:r>
      <w:r w:rsidR="00C63426" w:rsidRPr="00C63426">
        <w:rPr>
          <w:rFonts w:ascii="Times New Roman" w:eastAsia="Calibri" w:hAnsi="Times New Roman" w:cs="Times New Roman"/>
          <w:sz w:val="24"/>
          <w:szCs w:val="28"/>
        </w:rPr>
        <w:t xml:space="preserve"> среднегодовой температуры воздуха.</w:t>
      </w:r>
    </w:p>
    <w:p w:rsidR="00C63426" w:rsidRPr="00085933" w:rsidRDefault="00C63426" w:rsidP="000859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46C4" w:rsidRPr="003346C4" w:rsidRDefault="003346C4" w:rsidP="003346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346C4">
        <w:rPr>
          <w:rFonts w:ascii="Times New Roman" w:hAnsi="Times New Roman" w:cs="Times New Roman"/>
          <w:b/>
          <w:noProof/>
          <w:color w:val="000000" w:themeColor="text1"/>
          <w:lang w:eastAsia="ru-RU"/>
        </w:rPr>
        <w:drawing>
          <wp:inline distT="0" distB="0" distL="0" distR="0" wp14:anchorId="175BF87E" wp14:editId="3E58AADA">
            <wp:extent cx="6069330" cy="2473929"/>
            <wp:effectExtent l="0" t="0" r="7620" b="317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72A4B" w:rsidRDefault="003346C4" w:rsidP="003346C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B8617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33A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170">
        <w:rPr>
          <w:rFonts w:ascii="Times New Roman" w:hAnsi="Times New Roman" w:cs="Times New Roman"/>
          <w:b/>
          <w:sz w:val="24"/>
          <w:szCs w:val="24"/>
        </w:rPr>
        <w:t>Динамика экономического неравенства регионов Российской Федерации в 2010-2023 гг., индекс Джини</w:t>
      </w:r>
    </w:p>
    <w:p w:rsidR="001D0E50" w:rsidRDefault="00E752B6" w:rsidP="001D0E50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0"/>
          <w:szCs w:val="24"/>
        </w:rPr>
      </w:pPr>
      <w:r w:rsidRPr="00E752B6">
        <w:rPr>
          <w:rFonts w:ascii="Times New Roman" w:hAnsi="Times New Roman" w:cs="Times New Roman"/>
          <w:bCs/>
          <w:iCs/>
          <w:sz w:val="20"/>
          <w:szCs w:val="24"/>
        </w:rPr>
        <w:t xml:space="preserve">Источник: </w:t>
      </w:r>
      <w:r w:rsidR="001D0E50" w:rsidRPr="001D0E50">
        <w:rPr>
          <w:rFonts w:ascii="Times New Roman" w:hAnsi="Times New Roman" w:cs="Times New Roman"/>
          <w:bCs/>
          <w:iCs/>
          <w:sz w:val="20"/>
          <w:szCs w:val="24"/>
        </w:rPr>
        <w:t>Регионы России. Социально-экон</w:t>
      </w:r>
      <w:r w:rsidR="001D0E50">
        <w:rPr>
          <w:rFonts w:ascii="Times New Roman" w:hAnsi="Times New Roman" w:cs="Times New Roman"/>
          <w:bCs/>
          <w:iCs/>
          <w:sz w:val="20"/>
          <w:szCs w:val="24"/>
        </w:rPr>
        <w:t>омические показатели. 2024:</w:t>
      </w:r>
      <w:r w:rsidR="001D0E50" w:rsidRPr="001D0E50">
        <w:rPr>
          <w:rFonts w:ascii="Times New Roman" w:hAnsi="Times New Roman" w:cs="Times New Roman"/>
          <w:bCs/>
          <w:iCs/>
          <w:sz w:val="20"/>
          <w:szCs w:val="24"/>
        </w:rPr>
        <w:t xml:space="preserve">Стат. сб. / Росстат. </w:t>
      </w:r>
      <w:r w:rsidR="001D0E50" w:rsidRPr="001D0E50">
        <w:rPr>
          <w:rFonts w:ascii="Times New Roman" w:hAnsi="Times New Roman" w:cs="Times New Roman"/>
          <w:bCs/>
          <w:iCs/>
          <w:sz w:val="20"/>
          <w:szCs w:val="24"/>
        </w:rPr>
        <w:sym w:font="Symbol" w:char="F02D"/>
      </w:r>
      <w:r w:rsidR="001D0E50" w:rsidRPr="001D0E50">
        <w:rPr>
          <w:rFonts w:ascii="Times New Roman" w:hAnsi="Times New Roman" w:cs="Times New Roman"/>
          <w:bCs/>
          <w:iCs/>
          <w:sz w:val="20"/>
          <w:szCs w:val="24"/>
        </w:rPr>
        <w:t xml:space="preserve"> М., 2024. </w:t>
      </w:r>
      <w:r w:rsidR="001D0E50" w:rsidRPr="001D0E50">
        <w:rPr>
          <w:rFonts w:ascii="Times New Roman" w:hAnsi="Times New Roman" w:cs="Times New Roman"/>
          <w:bCs/>
          <w:iCs/>
          <w:sz w:val="20"/>
          <w:szCs w:val="24"/>
        </w:rPr>
        <w:sym w:font="Symbol" w:char="F02D"/>
      </w:r>
      <w:r w:rsidR="001D0E50" w:rsidRPr="001D0E50">
        <w:rPr>
          <w:rFonts w:ascii="Times New Roman" w:hAnsi="Times New Roman" w:cs="Times New Roman"/>
          <w:bCs/>
          <w:iCs/>
          <w:sz w:val="20"/>
          <w:szCs w:val="24"/>
        </w:rPr>
        <w:t xml:space="preserve"> 1081. </w:t>
      </w:r>
    </w:p>
    <w:p w:rsidR="001D0E50" w:rsidRDefault="001D0E50" w:rsidP="001D0E50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0"/>
          <w:szCs w:val="24"/>
        </w:rPr>
      </w:pPr>
    </w:p>
    <w:p w:rsidR="00E76095" w:rsidRPr="00862354" w:rsidRDefault="00D60E81" w:rsidP="0086235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можем заключить, что за период 2010-2023 гг. наблюдает незначительный рост  экономического  неравенства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716B0">
        <w:rPr>
          <w:rFonts w:ascii="Times New Roman" w:hAnsi="Times New Roman" w:cs="Times New Roman"/>
          <w:sz w:val="24"/>
          <w:szCs w:val="24"/>
        </w:rPr>
        <w:t>регионов РФ.</w:t>
      </w:r>
      <w:r w:rsidR="00E86BB4">
        <w:rPr>
          <w:rFonts w:ascii="Times New Roman" w:hAnsi="Times New Roman" w:cs="Times New Roman"/>
          <w:sz w:val="24"/>
          <w:szCs w:val="24"/>
        </w:rPr>
        <w:t xml:space="preserve"> Подчеркнем, что наиболее высокая дифференциация субъектов РФ отмечается по параметру «ВРП на душу населения»</w:t>
      </w:r>
      <w:r w:rsidR="00EB4F98">
        <w:rPr>
          <w:rFonts w:ascii="Times New Roman" w:hAnsi="Times New Roman" w:cs="Times New Roman"/>
          <w:sz w:val="24"/>
          <w:szCs w:val="24"/>
        </w:rPr>
        <w:t>, при это за период 2013-2018 гг. произошел рост неравенства с последующим снижением по параметру «инвестиции в основной капитал на душу населения».</w:t>
      </w:r>
    </w:p>
    <w:p w:rsidR="00E76095" w:rsidRPr="00E76095" w:rsidRDefault="0096499B" w:rsidP="00180A0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782916DA" wp14:editId="5E611F59">
            <wp:extent cx="6254750" cy="3146347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E76095" w:rsidRPr="00E76095" w:rsidRDefault="00E76095" w:rsidP="00E7609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E76095" w:rsidRPr="00B86170" w:rsidRDefault="00E76095" w:rsidP="008033A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8"/>
        </w:rPr>
      </w:pPr>
      <w:r w:rsidRPr="008033A6">
        <w:rPr>
          <w:rFonts w:ascii="Times New Roman" w:eastAsia="Calibri" w:hAnsi="Times New Roman" w:cs="Times New Roman"/>
          <w:sz w:val="24"/>
          <w:szCs w:val="28"/>
        </w:rPr>
        <w:t>Рис</w:t>
      </w:r>
      <w:r w:rsidR="00B86170">
        <w:rPr>
          <w:rFonts w:ascii="Times New Roman" w:eastAsia="Calibri" w:hAnsi="Times New Roman" w:cs="Times New Roman"/>
          <w:sz w:val="24"/>
          <w:szCs w:val="28"/>
        </w:rPr>
        <w:t>.</w:t>
      </w:r>
      <w:r w:rsidRPr="008033A6">
        <w:rPr>
          <w:rFonts w:ascii="Times New Roman" w:eastAsia="Calibri" w:hAnsi="Times New Roman" w:cs="Times New Roman"/>
          <w:sz w:val="24"/>
          <w:szCs w:val="28"/>
        </w:rPr>
        <w:t xml:space="preserve">  </w:t>
      </w:r>
      <w:r w:rsidR="008033A6">
        <w:rPr>
          <w:rFonts w:ascii="Times New Roman" w:eastAsia="Calibri" w:hAnsi="Times New Roman" w:cs="Times New Roman"/>
          <w:sz w:val="24"/>
          <w:szCs w:val="28"/>
        </w:rPr>
        <w:t>3</w:t>
      </w:r>
      <w:r w:rsidRPr="008033A6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Pr="00B86170">
        <w:rPr>
          <w:rFonts w:ascii="Times New Roman" w:eastAsia="Calibri" w:hAnsi="Times New Roman" w:cs="Times New Roman"/>
          <w:b/>
          <w:sz w:val="24"/>
          <w:szCs w:val="28"/>
        </w:rPr>
        <w:t>Динамика социального неравенства регионов России в 2000-2022 гг., индекс Джини</w:t>
      </w:r>
    </w:p>
    <w:p w:rsidR="00E76095" w:rsidRDefault="00E76095" w:rsidP="008033A6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0"/>
          <w:szCs w:val="24"/>
        </w:rPr>
      </w:pPr>
      <w:r w:rsidRPr="00E752B6">
        <w:rPr>
          <w:rFonts w:ascii="Times New Roman" w:hAnsi="Times New Roman" w:cs="Times New Roman"/>
          <w:bCs/>
          <w:iCs/>
          <w:sz w:val="20"/>
          <w:szCs w:val="24"/>
        </w:rPr>
        <w:t xml:space="preserve">Источник: </w:t>
      </w:r>
      <w:r w:rsidRPr="001D0E50">
        <w:rPr>
          <w:rFonts w:ascii="Times New Roman" w:hAnsi="Times New Roman" w:cs="Times New Roman"/>
          <w:bCs/>
          <w:iCs/>
          <w:sz w:val="20"/>
          <w:szCs w:val="24"/>
        </w:rPr>
        <w:t>Регионы России. Социально-экон</w:t>
      </w:r>
      <w:r>
        <w:rPr>
          <w:rFonts w:ascii="Times New Roman" w:hAnsi="Times New Roman" w:cs="Times New Roman"/>
          <w:bCs/>
          <w:iCs/>
          <w:sz w:val="20"/>
          <w:szCs w:val="24"/>
        </w:rPr>
        <w:t>омические показатели. 2024:</w:t>
      </w:r>
      <w:r w:rsidRPr="001D0E50">
        <w:rPr>
          <w:rFonts w:ascii="Times New Roman" w:hAnsi="Times New Roman" w:cs="Times New Roman"/>
          <w:bCs/>
          <w:iCs/>
          <w:sz w:val="20"/>
          <w:szCs w:val="24"/>
        </w:rPr>
        <w:t xml:space="preserve">Стат. сб. / Росстат. </w:t>
      </w:r>
      <w:r w:rsidRPr="001D0E50">
        <w:rPr>
          <w:rFonts w:ascii="Times New Roman" w:hAnsi="Times New Roman" w:cs="Times New Roman"/>
          <w:bCs/>
          <w:iCs/>
          <w:sz w:val="20"/>
          <w:szCs w:val="24"/>
        </w:rPr>
        <w:sym w:font="Symbol" w:char="F02D"/>
      </w:r>
      <w:r w:rsidRPr="001D0E50">
        <w:rPr>
          <w:rFonts w:ascii="Times New Roman" w:hAnsi="Times New Roman" w:cs="Times New Roman"/>
          <w:bCs/>
          <w:iCs/>
          <w:sz w:val="20"/>
          <w:szCs w:val="24"/>
        </w:rPr>
        <w:t xml:space="preserve"> М., 2024. </w:t>
      </w:r>
      <w:r w:rsidRPr="001D0E50">
        <w:rPr>
          <w:rFonts w:ascii="Times New Roman" w:hAnsi="Times New Roman" w:cs="Times New Roman"/>
          <w:bCs/>
          <w:iCs/>
          <w:sz w:val="20"/>
          <w:szCs w:val="24"/>
        </w:rPr>
        <w:sym w:font="Symbol" w:char="F02D"/>
      </w:r>
      <w:r w:rsidRPr="001D0E50">
        <w:rPr>
          <w:rFonts w:ascii="Times New Roman" w:hAnsi="Times New Roman" w:cs="Times New Roman"/>
          <w:bCs/>
          <w:iCs/>
          <w:sz w:val="20"/>
          <w:szCs w:val="24"/>
        </w:rPr>
        <w:t xml:space="preserve"> 1081. </w:t>
      </w:r>
    </w:p>
    <w:p w:rsidR="00E76095" w:rsidRPr="00E76095" w:rsidRDefault="00E76095" w:rsidP="008033A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76095" w:rsidRPr="00E76095" w:rsidRDefault="00E76095" w:rsidP="0058544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76095">
        <w:rPr>
          <w:rFonts w:ascii="Times New Roman" w:eastAsia="Calibri" w:hAnsi="Times New Roman" w:cs="Times New Roman"/>
          <w:sz w:val="24"/>
          <w:szCs w:val="24"/>
        </w:rPr>
        <w:t xml:space="preserve">Индекс Джини по показателю «прирост (уменьшение) денег у населения» составляющий 0,39 (минимальное значение) в 2000 г. достиг максимального значения в 2022 г. – 0,62, </w:t>
      </w:r>
      <w:r w:rsidR="0058544F" w:rsidRPr="0058544F">
        <w:rPr>
          <w:rFonts w:ascii="Times New Roman" w:eastAsia="Calibri" w:hAnsi="Times New Roman" w:cs="Times New Roman"/>
          <w:sz w:val="24"/>
          <w:szCs w:val="24"/>
        </w:rPr>
        <w:t xml:space="preserve">возникший тренд </w:t>
      </w:r>
      <w:r w:rsidRPr="00E76095">
        <w:rPr>
          <w:rFonts w:ascii="Times New Roman" w:eastAsia="Calibri" w:hAnsi="Times New Roman" w:cs="Times New Roman"/>
          <w:sz w:val="24"/>
          <w:szCs w:val="24"/>
        </w:rPr>
        <w:t>позволят заключить о росте неравенства по данному критерию. В 2000 г. в пяти регионах-лидерах сосредоточено 22,5 % денежных накоплений у населения, в 2002 г. – 26,6%, в 2022г. – 48,8%. Полученные расчётные данные позволяют заключить, что на сегодняшний день в России складывается негативная ситуация «богатый богатеет, бедный беднеет». По критериям «среднемесячная номинальная начисленная заработная плата», «численность населения с доходами ниже границы бедности», «объем платных у</w:t>
      </w:r>
      <w:r w:rsidR="0058544F" w:rsidRPr="0058544F">
        <w:rPr>
          <w:rFonts w:ascii="Times New Roman" w:eastAsia="Calibri" w:hAnsi="Times New Roman" w:cs="Times New Roman"/>
          <w:sz w:val="24"/>
          <w:szCs w:val="24"/>
        </w:rPr>
        <w:t>слуг на душу населения» намечен</w:t>
      </w:r>
      <w:r w:rsidRPr="00E7609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544F" w:rsidRPr="0058544F">
        <w:rPr>
          <w:rFonts w:ascii="Times New Roman" w:eastAsia="Calibri" w:hAnsi="Times New Roman" w:cs="Times New Roman"/>
          <w:sz w:val="24"/>
          <w:szCs w:val="24"/>
        </w:rPr>
        <w:t>тренд</w:t>
      </w:r>
      <w:r w:rsidRPr="00E76095">
        <w:rPr>
          <w:rFonts w:ascii="Times New Roman" w:eastAsia="Calibri" w:hAnsi="Times New Roman" w:cs="Times New Roman"/>
          <w:sz w:val="24"/>
          <w:szCs w:val="24"/>
        </w:rPr>
        <w:t xml:space="preserve"> на снижение дифференциации, но значимых изменений не наблюдается.</w:t>
      </w:r>
    </w:p>
    <w:p w:rsidR="00B826C2" w:rsidRDefault="0096499B" w:rsidP="001D0E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процессе </w:t>
      </w:r>
      <w:r w:rsidR="00C074AA">
        <w:rPr>
          <w:rFonts w:ascii="Times New Roman" w:hAnsi="Times New Roman" w:cs="Times New Roman"/>
          <w:sz w:val="24"/>
          <w:szCs w:val="24"/>
        </w:rPr>
        <w:t>анализа параметров социально-экономического неравенства важным представляется рассмотреть дифференциаци</w:t>
      </w:r>
      <w:r w:rsidR="00E660DC">
        <w:rPr>
          <w:rFonts w:ascii="Times New Roman" w:hAnsi="Times New Roman" w:cs="Times New Roman"/>
          <w:sz w:val="24"/>
          <w:szCs w:val="24"/>
        </w:rPr>
        <w:t>ю</w:t>
      </w:r>
      <w:r w:rsidR="00C074AA">
        <w:rPr>
          <w:rFonts w:ascii="Times New Roman" w:hAnsi="Times New Roman" w:cs="Times New Roman"/>
          <w:sz w:val="24"/>
          <w:szCs w:val="24"/>
        </w:rPr>
        <w:t xml:space="preserve"> демографической сферы в регионах РФ</w:t>
      </w:r>
      <w:r w:rsidR="0096244A">
        <w:rPr>
          <w:rFonts w:ascii="Times New Roman" w:hAnsi="Times New Roman" w:cs="Times New Roman"/>
          <w:sz w:val="24"/>
          <w:szCs w:val="24"/>
        </w:rPr>
        <w:t xml:space="preserve"> (рис.</w:t>
      </w:r>
      <w:r w:rsidR="008033A6">
        <w:rPr>
          <w:rFonts w:ascii="Times New Roman" w:hAnsi="Times New Roman" w:cs="Times New Roman"/>
          <w:sz w:val="24"/>
          <w:szCs w:val="24"/>
        </w:rPr>
        <w:t>4</w:t>
      </w:r>
      <w:r w:rsidR="0096244A">
        <w:rPr>
          <w:rFonts w:ascii="Times New Roman" w:hAnsi="Times New Roman" w:cs="Times New Roman"/>
          <w:sz w:val="24"/>
          <w:szCs w:val="24"/>
        </w:rPr>
        <w:t>)</w:t>
      </w:r>
      <w:r w:rsidR="00C074AA">
        <w:rPr>
          <w:rFonts w:ascii="Times New Roman" w:hAnsi="Times New Roman" w:cs="Times New Roman"/>
          <w:sz w:val="24"/>
          <w:szCs w:val="24"/>
        </w:rPr>
        <w:t>.</w:t>
      </w:r>
    </w:p>
    <w:p w:rsidR="005F71E0" w:rsidRDefault="00B826C2" w:rsidP="005F71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образов, </w:t>
      </w:r>
      <w:r w:rsidR="005F71E0">
        <w:rPr>
          <w:rFonts w:ascii="Times New Roman" w:hAnsi="Times New Roman" w:cs="Times New Roman"/>
          <w:sz w:val="24"/>
          <w:szCs w:val="24"/>
        </w:rPr>
        <w:t>лидерами по оцениваемому</w:t>
      </w:r>
      <w:r w:rsidR="005F71E0" w:rsidRPr="005F71E0">
        <w:rPr>
          <w:rFonts w:ascii="Times New Roman" w:hAnsi="Times New Roman" w:cs="Times New Roman"/>
          <w:sz w:val="24"/>
          <w:szCs w:val="24"/>
        </w:rPr>
        <w:t xml:space="preserve"> параметру выступают регионы Северного Кавказа, минимальные значения коэффициента рождаемости зафиксированы в 2023 г. в Смоленской области (5,8 промилле), Ленинградской области (5,9 промилле), республики Мордовия (6 промилле).</w:t>
      </w:r>
      <w:r w:rsidR="005F71E0">
        <w:rPr>
          <w:rFonts w:ascii="Times New Roman" w:hAnsi="Times New Roman" w:cs="Times New Roman"/>
          <w:sz w:val="24"/>
          <w:szCs w:val="24"/>
        </w:rPr>
        <w:t xml:space="preserve"> З</w:t>
      </w:r>
      <w:r w:rsidR="005F71E0" w:rsidRPr="005F71E0">
        <w:rPr>
          <w:rFonts w:ascii="Times New Roman" w:hAnsi="Times New Roman" w:cs="Times New Roman"/>
          <w:sz w:val="24"/>
          <w:szCs w:val="24"/>
        </w:rPr>
        <w:t xml:space="preserve">а анализируемый период выявлена негативная тенденция – снижение коэффициента рождаемости в регионах РФ. </w:t>
      </w:r>
    </w:p>
    <w:p w:rsidR="00D729A1" w:rsidRPr="00C5391C" w:rsidRDefault="00D729A1" w:rsidP="00C5391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Cs/>
          <w:sz w:val="24"/>
          <w:szCs w:val="24"/>
        </w:rPr>
        <w:sectPr w:rsidR="00D729A1" w:rsidRPr="00C5391C" w:rsidSect="0044267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В заключении важно отметить, что   </w:t>
      </w:r>
      <w:r w:rsidRPr="00D729A1">
        <w:rPr>
          <w:rFonts w:ascii="Times New Roman" w:eastAsia="Calibri" w:hAnsi="Times New Roman" w:cs="Times New Roman"/>
          <w:iCs/>
          <w:sz w:val="24"/>
          <w:szCs w:val="24"/>
        </w:rPr>
        <w:t>высокая дифференциация по ряду экономических, социальн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ых, демографических </w:t>
      </w:r>
      <w:proofErr w:type="gramStart"/>
      <w:r>
        <w:rPr>
          <w:rFonts w:ascii="Times New Roman" w:eastAsia="Calibri" w:hAnsi="Times New Roman" w:cs="Times New Roman"/>
          <w:iCs/>
          <w:sz w:val="24"/>
          <w:szCs w:val="24"/>
        </w:rPr>
        <w:t xml:space="preserve">показателей </w:t>
      </w:r>
      <w:r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 в</w:t>
      </w:r>
      <w:proofErr w:type="gramEnd"/>
      <w:r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 целом отражает неблагоприятное социально-экономическое пространственное развитие субъектов, так как «стягивание» ресурсов в отдельные регионы может повлечь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широкий разрыв качества жизни и как следствие</w:t>
      </w:r>
      <w:r w:rsidRPr="00D729A1">
        <w:rPr>
          <w:rFonts w:ascii="Times New Roman" w:eastAsia="Calibri" w:hAnsi="Times New Roman" w:cs="Times New Roman"/>
          <w:iCs/>
          <w:sz w:val="24"/>
          <w:szCs w:val="24"/>
        </w:rPr>
        <w:t xml:space="preserve"> политическую нестабильность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в обществе</w:t>
      </w:r>
      <w:r w:rsidRPr="00D729A1">
        <w:rPr>
          <w:rFonts w:ascii="Times New Roman" w:eastAsia="Calibri" w:hAnsi="Times New Roman" w:cs="Times New Roman"/>
          <w:iCs/>
          <w:sz w:val="24"/>
          <w:szCs w:val="24"/>
        </w:rPr>
        <w:t>.</w:t>
      </w:r>
      <w:r w:rsidR="00C5391C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C5391C" w:rsidRPr="00C5391C">
        <w:rPr>
          <w:rFonts w:ascii="Times New Roman" w:eastAsia="Calibri" w:hAnsi="Times New Roman" w:cs="Times New Roman"/>
          <w:sz w:val="24"/>
          <w:szCs w:val="24"/>
        </w:rPr>
        <w:t>Для снижения</w:t>
      </w:r>
      <w:r w:rsidR="00C5391C">
        <w:rPr>
          <w:rFonts w:ascii="Times New Roman" w:eastAsia="Calibri" w:hAnsi="Times New Roman" w:cs="Times New Roman"/>
          <w:sz w:val="24"/>
          <w:szCs w:val="24"/>
        </w:rPr>
        <w:t xml:space="preserve"> возросших рисков</w:t>
      </w:r>
      <w:r w:rsidR="00C5391C" w:rsidRPr="00C5391C">
        <w:rPr>
          <w:rFonts w:ascii="Times New Roman" w:eastAsia="Calibri" w:hAnsi="Times New Roman" w:cs="Times New Roman"/>
          <w:sz w:val="24"/>
          <w:szCs w:val="24"/>
        </w:rPr>
        <w:t xml:space="preserve"> межрегиональной дифференциации целесообразно выделить ряд направлений: экономические меры, регулирование рынка труда, обеспечение доступа к качественной и бесплатной медицинской помощи, обеспечение доступности жилья, реализация программ по стимулированию развития инноваций, повышение доступности инвестиционных возможностей.</w:t>
      </w:r>
    </w:p>
    <w:p w:rsidR="0013584C" w:rsidRDefault="0013584C" w:rsidP="00B826C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5733C7AD" wp14:editId="788024A4">
            <wp:extent cx="9380306" cy="5157627"/>
            <wp:effectExtent l="0" t="0" r="0" b="508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13584C" w:rsidRDefault="0013584C" w:rsidP="00B826C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3584C" w:rsidRDefault="0013584C" w:rsidP="00B826C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B826C2" w:rsidRPr="0013584C" w:rsidRDefault="00B826C2" w:rsidP="00B826C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B8617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33A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170">
        <w:rPr>
          <w:rFonts w:ascii="Times New Roman" w:hAnsi="Times New Roman" w:cs="Times New Roman"/>
          <w:b/>
          <w:sz w:val="24"/>
          <w:szCs w:val="24"/>
        </w:rPr>
        <w:t xml:space="preserve">Динамика коэффициента рождаемости в регионах </w:t>
      </w:r>
      <w:r w:rsidR="0013584C" w:rsidRPr="00B86170">
        <w:rPr>
          <w:rFonts w:ascii="Times New Roman" w:hAnsi="Times New Roman" w:cs="Times New Roman"/>
          <w:b/>
          <w:sz w:val="24"/>
          <w:szCs w:val="24"/>
        </w:rPr>
        <w:t>Российской Федерации в 2010-2023</w:t>
      </w:r>
      <w:r w:rsidRPr="00B86170">
        <w:rPr>
          <w:rFonts w:ascii="Times New Roman" w:hAnsi="Times New Roman" w:cs="Times New Roman"/>
          <w:b/>
          <w:sz w:val="24"/>
          <w:szCs w:val="24"/>
        </w:rPr>
        <w:t xml:space="preserve"> гг.</w:t>
      </w:r>
      <w:r w:rsidR="005B277E" w:rsidRPr="00B8617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13584C" w:rsidRPr="00B86170">
        <w:rPr>
          <w:rFonts w:ascii="Times New Roman" w:hAnsi="Times New Roman" w:cs="Times New Roman"/>
          <w:b/>
          <w:sz w:val="24"/>
          <w:szCs w:val="24"/>
        </w:rPr>
        <w:t>промилле</w:t>
      </w:r>
    </w:p>
    <w:p w:rsidR="00B826C2" w:rsidRDefault="00B826C2" w:rsidP="00B826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826C2" w:rsidSect="00B826C2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B17495" w:rsidRDefault="00B86170" w:rsidP="00EB4E2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Библиографический список</w:t>
      </w:r>
    </w:p>
    <w:p w:rsidR="00EB4E21" w:rsidRPr="00EB4E21" w:rsidRDefault="00EB4E21" w:rsidP="00EB4E21">
      <w:pPr>
        <w:pStyle w:val="a9"/>
        <w:numPr>
          <w:ilvl w:val="0"/>
          <w:numId w:val="1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bookmarkStart w:id="1" w:name="_Ref173760101"/>
      <w:bookmarkStart w:id="2" w:name="_Ref176357655"/>
      <w:proofErr w:type="spellStart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Acemoglu</w:t>
      </w:r>
      <w:proofErr w:type="spellEnd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D.</w:t>
      </w:r>
      <w:proofErr w:type="gramStart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,  Robinson</w:t>
      </w:r>
      <w:proofErr w:type="gramEnd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J. A. 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Why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Nations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gramStart"/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fail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>:</w:t>
      </w:r>
      <w:proofErr w:type="gramEnd"/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the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origins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of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power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prosperity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EB4E21">
        <w:rPr>
          <w:rFonts w:ascii="Times New Roman" w:hAnsi="Times New Roman" w:cs="Times New Roman"/>
          <w:i/>
          <w:iCs/>
          <w:sz w:val="24"/>
          <w:szCs w:val="24"/>
          <w:lang w:val="en-GB"/>
        </w:rPr>
        <w:t>and poverty</w:t>
      </w:r>
      <w:r w:rsidRPr="00EB4E21">
        <w:rPr>
          <w:rFonts w:ascii="Times New Roman" w:hAnsi="Times New Roman" w:cs="Times New Roman"/>
          <w:iCs/>
          <w:sz w:val="24"/>
          <w:szCs w:val="24"/>
          <w:lang w:val="en-GB"/>
        </w:rPr>
        <w:t xml:space="preserve">. </w:t>
      </w:r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New York: Crown Publishers.</w:t>
      </w:r>
      <w:bookmarkEnd w:id="1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EB4E2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2012.</w:t>
      </w:r>
      <w:bookmarkEnd w:id="2"/>
    </w:p>
    <w:p w:rsidR="00EB4E21" w:rsidRPr="00EB4E21" w:rsidRDefault="00EB4E21" w:rsidP="00EB4E21">
      <w:pPr>
        <w:pStyle w:val="a9"/>
        <w:numPr>
          <w:ilvl w:val="0"/>
          <w:numId w:val="1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bookmarkStart w:id="3" w:name="_Ref173760124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Remington T. F. Why is interregional inequality i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n Russia and China not falling</w:t>
      </w:r>
      <w:proofErr w:type="gramStart"/>
      <w:r>
        <w:rPr>
          <w:rFonts w:ascii="Times New Roman" w:hAnsi="Times New Roman" w:cs="Times New Roman"/>
          <w:iCs/>
          <w:sz w:val="24"/>
          <w:szCs w:val="24"/>
          <w:lang w:val="en-US"/>
        </w:rPr>
        <w:t>?</w:t>
      </w:r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/</w:t>
      </w:r>
      <w:proofErr w:type="gramEnd"/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>/ Communist and Post-Communist Studies, 2015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vol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Pr="00EB4E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1, pp.1-13.</w:t>
      </w:r>
      <w:bookmarkEnd w:id="3"/>
    </w:p>
    <w:p w:rsidR="00167DA1" w:rsidRDefault="00167DA1" w:rsidP="00167DA1">
      <w:pPr>
        <w:pStyle w:val="a9"/>
        <w:numPr>
          <w:ilvl w:val="0"/>
          <w:numId w:val="1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  <w:iCs/>
          <w:sz w:val="24"/>
          <w:szCs w:val="24"/>
        </w:rPr>
      </w:pPr>
      <w:bookmarkStart w:id="4" w:name="_Ref173760155"/>
      <w:proofErr w:type="spellStart"/>
      <w:r w:rsidRPr="00167DA1">
        <w:rPr>
          <w:rFonts w:ascii="Times New Roman" w:hAnsi="Times New Roman" w:cs="Times New Roman"/>
          <w:iCs/>
          <w:sz w:val="24"/>
          <w:szCs w:val="24"/>
        </w:rPr>
        <w:t>Батракова</w:t>
      </w:r>
      <w:proofErr w:type="spellEnd"/>
      <w:r w:rsidRPr="00167DA1">
        <w:rPr>
          <w:rFonts w:ascii="Times New Roman" w:hAnsi="Times New Roman" w:cs="Times New Roman"/>
          <w:iCs/>
          <w:sz w:val="24"/>
          <w:szCs w:val="24"/>
        </w:rPr>
        <w:t xml:space="preserve"> Л.Г. Социально-экономическое неравенство регионов России // Теоретическая экономика. 2021  № 10.  С. 125-128.</w:t>
      </w:r>
      <w:bookmarkEnd w:id="4"/>
    </w:p>
    <w:p w:rsidR="00B86170" w:rsidRPr="00B86170" w:rsidRDefault="00B86170" w:rsidP="00B8617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5" w:name="_Ref173935537"/>
      <w:proofErr w:type="spellStart"/>
      <w:r w:rsidRPr="00167DA1">
        <w:rPr>
          <w:rFonts w:ascii="Times New Roman" w:hAnsi="Times New Roman" w:cs="Times New Roman"/>
          <w:sz w:val="24"/>
          <w:szCs w:val="24"/>
        </w:rPr>
        <w:t>Буфетова</w:t>
      </w:r>
      <w:proofErr w:type="spellEnd"/>
      <w:r w:rsidRPr="00167DA1">
        <w:rPr>
          <w:rFonts w:ascii="Times New Roman" w:hAnsi="Times New Roman" w:cs="Times New Roman"/>
          <w:sz w:val="24"/>
          <w:szCs w:val="24"/>
        </w:rPr>
        <w:t xml:space="preserve"> А. Н. Неоднородность пространственного развития Азиатской России: о чем молчат показатели межрегионального неравенства // Регион: Экономика и Социология.  2022.  № 2(114).  С. 58-81.  DOI 10.15372/REG20220203. – EDN EPGUHS.</w:t>
      </w:r>
      <w:bookmarkEnd w:id="5"/>
    </w:p>
    <w:p w:rsidR="00167DA1" w:rsidRPr="00167DA1" w:rsidRDefault="00167DA1" w:rsidP="00167DA1">
      <w:pPr>
        <w:pStyle w:val="a5"/>
        <w:numPr>
          <w:ilvl w:val="0"/>
          <w:numId w:val="1"/>
        </w:numPr>
        <w:ind w:left="1066" w:hanging="357"/>
        <w:jc w:val="both"/>
        <w:rPr>
          <w:rFonts w:ascii="Times New Roman" w:hAnsi="Times New Roman" w:cs="Times New Roman"/>
          <w:sz w:val="24"/>
          <w:szCs w:val="24"/>
        </w:rPr>
      </w:pPr>
      <w:bookmarkStart w:id="6" w:name="_Ref173760238"/>
      <w:r w:rsidRPr="00167DA1">
        <w:rPr>
          <w:rFonts w:ascii="Times New Roman" w:hAnsi="Times New Roman" w:cs="Times New Roman"/>
          <w:sz w:val="24"/>
          <w:szCs w:val="24"/>
        </w:rPr>
        <w:t xml:space="preserve">Плотников В. А., Лисина Е. А. Оценка уровня региональной дифференциации в Российской Федерации // </w:t>
      </w:r>
      <w:r w:rsidRPr="00167DA1">
        <w:rPr>
          <w:rFonts w:ascii="Times New Roman" w:hAnsi="Times New Roman" w:cs="Times New Roman"/>
          <w:iCs/>
          <w:sz w:val="24"/>
          <w:szCs w:val="24"/>
        </w:rPr>
        <w:t xml:space="preserve">Теория и практика сервиса: экономика, социальная сфера, технологии. 2018. Т. 2. № 36. С. </w:t>
      </w:r>
      <w:r w:rsidRPr="00167DA1">
        <w:rPr>
          <w:rFonts w:ascii="Times New Roman" w:hAnsi="Times New Roman" w:cs="Times New Roman"/>
          <w:sz w:val="24"/>
          <w:szCs w:val="24"/>
        </w:rPr>
        <w:t>5-15.</w:t>
      </w:r>
      <w:bookmarkEnd w:id="6"/>
    </w:p>
    <w:p w:rsidR="00EB4E21" w:rsidRPr="00B86170" w:rsidRDefault="00EB4E21" w:rsidP="00167DA1">
      <w:pPr>
        <w:pStyle w:val="a9"/>
        <w:spacing w:after="0"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:rsidR="00C074AA" w:rsidRDefault="00862354" w:rsidP="0086235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354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862354" w:rsidRDefault="00862354" w:rsidP="0086235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62354" w:rsidRPr="003330BC" w:rsidRDefault="00862354" w:rsidP="0086235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Мельников Вадим Вячеславович (Россия, Белгород) – </w:t>
      </w:r>
      <w:r w:rsidR="009063B1">
        <w:rPr>
          <w:rFonts w:ascii="Times New Roman" w:hAnsi="Times New Roman" w:cs="Times New Roman"/>
          <w:sz w:val="24"/>
          <w:szCs w:val="24"/>
        </w:rPr>
        <w:t xml:space="preserve">аспирант кафедры </w:t>
      </w:r>
      <w:hyperlink r:id="rId13" w:tgtFrame="_blank" w:history="1">
        <w:r w:rsidR="009063B1" w:rsidRPr="009063B1">
          <w:rPr>
            <w:rStyle w:val="aa"/>
            <w:rFonts w:ascii="Times New Roman" w:hAnsi="Times New Roman" w:cs="Times New Roman"/>
            <w:bCs/>
            <w:color w:val="000000" w:themeColor="text1"/>
            <w:sz w:val="24"/>
            <w:szCs w:val="24"/>
            <w:u w:val="none"/>
          </w:rPr>
          <w:t>прикладной экономики и экономической безопасности</w:t>
        </w:r>
      </w:hyperlink>
      <w:r w:rsidR="009063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ФГАОУ ВО </w:t>
      </w:r>
      <w:r w:rsidR="009063B1" w:rsidRPr="009063B1">
        <w:rPr>
          <w:rFonts w:ascii="Times New Roman" w:hAnsi="Times New Roman" w:cs="Times New Roman"/>
          <w:color w:val="000000" w:themeColor="text1"/>
          <w:sz w:val="24"/>
          <w:szCs w:val="24"/>
        </w:rPr>
        <w:t>«Белгородский государственный национальный исследовательский университет»</w:t>
      </w:r>
      <w:r w:rsidR="009063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(308000 Россия, Белгород, ул. Победы</w:t>
      </w:r>
      <w:r w:rsidR="009063B1"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85, </w:t>
      </w:r>
      <w:r w:rsidR="009063B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e-mail</w:t>
      </w:r>
      <w:r w:rsidR="009063B1"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</w:t>
      </w:r>
      <w:r w:rsidR="009063B1" w:rsidRPr="009063B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hyperlink r:id="rId14" w:tgtFrame="_blank" w:history="1">
        <w:r w:rsidR="009063B1" w:rsidRPr="003330BC">
          <w:rPr>
            <w:rStyle w:val="aa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melhse@yandex.ru</w:t>
        </w:r>
      </w:hyperlink>
      <w:r w:rsidR="009063B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 w:rsidR="009063B1"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:rsidR="00431943" w:rsidRDefault="00431943" w:rsidP="003330BC">
      <w:pPr>
        <w:spacing w:after="0" w:line="240" w:lineRule="auto"/>
        <w:ind w:firstLine="708"/>
        <w:jc w:val="right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3330BC" w:rsidRPr="003330BC" w:rsidRDefault="003330BC" w:rsidP="003330BC">
      <w:pPr>
        <w:spacing w:after="0" w:line="240" w:lineRule="auto"/>
        <w:ind w:firstLine="708"/>
        <w:jc w:val="right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Melnikov</w:t>
      </w:r>
      <w:proofErr w:type="spellEnd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V.V.</w:t>
      </w:r>
    </w:p>
    <w:p w:rsidR="003330BC" w:rsidRPr="003330BC" w:rsidRDefault="003330BC" w:rsidP="003330B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330B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PARAMETERS AND TRENDS OF INTERREGIONAL DIFFERENTIATION IN THE RUSSIAN FEDERATION</w:t>
      </w:r>
    </w:p>
    <w:p w:rsidR="003330BC" w:rsidRPr="003330BC" w:rsidRDefault="003330BC" w:rsidP="003330B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3330BC" w:rsidRPr="003330BC" w:rsidRDefault="003330BC" w:rsidP="003330B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330B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Abstract.</w:t>
      </w:r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Russian regions </w:t>
      </w:r>
      <w:proofErr w:type="gramStart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are differentiated</w:t>
      </w:r>
      <w:proofErr w:type="gramEnd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by a number of important parameters, which actualizes the definition of parameters and modern trends of interregional differentiation. The paper examines the dynamics of average annual air temperature in federal districts, the </w:t>
      </w:r>
      <w:proofErr w:type="spellStart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Gini</w:t>
      </w:r>
      <w:proofErr w:type="spellEnd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index for individual economic and social parameters, and the birth rate.</w:t>
      </w:r>
    </w:p>
    <w:p w:rsidR="009063B1" w:rsidRDefault="003330BC" w:rsidP="003330B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330B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Keywords:</w:t>
      </w:r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socio-economic inequality, region, </w:t>
      </w:r>
      <w:proofErr w:type="spellStart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Gini</w:t>
      </w:r>
      <w:proofErr w:type="spellEnd"/>
      <w:r w:rsidRPr="003330B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index, quality of life.</w:t>
      </w:r>
    </w:p>
    <w:p w:rsidR="00431943" w:rsidRDefault="00431943" w:rsidP="0043194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431943" w:rsidRPr="00431943" w:rsidRDefault="00431943" w:rsidP="0043194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43194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About the authors</w:t>
      </w:r>
    </w:p>
    <w:p w:rsidR="00431943" w:rsidRDefault="00431943" w:rsidP="0043194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Melnikov</w:t>
      </w:r>
      <w:proofErr w:type="spellEnd"/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Vadim </w:t>
      </w:r>
      <w:proofErr w:type="spellStart"/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Vyacheslavovich</w:t>
      </w:r>
      <w:proofErr w:type="spellEnd"/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Belgorod) – postgraduate student of the Department of Applied Economics and Economic Security of the Belgorod State National Research University (308000 Russia, Belgorod, </w:t>
      </w:r>
      <w:proofErr w:type="spellStart"/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Pobedy</w:t>
      </w:r>
      <w:proofErr w:type="spellEnd"/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St., 85, e-mail: </w:t>
      </w:r>
      <w:hyperlink r:id="rId15" w:history="1">
        <w:r w:rsidRPr="003F7B0B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melhse@yandex.ru</w:t>
        </w:r>
      </w:hyperlink>
      <w:r w:rsidRPr="004319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).</w:t>
      </w:r>
    </w:p>
    <w:p w:rsidR="00431943" w:rsidRPr="00AC13BA" w:rsidRDefault="00431943" w:rsidP="00431943">
      <w:pPr>
        <w:spacing w:after="0" w:line="240" w:lineRule="auto"/>
        <w:ind w:firstLine="708"/>
        <w:jc w:val="both"/>
        <w:rPr>
          <w:lang w:val="en-US"/>
        </w:rPr>
      </w:pPr>
    </w:p>
    <w:p w:rsidR="00431943" w:rsidRDefault="00431943" w:rsidP="0043194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</w:rPr>
      </w:pPr>
      <w:proofErr w:type="spellStart"/>
      <w:r w:rsidRPr="00431943">
        <w:rPr>
          <w:rFonts w:ascii="Times New Roman" w:hAnsi="Times New Roman" w:cs="Times New Roman"/>
          <w:b/>
          <w:sz w:val="24"/>
        </w:rPr>
        <w:t>References</w:t>
      </w:r>
      <w:proofErr w:type="spellEnd"/>
    </w:p>
    <w:p w:rsidR="00431943" w:rsidRDefault="00431943" w:rsidP="0043194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</w:rPr>
      </w:pPr>
    </w:p>
    <w:p w:rsidR="00431943" w:rsidRPr="00431943" w:rsidRDefault="00431943" w:rsidP="00431943">
      <w:pPr>
        <w:pStyle w:val="a9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proofErr w:type="spell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Acemoglu</w:t>
      </w:r>
      <w:proofErr w:type="spell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D.</w:t>
      </w:r>
      <w:proofErr w:type="gram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,  Robinson</w:t>
      </w:r>
      <w:proofErr w:type="gram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J. A. 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Why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Nations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gramStart"/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fail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>:</w:t>
      </w:r>
      <w:proofErr w:type="gramEnd"/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the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origins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of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power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prosperity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431943">
        <w:rPr>
          <w:rFonts w:ascii="Times New Roman" w:hAnsi="Times New Roman" w:cs="Times New Roman"/>
          <w:i/>
          <w:iCs/>
          <w:sz w:val="24"/>
          <w:szCs w:val="24"/>
          <w:lang w:val="en-GB"/>
        </w:rPr>
        <w:t>and poverty</w:t>
      </w:r>
      <w:r w:rsidRPr="00431943">
        <w:rPr>
          <w:rFonts w:ascii="Times New Roman" w:hAnsi="Times New Roman" w:cs="Times New Roman"/>
          <w:iCs/>
          <w:sz w:val="24"/>
          <w:szCs w:val="24"/>
          <w:lang w:val="en-GB"/>
        </w:rPr>
        <w:t xml:space="preserve">. </w:t>
      </w:r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New York: Crown Publishers. </w:t>
      </w:r>
      <w:r w:rsidRPr="0043194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2012.</w:t>
      </w:r>
    </w:p>
    <w:p w:rsidR="00431943" w:rsidRDefault="00431943" w:rsidP="00431943">
      <w:pPr>
        <w:pStyle w:val="a9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Remington T. F. Why is interregional inequality in Russia and China not falling</w:t>
      </w:r>
      <w:proofErr w:type="gram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?/</w:t>
      </w:r>
      <w:proofErr w:type="gram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/ Communist and Post-Communist Studies, 2015. vol. 1, pp.1-13.</w:t>
      </w:r>
    </w:p>
    <w:p w:rsidR="00431943" w:rsidRPr="00431943" w:rsidRDefault="00431943" w:rsidP="00431943">
      <w:pPr>
        <w:pStyle w:val="a9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Batrakova</w:t>
      </w:r>
      <w:proofErr w:type="spell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L.G. Socio-economic inequality of Russian regions // Theoretical Economics. </w:t>
      </w:r>
      <w:proofErr w:type="gram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2021</w:t>
      </w:r>
      <w:proofErr w:type="gram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, no. 10, pp. 125-128.</w:t>
      </w:r>
    </w:p>
    <w:p w:rsidR="00431943" w:rsidRPr="00431943" w:rsidRDefault="00431943" w:rsidP="00431943">
      <w:pPr>
        <w:pStyle w:val="a9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Bufetova</w:t>
      </w:r>
      <w:proofErr w:type="spell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A.N. Heterogeneity of spatial development of Asian Russia: what the indicators of interregional inequality are silent about // Region: Economics and Sociology. 2022. no. 2(114). pp. 58-81. DOI 10.15372/REG20220203. – EDN EPGUHS.</w:t>
      </w:r>
    </w:p>
    <w:p w:rsidR="00431943" w:rsidRPr="00431943" w:rsidRDefault="00431943" w:rsidP="00431943">
      <w:pPr>
        <w:pStyle w:val="a9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Plotnikov</w:t>
      </w:r>
      <w:proofErr w:type="spell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V.A., </w:t>
      </w:r>
      <w:proofErr w:type="spell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Lisina</w:t>
      </w:r>
      <w:proofErr w:type="spell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E.A. Assessment of the level of regional differentiation in the Russian Federation // Theory and practice of service: economics, social sphere, technology. 2018. Vol. 2. </w:t>
      </w:r>
      <w:proofErr w:type="gramStart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no</w:t>
      </w:r>
      <w:proofErr w:type="gramEnd"/>
      <w:r w:rsidRPr="00431943">
        <w:rPr>
          <w:rFonts w:ascii="Times New Roman" w:hAnsi="Times New Roman" w:cs="Times New Roman"/>
          <w:iCs/>
          <w:sz w:val="24"/>
          <w:szCs w:val="24"/>
          <w:lang w:val="en-US"/>
        </w:rPr>
        <w:t>. 36, pp. 5-15.</w:t>
      </w:r>
    </w:p>
    <w:p w:rsidR="00431943" w:rsidRPr="00431943" w:rsidRDefault="00431943" w:rsidP="00431943">
      <w:pPr>
        <w:pStyle w:val="a5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31943" w:rsidRPr="00431943" w:rsidRDefault="00431943" w:rsidP="0043194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4"/>
          <w:lang w:val="en-US"/>
        </w:rPr>
      </w:pPr>
    </w:p>
    <w:sectPr w:rsidR="00431943" w:rsidRPr="00431943" w:rsidSect="00B826C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095" w:rsidRDefault="00E76095" w:rsidP="00E76095">
      <w:pPr>
        <w:spacing w:after="0" w:line="240" w:lineRule="auto"/>
      </w:pPr>
      <w:r>
        <w:separator/>
      </w:r>
    </w:p>
  </w:endnote>
  <w:endnote w:type="continuationSeparator" w:id="0">
    <w:p w:rsidR="00E76095" w:rsidRDefault="00E76095" w:rsidP="00E760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095" w:rsidRDefault="00E76095" w:rsidP="00E76095">
      <w:pPr>
        <w:spacing w:after="0" w:line="240" w:lineRule="auto"/>
      </w:pPr>
      <w:r>
        <w:separator/>
      </w:r>
    </w:p>
  </w:footnote>
  <w:footnote w:type="continuationSeparator" w:id="0">
    <w:p w:rsidR="00E76095" w:rsidRDefault="00E76095" w:rsidP="00E76095">
      <w:pPr>
        <w:spacing w:after="0" w:line="240" w:lineRule="auto"/>
      </w:pPr>
      <w:r>
        <w:continuationSeparator/>
      </w:r>
    </w:p>
  </w:footnote>
  <w:footnote w:id="1">
    <w:p w:rsidR="00C63426" w:rsidRPr="00F012B5" w:rsidRDefault="00C63426" w:rsidP="00C63426">
      <w:pPr>
        <w:pStyle w:val="a5"/>
        <w:rPr>
          <w:rFonts w:ascii="Times New Roman" w:hAnsi="Times New Roman" w:cs="Times New Roman"/>
        </w:rPr>
      </w:pPr>
      <w:r w:rsidRPr="00F012B5">
        <w:rPr>
          <w:rStyle w:val="a7"/>
          <w:rFonts w:ascii="Times New Roman" w:hAnsi="Times New Roman" w:cs="Times New Roman"/>
        </w:rPr>
        <w:footnoteRef/>
      </w:r>
      <w:r w:rsidRPr="00F012B5">
        <w:rPr>
          <w:rFonts w:ascii="Times New Roman" w:hAnsi="Times New Roman" w:cs="Times New Roman"/>
        </w:rPr>
        <w:t xml:space="preserve"> ЦФО – Центральный федеральный округ; СЗФО – Северо-Западный федеральный округ; ЮФО – Южный федеральный</w:t>
      </w:r>
      <w:r>
        <w:rPr>
          <w:rFonts w:ascii="Times New Roman" w:hAnsi="Times New Roman" w:cs="Times New Roman"/>
        </w:rPr>
        <w:t xml:space="preserve"> округ; СКФО – </w:t>
      </w:r>
      <w:proofErr w:type="gramStart"/>
      <w:r>
        <w:rPr>
          <w:rFonts w:ascii="Times New Roman" w:hAnsi="Times New Roman" w:cs="Times New Roman"/>
        </w:rPr>
        <w:t>Северо-К</w:t>
      </w:r>
      <w:r w:rsidRPr="00F012B5">
        <w:rPr>
          <w:rFonts w:ascii="Times New Roman" w:hAnsi="Times New Roman" w:cs="Times New Roman"/>
        </w:rPr>
        <w:t>авказский</w:t>
      </w:r>
      <w:proofErr w:type="gramEnd"/>
      <w:r w:rsidRPr="00F012B5">
        <w:rPr>
          <w:rFonts w:ascii="Times New Roman" w:hAnsi="Times New Roman" w:cs="Times New Roman"/>
        </w:rPr>
        <w:t xml:space="preserve"> федеральный округ; ПФО – Приволжский федеральный округ; УФО – Уральский федеральный округ; СФО – Сибирский федеральный округ; ДВФО – Дальневосточный федеральный округ. </w:t>
      </w:r>
    </w:p>
  </w:footnote>
  <w:footnote w:id="2">
    <w:p w:rsidR="00C63426" w:rsidRPr="00967223" w:rsidRDefault="00C63426" w:rsidP="00C63426">
      <w:pPr>
        <w:pStyle w:val="a5"/>
        <w:rPr>
          <w:rFonts w:ascii="Times New Roman" w:hAnsi="Times New Roman" w:cs="Times New Roman"/>
        </w:rPr>
      </w:pPr>
      <w:r w:rsidRPr="00967223">
        <w:rPr>
          <w:rStyle w:val="a7"/>
          <w:rFonts w:ascii="Times New Roman" w:hAnsi="Times New Roman" w:cs="Times New Roman"/>
        </w:rPr>
        <w:footnoteRef/>
      </w:r>
      <w:r w:rsidRPr="00967223">
        <w:rPr>
          <w:rFonts w:ascii="Times New Roman" w:hAnsi="Times New Roman" w:cs="Times New Roman"/>
        </w:rPr>
        <w:t xml:space="preserve"> Температура воздуха и осадки по месяцам и годам: http://www.pogodaiklimat.ru/history.php (дата обращения 23.07.2024г.)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A53C7B"/>
    <w:multiLevelType w:val="hybridMultilevel"/>
    <w:tmpl w:val="76C49BD6"/>
    <w:lvl w:ilvl="0" w:tplc="FDC402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3A01C65"/>
    <w:multiLevelType w:val="hybridMultilevel"/>
    <w:tmpl w:val="60027FA8"/>
    <w:lvl w:ilvl="0" w:tplc="53D47D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EA11F1"/>
    <w:multiLevelType w:val="hybridMultilevel"/>
    <w:tmpl w:val="AF6E7B78"/>
    <w:lvl w:ilvl="0" w:tplc="FDC402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A1A5B97"/>
    <w:multiLevelType w:val="hybridMultilevel"/>
    <w:tmpl w:val="F75E9416"/>
    <w:lvl w:ilvl="0" w:tplc="FDC402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CA4"/>
    <w:rsid w:val="00085933"/>
    <w:rsid w:val="0013584C"/>
    <w:rsid w:val="00167DA1"/>
    <w:rsid w:val="00180A0F"/>
    <w:rsid w:val="001D0E50"/>
    <w:rsid w:val="00226753"/>
    <w:rsid w:val="002C1206"/>
    <w:rsid w:val="0032252D"/>
    <w:rsid w:val="003330BC"/>
    <w:rsid w:val="003346C4"/>
    <w:rsid w:val="00362934"/>
    <w:rsid w:val="003831EC"/>
    <w:rsid w:val="003B08DD"/>
    <w:rsid w:val="00431943"/>
    <w:rsid w:val="00442678"/>
    <w:rsid w:val="00460186"/>
    <w:rsid w:val="0047094E"/>
    <w:rsid w:val="005438E2"/>
    <w:rsid w:val="0058544F"/>
    <w:rsid w:val="005B1B66"/>
    <w:rsid w:val="005B277E"/>
    <w:rsid w:val="005C2D0A"/>
    <w:rsid w:val="005F15D9"/>
    <w:rsid w:val="005F71E0"/>
    <w:rsid w:val="00617107"/>
    <w:rsid w:val="0068332A"/>
    <w:rsid w:val="00715D0A"/>
    <w:rsid w:val="007912E2"/>
    <w:rsid w:val="008033A6"/>
    <w:rsid w:val="00862354"/>
    <w:rsid w:val="00871C66"/>
    <w:rsid w:val="009063B1"/>
    <w:rsid w:val="0096244A"/>
    <w:rsid w:val="0096499B"/>
    <w:rsid w:val="00972A4B"/>
    <w:rsid w:val="009E225C"/>
    <w:rsid w:val="00A239B2"/>
    <w:rsid w:val="00AA2D65"/>
    <w:rsid w:val="00AC13BA"/>
    <w:rsid w:val="00B17495"/>
    <w:rsid w:val="00B826C2"/>
    <w:rsid w:val="00B86170"/>
    <w:rsid w:val="00BF60F3"/>
    <w:rsid w:val="00C074AA"/>
    <w:rsid w:val="00C5391C"/>
    <w:rsid w:val="00C63426"/>
    <w:rsid w:val="00C83AAC"/>
    <w:rsid w:val="00C97CA4"/>
    <w:rsid w:val="00D60E81"/>
    <w:rsid w:val="00D729A1"/>
    <w:rsid w:val="00DA0837"/>
    <w:rsid w:val="00DE2157"/>
    <w:rsid w:val="00E6221B"/>
    <w:rsid w:val="00E660DC"/>
    <w:rsid w:val="00E752B6"/>
    <w:rsid w:val="00E76095"/>
    <w:rsid w:val="00E86BB4"/>
    <w:rsid w:val="00E90A87"/>
    <w:rsid w:val="00EB4E21"/>
    <w:rsid w:val="00EB4F98"/>
    <w:rsid w:val="00EF6D88"/>
    <w:rsid w:val="00F71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0B9543-1C32-4AEE-8472-7243D5CB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46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46C4"/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uiPriority w:val="99"/>
    <w:unhideWhenUsed/>
    <w:rsid w:val="00E7609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E76095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E76095"/>
    <w:rPr>
      <w:vertAlign w:val="superscript"/>
    </w:rPr>
  </w:style>
  <w:style w:type="table" w:styleId="a8">
    <w:name w:val="Table Grid"/>
    <w:basedOn w:val="a1"/>
    <w:uiPriority w:val="59"/>
    <w:rsid w:val="00B174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08593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85933"/>
    <w:rPr>
      <w:rFonts w:ascii="Consolas" w:hAnsi="Consolas"/>
      <w:sz w:val="20"/>
      <w:szCs w:val="20"/>
    </w:rPr>
  </w:style>
  <w:style w:type="paragraph" w:styleId="a9">
    <w:name w:val="List Paragraph"/>
    <w:basedOn w:val="a"/>
    <w:uiPriority w:val="34"/>
    <w:qFormat/>
    <w:rsid w:val="00EB4E21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9063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7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iu.bsuedu.ru/about/kaf-empp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hyperlink" Target="mailto:melhse@yandex.ru" TargetMode="Externa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hyperlink" Target="mailto:melhse@yandex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3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'графики Джини'!$F$5</c:f>
              <c:strCache>
                <c:ptCount val="1"/>
                <c:pt idx="0">
                  <c:v>ВРП на душу населения</c:v>
                </c:pt>
              </c:strCache>
            </c:strRef>
          </c:tx>
          <c:cat>
            <c:strRef>
              <c:f>'графики Джини'!$G$4:$T$4</c:f>
              <c:strCache>
                <c:ptCount val="14"/>
                <c:pt idx="0">
                  <c:v>2010 г.</c:v>
                </c:pt>
                <c:pt idx="1">
                  <c:v>2011г.</c:v>
                </c:pt>
                <c:pt idx="2">
                  <c:v>2012г.</c:v>
                </c:pt>
                <c:pt idx="3">
                  <c:v>2013г.</c:v>
                </c:pt>
                <c:pt idx="4">
                  <c:v>2014г.</c:v>
                </c:pt>
                <c:pt idx="5">
                  <c:v>2015г.</c:v>
                </c:pt>
                <c:pt idx="6">
                  <c:v>2016г.</c:v>
                </c:pt>
                <c:pt idx="7">
                  <c:v>2017г.</c:v>
                </c:pt>
                <c:pt idx="8">
                  <c:v>2018г.</c:v>
                </c:pt>
                <c:pt idx="9">
                  <c:v>2019г.</c:v>
                </c:pt>
                <c:pt idx="10">
                  <c:v>2020г.</c:v>
                </c:pt>
                <c:pt idx="11">
                  <c:v>2021г.</c:v>
                </c:pt>
                <c:pt idx="12">
                  <c:v>2022 г.</c:v>
                </c:pt>
                <c:pt idx="13">
                  <c:v>2023 г</c:v>
                </c:pt>
              </c:strCache>
            </c:strRef>
          </c:cat>
          <c:val>
            <c:numRef>
              <c:f>'графики Джини'!$G$5:$T$5</c:f>
              <c:numCache>
                <c:formatCode>General</c:formatCode>
                <c:ptCount val="14"/>
                <c:pt idx="0">
                  <c:v>0.6</c:v>
                </c:pt>
                <c:pt idx="1">
                  <c:v>0.59</c:v>
                </c:pt>
                <c:pt idx="2">
                  <c:v>0.59</c:v>
                </c:pt>
                <c:pt idx="3">
                  <c:v>0.59</c:v>
                </c:pt>
                <c:pt idx="4">
                  <c:v>0.6</c:v>
                </c:pt>
                <c:pt idx="5">
                  <c:v>0.6</c:v>
                </c:pt>
                <c:pt idx="6">
                  <c:v>0.59</c:v>
                </c:pt>
                <c:pt idx="7">
                  <c:v>0.6</c:v>
                </c:pt>
                <c:pt idx="8">
                  <c:v>0.6</c:v>
                </c:pt>
                <c:pt idx="9">
                  <c:v>0.6</c:v>
                </c:pt>
                <c:pt idx="10">
                  <c:v>0.59</c:v>
                </c:pt>
                <c:pt idx="11">
                  <c:v>0.61</c:v>
                </c:pt>
                <c:pt idx="12">
                  <c:v>0.62</c:v>
                </c:pt>
                <c:pt idx="13">
                  <c:v>0.63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'графики Джини'!$F$6</c:f>
              <c:strCache>
                <c:ptCount val="1"/>
                <c:pt idx="0">
                  <c:v>Доходы местного бюджета на душу населения</c:v>
                </c:pt>
              </c:strCache>
            </c:strRef>
          </c:tx>
          <c:cat>
            <c:strRef>
              <c:f>'графики Джини'!$G$4:$T$4</c:f>
              <c:strCache>
                <c:ptCount val="14"/>
                <c:pt idx="0">
                  <c:v>2010 г.</c:v>
                </c:pt>
                <c:pt idx="1">
                  <c:v>2011г.</c:v>
                </c:pt>
                <c:pt idx="2">
                  <c:v>2012г.</c:v>
                </c:pt>
                <c:pt idx="3">
                  <c:v>2013г.</c:v>
                </c:pt>
                <c:pt idx="4">
                  <c:v>2014г.</c:v>
                </c:pt>
                <c:pt idx="5">
                  <c:v>2015г.</c:v>
                </c:pt>
                <c:pt idx="6">
                  <c:v>2016г.</c:v>
                </c:pt>
                <c:pt idx="7">
                  <c:v>2017г.</c:v>
                </c:pt>
                <c:pt idx="8">
                  <c:v>2018г.</c:v>
                </c:pt>
                <c:pt idx="9">
                  <c:v>2019г.</c:v>
                </c:pt>
                <c:pt idx="10">
                  <c:v>2020г.</c:v>
                </c:pt>
                <c:pt idx="11">
                  <c:v>2021г.</c:v>
                </c:pt>
                <c:pt idx="12">
                  <c:v>2022 г.</c:v>
                </c:pt>
                <c:pt idx="13">
                  <c:v>2023 г</c:v>
                </c:pt>
              </c:strCache>
            </c:strRef>
          </c:cat>
          <c:val>
            <c:numRef>
              <c:f>'графики Джини'!$G$6:$T$6</c:f>
              <c:numCache>
                <c:formatCode>General</c:formatCode>
                <c:ptCount val="14"/>
                <c:pt idx="0">
                  <c:v>0.34</c:v>
                </c:pt>
                <c:pt idx="1">
                  <c:v>0.36</c:v>
                </c:pt>
                <c:pt idx="2">
                  <c:v>0.35</c:v>
                </c:pt>
                <c:pt idx="3">
                  <c:v>0.35</c:v>
                </c:pt>
                <c:pt idx="4">
                  <c:v>0.37</c:v>
                </c:pt>
                <c:pt idx="5">
                  <c:v>0.39</c:v>
                </c:pt>
                <c:pt idx="6">
                  <c:v>0.37</c:v>
                </c:pt>
                <c:pt idx="7">
                  <c:v>0.37</c:v>
                </c:pt>
                <c:pt idx="8">
                  <c:v>0.38</c:v>
                </c:pt>
                <c:pt idx="9">
                  <c:v>0.4</c:v>
                </c:pt>
                <c:pt idx="10">
                  <c:v>0.37</c:v>
                </c:pt>
                <c:pt idx="11">
                  <c:v>0.36</c:v>
                </c:pt>
                <c:pt idx="12">
                  <c:v>0.36</c:v>
                </c:pt>
                <c:pt idx="13">
                  <c:v>0.36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'графики Джини'!$F$7</c:f>
              <c:strCache>
                <c:ptCount val="1"/>
                <c:pt idx="0">
                  <c:v>Инвестиции в основной капитал на душу населения</c:v>
                </c:pt>
              </c:strCache>
            </c:strRef>
          </c:tx>
          <c:cat>
            <c:strRef>
              <c:f>'графики Джини'!$G$4:$T$4</c:f>
              <c:strCache>
                <c:ptCount val="14"/>
                <c:pt idx="0">
                  <c:v>2010 г.</c:v>
                </c:pt>
                <c:pt idx="1">
                  <c:v>2011г.</c:v>
                </c:pt>
                <c:pt idx="2">
                  <c:v>2012г.</c:v>
                </c:pt>
                <c:pt idx="3">
                  <c:v>2013г.</c:v>
                </c:pt>
                <c:pt idx="4">
                  <c:v>2014г.</c:v>
                </c:pt>
                <c:pt idx="5">
                  <c:v>2015г.</c:v>
                </c:pt>
                <c:pt idx="6">
                  <c:v>2016г.</c:v>
                </c:pt>
                <c:pt idx="7">
                  <c:v>2017г.</c:v>
                </c:pt>
                <c:pt idx="8">
                  <c:v>2018г.</c:v>
                </c:pt>
                <c:pt idx="9">
                  <c:v>2019г.</c:v>
                </c:pt>
                <c:pt idx="10">
                  <c:v>2020г.</c:v>
                </c:pt>
                <c:pt idx="11">
                  <c:v>2021г.</c:v>
                </c:pt>
                <c:pt idx="12">
                  <c:v>2022 г.</c:v>
                </c:pt>
                <c:pt idx="13">
                  <c:v>2023 г</c:v>
                </c:pt>
              </c:strCache>
            </c:strRef>
          </c:cat>
          <c:val>
            <c:numRef>
              <c:f>'графики Джини'!$G$7:$T$7</c:f>
              <c:numCache>
                <c:formatCode>General</c:formatCode>
                <c:ptCount val="14"/>
                <c:pt idx="0">
                  <c:v>0.5</c:v>
                </c:pt>
                <c:pt idx="1">
                  <c:v>0.5</c:v>
                </c:pt>
                <c:pt idx="2">
                  <c:v>0.5</c:v>
                </c:pt>
                <c:pt idx="3">
                  <c:v>0.47</c:v>
                </c:pt>
                <c:pt idx="4">
                  <c:v>0.51</c:v>
                </c:pt>
                <c:pt idx="5">
                  <c:v>0.56000000000000005</c:v>
                </c:pt>
                <c:pt idx="6">
                  <c:v>0.55000000000000004</c:v>
                </c:pt>
                <c:pt idx="7">
                  <c:v>0.56000000000000005</c:v>
                </c:pt>
                <c:pt idx="8">
                  <c:v>0.54</c:v>
                </c:pt>
                <c:pt idx="9">
                  <c:v>0.52</c:v>
                </c:pt>
                <c:pt idx="10">
                  <c:v>0.51</c:v>
                </c:pt>
                <c:pt idx="11">
                  <c:v>0.51</c:v>
                </c:pt>
                <c:pt idx="12">
                  <c:v>0.54</c:v>
                </c:pt>
                <c:pt idx="13">
                  <c:v>0.55000000000000004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08664856"/>
        <c:axId val="208662112"/>
      </c:lineChart>
      <c:catAx>
        <c:axId val="20866485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08662112"/>
        <c:crosses val="autoZero"/>
        <c:auto val="1"/>
        <c:lblAlgn val="ctr"/>
        <c:lblOffset val="100"/>
        <c:noMultiLvlLbl val="0"/>
      </c:catAx>
      <c:valAx>
        <c:axId val="20866211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0866485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1.8018608967170349E-2"/>
          <c:y val="0.86112791034200575"/>
          <c:w val="0.95065046380211915"/>
          <c:h val="0.10848894896541596"/>
        </c:manualLayout>
      </c:layout>
      <c:overlay val="0"/>
      <c:txPr>
        <a:bodyPr/>
        <a:lstStyle/>
        <a:p>
          <a:pPr>
            <a:defRPr sz="9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графики!$G$7</c:f>
              <c:strCache>
                <c:ptCount val="1"/>
                <c:pt idx="0">
                  <c:v>Среднемесячная номинальная начисленная заработная плата</c:v>
                </c:pt>
              </c:strCache>
            </c:strRef>
          </c:tx>
          <c:spPr>
            <a:ln w="28575" cap="rnd" cmpd="sng" algn="ctr">
              <a:solidFill>
                <a:schemeClr val="dk1">
                  <a:tint val="885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pPr>
              <a:solidFill>
                <a:schemeClr val="dk1">
                  <a:tint val="88500"/>
                </a:schemeClr>
              </a:solidFill>
              <a:ln w="9525" cap="flat" cmpd="sng" algn="ctr">
                <a:solidFill>
                  <a:schemeClr val="dk1">
                    <a:tint val="88500"/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графики!$H$6:$AE$6</c:f>
              <c:strCache>
                <c:ptCount val="24"/>
                <c:pt idx="0">
                  <c:v>2000 г</c:v>
                </c:pt>
                <c:pt idx="1">
                  <c:v>2001г</c:v>
                </c:pt>
                <c:pt idx="2">
                  <c:v>2002г</c:v>
                </c:pt>
                <c:pt idx="3">
                  <c:v>2003г</c:v>
                </c:pt>
                <c:pt idx="4">
                  <c:v>2004г</c:v>
                </c:pt>
                <c:pt idx="5">
                  <c:v>2005г</c:v>
                </c:pt>
                <c:pt idx="6">
                  <c:v>2006г</c:v>
                </c:pt>
                <c:pt idx="7">
                  <c:v>2007г</c:v>
                </c:pt>
                <c:pt idx="8">
                  <c:v>2008г</c:v>
                </c:pt>
                <c:pt idx="9">
                  <c:v>2009г</c:v>
                </c:pt>
                <c:pt idx="10">
                  <c:v>2010г</c:v>
                </c:pt>
                <c:pt idx="11">
                  <c:v>2011г</c:v>
                </c:pt>
                <c:pt idx="12">
                  <c:v>2012г</c:v>
                </c:pt>
                <c:pt idx="13">
                  <c:v>2013г</c:v>
                </c:pt>
                <c:pt idx="14">
                  <c:v>2014г</c:v>
                </c:pt>
                <c:pt idx="15">
                  <c:v>2015г</c:v>
                </c:pt>
                <c:pt idx="16">
                  <c:v>2016г</c:v>
                </c:pt>
                <c:pt idx="17">
                  <c:v>2017г</c:v>
                </c:pt>
                <c:pt idx="18">
                  <c:v>2018г</c:v>
                </c:pt>
                <c:pt idx="19">
                  <c:v>2019г</c:v>
                </c:pt>
                <c:pt idx="20">
                  <c:v>2020г</c:v>
                </c:pt>
                <c:pt idx="21">
                  <c:v>2021г</c:v>
                </c:pt>
                <c:pt idx="22">
                  <c:v>2022г</c:v>
                </c:pt>
                <c:pt idx="23">
                  <c:v>2023г</c:v>
                </c:pt>
              </c:strCache>
            </c:strRef>
          </c:cat>
          <c:val>
            <c:numRef>
              <c:f>графики!$H$7:$AE$7</c:f>
              <c:numCache>
                <c:formatCode>General</c:formatCode>
                <c:ptCount val="24"/>
                <c:pt idx="0">
                  <c:v>0.28000000000000003</c:v>
                </c:pt>
                <c:pt idx="1">
                  <c:v>0.28000000000000003</c:v>
                </c:pt>
                <c:pt idx="2">
                  <c:v>0.27</c:v>
                </c:pt>
                <c:pt idx="3">
                  <c:v>0.26</c:v>
                </c:pt>
                <c:pt idx="4">
                  <c:v>0.25</c:v>
                </c:pt>
                <c:pt idx="5">
                  <c:v>0.25</c:v>
                </c:pt>
                <c:pt idx="6">
                  <c:v>0.24</c:v>
                </c:pt>
                <c:pt idx="7">
                  <c:v>0.23</c:v>
                </c:pt>
                <c:pt idx="8">
                  <c:v>0.22</c:v>
                </c:pt>
                <c:pt idx="9">
                  <c:v>0.21</c:v>
                </c:pt>
                <c:pt idx="10">
                  <c:v>0.21</c:v>
                </c:pt>
                <c:pt idx="11">
                  <c:v>0.21</c:v>
                </c:pt>
                <c:pt idx="12">
                  <c:v>0.22</c:v>
                </c:pt>
                <c:pt idx="13">
                  <c:v>0.21</c:v>
                </c:pt>
                <c:pt idx="14">
                  <c:v>0.21</c:v>
                </c:pt>
                <c:pt idx="15">
                  <c:v>0.2</c:v>
                </c:pt>
                <c:pt idx="16">
                  <c:v>0.2</c:v>
                </c:pt>
                <c:pt idx="17">
                  <c:v>0.2</c:v>
                </c:pt>
                <c:pt idx="18">
                  <c:v>0.2</c:v>
                </c:pt>
                <c:pt idx="19">
                  <c:v>0.2</c:v>
                </c:pt>
                <c:pt idx="20">
                  <c:v>0.2</c:v>
                </c:pt>
                <c:pt idx="21">
                  <c:v>0.2</c:v>
                </c:pt>
                <c:pt idx="22">
                  <c:v>0.19</c:v>
                </c:pt>
                <c:pt idx="23">
                  <c:v>0.19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графики!$G$8</c:f>
              <c:strCache>
                <c:ptCount val="1"/>
                <c:pt idx="0">
                  <c:v>Численность населения с доходами ниже границы бедности</c:v>
                </c:pt>
              </c:strCache>
            </c:strRef>
          </c:tx>
          <c:spPr>
            <a:ln w="28575" cap="rnd" cmpd="sng" algn="ctr">
              <a:solidFill>
                <a:schemeClr val="dk1">
                  <a:tint val="5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pPr>
              <a:solidFill>
                <a:schemeClr val="dk1">
                  <a:tint val="55000"/>
                </a:schemeClr>
              </a:solidFill>
              <a:ln w="9525" cap="flat" cmpd="sng" algn="ctr">
                <a:solidFill>
                  <a:schemeClr val="dk1">
                    <a:tint val="55000"/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графики!$H$6:$AE$6</c:f>
              <c:strCache>
                <c:ptCount val="24"/>
                <c:pt idx="0">
                  <c:v>2000 г</c:v>
                </c:pt>
                <c:pt idx="1">
                  <c:v>2001г</c:v>
                </c:pt>
                <c:pt idx="2">
                  <c:v>2002г</c:v>
                </c:pt>
                <c:pt idx="3">
                  <c:v>2003г</c:v>
                </c:pt>
                <c:pt idx="4">
                  <c:v>2004г</c:v>
                </c:pt>
                <c:pt idx="5">
                  <c:v>2005г</c:v>
                </c:pt>
                <c:pt idx="6">
                  <c:v>2006г</c:v>
                </c:pt>
                <c:pt idx="7">
                  <c:v>2007г</c:v>
                </c:pt>
                <c:pt idx="8">
                  <c:v>2008г</c:v>
                </c:pt>
                <c:pt idx="9">
                  <c:v>2009г</c:v>
                </c:pt>
                <c:pt idx="10">
                  <c:v>2010г</c:v>
                </c:pt>
                <c:pt idx="11">
                  <c:v>2011г</c:v>
                </c:pt>
                <c:pt idx="12">
                  <c:v>2012г</c:v>
                </c:pt>
                <c:pt idx="13">
                  <c:v>2013г</c:v>
                </c:pt>
                <c:pt idx="14">
                  <c:v>2014г</c:v>
                </c:pt>
                <c:pt idx="15">
                  <c:v>2015г</c:v>
                </c:pt>
                <c:pt idx="16">
                  <c:v>2016г</c:v>
                </c:pt>
                <c:pt idx="17">
                  <c:v>2017г</c:v>
                </c:pt>
                <c:pt idx="18">
                  <c:v>2018г</c:v>
                </c:pt>
                <c:pt idx="19">
                  <c:v>2019г</c:v>
                </c:pt>
                <c:pt idx="20">
                  <c:v>2020г</c:v>
                </c:pt>
                <c:pt idx="21">
                  <c:v>2021г</c:v>
                </c:pt>
                <c:pt idx="22">
                  <c:v>2022г</c:v>
                </c:pt>
                <c:pt idx="23">
                  <c:v>2023г</c:v>
                </c:pt>
              </c:strCache>
            </c:strRef>
          </c:cat>
          <c:val>
            <c:numRef>
              <c:f>графики!$H$8:$AE$8</c:f>
              <c:numCache>
                <c:formatCode>General</c:formatCode>
                <c:ptCount val="24"/>
                <c:pt idx="0">
                  <c:v>0.19</c:v>
                </c:pt>
                <c:pt idx="1">
                  <c:v>0.19</c:v>
                </c:pt>
                <c:pt idx="2">
                  <c:v>0.19</c:v>
                </c:pt>
                <c:pt idx="3">
                  <c:v>0.2</c:v>
                </c:pt>
                <c:pt idx="4">
                  <c:v>0.21</c:v>
                </c:pt>
                <c:pt idx="5">
                  <c:v>0.21</c:v>
                </c:pt>
                <c:pt idx="6">
                  <c:v>0.2</c:v>
                </c:pt>
                <c:pt idx="7">
                  <c:v>0.2</c:v>
                </c:pt>
                <c:pt idx="8">
                  <c:v>0.19</c:v>
                </c:pt>
                <c:pt idx="9">
                  <c:v>0.17</c:v>
                </c:pt>
                <c:pt idx="10">
                  <c:v>0.18</c:v>
                </c:pt>
                <c:pt idx="11">
                  <c:v>0.17</c:v>
                </c:pt>
                <c:pt idx="12">
                  <c:v>0.16</c:v>
                </c:pt>
                <c:pt idx="13">
                  <c:v>0.18</c:v>
                </c:pt>
                <c:pt idx="14">
                  <c:v>0.17</c:v>
                </c:pt>
                <c:pt idx="15">
                  <c:v>0.17</c:v>
                </c:pt>
                <c:pt idx="16">
                  <c:v>0.18</c:v>
                </c:pt>
                <c:pt idx="17">
                  <c:v>0.18</c:v>
                </c:pt>
                <c:pt idx="18">
                  <c:v>0.19</c:v>
                </c:pt>
                <c:pt idx="19">
                  <c:v>0.19</c:v>
                </c:pt>
                <c:pt idx="20">
                  <c:v>0.19</c:v>
                </c:pt>
                <c:pt idx="21">
                  <c:v>0.19</c:v>
                </c:pt>
                <c:pt idx="22">
                  <c:v>0.2</c:v>
                </c:pt>
                <c:pt idx="23">
                  <c:v>0.21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графики!$G$9</c:f>
              <c:strCache>
                <c:ptCount val="1"/>
                <c:pt idx="0">
                  <c:v>Прирост (уменьшение) денег у  населения</c:v>
                </c:pt>
              </c:strCache>
            </c:strRef>
          </c:tx>
          <c:spPr>
            <a:ln w="28575" cap="rnd" cmpd="sng" algn="ctr">
              <a:solidFill>
                <a:schemeClr val="dk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pPr>
              <a:solidFill>
                <a:schemeClr val="dk1">
                  <a:tint val="75000"/>
                </a:schemeClr>
              </a:solidFill>
              <a:ln w="9525" cap="flat" cmpd="sng" algn="ctr">
                <a:solidFill>
                  <a:schemeClr val="dk1">
                    <a:tint val="75000"/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графики!$H$6:$AE$6</c:f>
              <c:strCache>
                <c:ptCount val="24"/>
                <c:pt idx="0">
                  <c:v>2000 г</c:v>
                </c:pt>
                <c:pt idx="1">
                  <c:v>2001г</c:v>
                </c:pt>
                <c:pt idx="2">
                  <c:v>2002г</c:v>
                </c:pt>
                <c:pt idx="3">
                  <c:v>2003г</c:v>
                </c:pt>
                <c:pt idx="4">
                  <c:v>2004г</c:v>
                </c:pt>
                <c:pt idx="5">
                  <c:v>2005г</c:v>
                </c:pt>
                <c:pt idx="6">
                  <c:v>2006г</c:v>
                </c:pt>
                <c:pt idx="7">
                  <c:v>2007г</c:v>
                </c:pt>
                <c:pt idx="8">
                  <c:v>2008г</c:v>
                </c:pt>
                <c:pt idx="9">
                  <c:v>2009г</c:v>
                </c:pt>
                <c:pt idx="10">
                  <c:v>2010г</c:v>
                </c:pt>
                <c:pt idx="11">
                  <c:v>2011г</c:v>
                </c:pt>
                <c:pt idx="12">
                  <c:v>2012г</c:v>
                </c:pt>
                <c:pt idx="13">
                  <c:v>2013г</c:v>
                </c:pt>
                <c:pt idx="14">
                  <c:v>2014г</c:v>
                </c:pt>
                <c:pt idx="15">
                  <c:v>2015г</c:v>
                </c:pt>
                <c:pt idx="16">
                  <c:v>2016г</c:v>
                </c:pt>
                <c:pt idx="17">
                  <c:v>2017г</c:v>
                </c:pt>
                <c:pt idx="18">
                  <c:v>2018г</c:v>
                </c:pt>
                <c:pt idx="19">
                  <c:v>2019г</c:v>
                </c:pt>
                <c:pt idx="20">
                  <c:v>2020г</c:v>
                </c:pt>
                <c:pt idx="21">
                  <c:v>2021г</c:v>
                </c:pt>
                <c:pt idx="22">
                  <c:v>2022г</c:v>
                </c:pt>
                <c:pt idx="23">
                  <c:v>2023г</c:v>
                </c:pt>
              </c:strCache>
            </c:strRef>
          </c:cat>
          <c:val>
            <c:numRef>
              <c:f>графики!$H$9:$AE$9</c:f>
              <c:numCache>
                <c:formatCode>General</c:formatCode>
                <c:ptCount val="24"/>
                <c:pt idx="0">
                  <c:v>0.39</c:v>
                </c:pt>
                <c:pt idx="1">
                  <c:v>0.48</c:v>
                </c:pt>
                <c:pt idx="2">
                  <c:v>0.42</c:v>
                </c:pt>
                <c:pt idx="3">
                  <c:v>0.48</c:v>
                </c:pt>
                <c:pt idx="4">
                  <c:v>0.55000000000000004</c:v>
                </c:pt>
                <c:pt idx="5">
                  <c:v>0.56000000000000005</c:v>
                </c:pt>
                <c:pt idx="6">
                  <c:v>0.45</c:v>
                </c:pt>
                <c:pt idx="7">
                  <c:v>0.42</c:v>
                </c:pt>
                <c:pt idx="8">
                  <c:v>0.46</c:v>
                </c:pt>
                <c:pt idx="9">
                  <c:v>0.52</c:v>
                </c:pt>
                <c:pt idx="10">
                  <c:v>0.49</c:v>
                </c:pt>
                <c:pt idx="11">
                  <c:v>0.5</c:v>
                </c:pt>
                <c:pt idx="12">
                  <c:v>0.52</c:v>
                </c:pt>
                <c:pt idx="13">
                  <c:v>0.51</c:v>
                </c:pt>
                <c:pt idx="14">
                  <c:v>0.45</c:v>
                </c:pt>
                <c:pt idx="15">
                  <c:v>0.54</c:v>
                </c:pt>
                <c:pt idx="16">
                  <c:v>0.46</c:v>
                </c:pt>
                <c:pt idx="17">
                  <c:v>0.43</c:v>
                </c:pt>
                <c:pt idx="18">
                  <c:v>0.46</c:v>
                </c:pt>
                <c:pt idx="19">
                  <c:v>0.52</c:v>
                </c:pt>
                <c:pt idx="20">
                  <c:v>0.44</c:v>
                </c:pt>
                <c:pt idx="21">
                  <c:v>0.55000000000000004</c:v>
                </c:pt>
                <c:pt idx="22">
                  <c:v>0.62</c:v>
                </c:pt>
                <c:pt idx="23">
                  <c:v>0.6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графики!$G$10</c:f>
              <c:strCache>
                <c:ptCount val="1"/>
                <c:pt idx="0">
                  <c:v>Объем платных услуг на душу населения</c:v>
                </c:pt>
              </c:strCache>
            </c:strRef>
          </c:tx>
          <c:spPr>
            <a:ln w="28575" cap="rnd" cmpd="sng" algn="ctr">
              <a:solidFill>
                <a:schemeClr val="dk1">
                  <a:tint val="985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  <c:marker>
            <c:spPr>
              <a:noFill/>
              <a:ln w="9525" cap="flat" cmpd="sng" algn="ctr">
                <a:solidFill>
                  <a:schemeClr val="dk1">
                    <a:tint val="98500"/>
                    <a:shade val="95000"/>
                    <a:satMod val="105000"/>
                  </a:schemeClr>
                </a:solidFill>
                <a:prstDash val="solid"/>
                <a:round/>
              </a:ln>
              <a:effectLst/>
            </c:spPr>
          </c:marker>
          <c:cat>
            <c:strRef>
              <c:f>графики!$H$6:$AE$6</c:f>
              <c:strCache>
                <c:ptCount val="24"/>
                <c:pt idx="0">
                  <c:v>2000 г</c:v>
                </c:pt>
                <c:pt idx="1">
                  <c:v>2001г</c:v>
                </c:pt>
                <c:pt idx="2">
                  <c:v>2002г</c:v>
                </c:pt>
                <c:pt idx="3">
                  <c:v>2003г</c:v>
                </c:pt>
                <c:pt idx="4">
                  <c:v>2004г</c:v>
                </c:pt>
                <c:pt idx="5">
                  <c:v>2005г</c:v>
                </c:pt>
                <c:pt idx="6">
                  <c:v>2006г</c:v>
                </c:pt>
                <c:pt idx="7">
                  <c:v>2007г</c:v>
                </c:pt>
                <c:pt idx="8">
                  <c:v>2008г</c:v>
                </c:pt>
                <c:pt idx="9">
                  <c:v>2009г</c:v>
                </c:pt>
                <c:pt idx="10">
                  <c:v>2010г</c:v>
                </c:pt>
                <c:pt idx="11">
                  <c:v>2011г</c:v>
                </c:pt>
                <c:pt idx="12">
                  <c:v>2012г</c:v>
                </c:pt>
                <c:pt idx="13">
                  <c:v>2013г</c:v>
                </c:pt>
                <c:pt idx="14">
                  <c:v>2014г</c:v>
                </c:pt>
                <c:pt idx="15">
                  <c:v>2015г</c:v>
                </c:pt>
                <c:pt idx="16">
                  <c:v>2016г</c:v>
                </c:pt>
                <c:pt idx="17">
                  <c:v>2017г</c:v>
                </c:pt>
                <c:pt idx="18">
                  <c:v>2018г</c:v>
                </c:pt>
                <c:pt idx="19">
                  <c:v>2019г</c:v>
                </c:pt>
                <c:pt idx="20">
                  <c:v>2020г</c:v>
                </c:pt>
                <c:pt idx="21">
                  <c:v>2021г</c:v>
                </c:pt>
                <c:pt idx="22">
                  <c:v>2022г</c:v>
                </c:pt>
                <c:pt idx="23">
                  <c:v>2023г</c:v>
                </c:pt>
              </c:strCache>
            </c:strRef>
          </c:cat>
          <c:val>
            <c:numRef>
              <c:f>графики!$H$10:$AE$10</c:f>
              <c:numCache>
                <c:formatCode>General</c:formatCode>
                <c:ptCount val="24"/>
                <c:pt idx="0">
                  <c:v>0.3</c:v>
                </c:pt>
                <c:pt idx="1">
                  <c:v>0.28999999999999998</c:v>
                </c:pt>
                <c:pt idx="2">
                  <c:v>0.28999999999999998</c:v>
                </c:pt>
                <c:pt idx="3">
                  <c:v>0.27</c:v>
                </c:pt>
                <c:pt idx="4">
                  <c:v>0.28000000000000003</c:v>
                </c:pt>
                <c:pt idx="5">
                  <c:v>0.27</c:v>
                </c:pt>
                <c:pt idx="6">
                  <c:v>0.26</c:v>
                </c:pt>
                <c:pt idx="7">
                  <c:v>0.26</c:v>
                </c:pt>
                <c:pt idx="8">
                  <c:v>0.25</c:v>
                </c:pt>
                <c:pt idx="9">
                  <c:v>0.25</c:v>
                </c:pt>
                <c:pt idx="10">
                  <c:v>0.24</c:v>
                </c:pt>
                <c:pt idx="11">
                  <c:v>0.23</c:v>
                </c:pt>
                <c:pt idx="12">
                  <c:v>0.23</c:v>
                </c:pt>
                <c:pt idx="13">
                  <c:v>0.23</c:v>
                </c:pt>
                <c:pt idx="14">
                  <c:v>0.22</c:v>
                </c:pt>
                <c:pt idx="15">
                  <c:v>0.22</c:v>
                </c:pt>
                <c:pt idx="16">
                  <c:v>0.22</c:v>
                </c:pt>
                <c:pt idx="17">
                  <c:v>0.22</c:v>
                </c:pt>
                <c:pt idx="18">
                  <c:v>0.22</c:v>
                </c:pt>
                <c:pt idx="19">
                  <c:v>0.22</c:v>
                </c:pt>
                <c:pt idx="20">
                  <c:v>0.2</c:v>
                </c:pt>
                <c:pt idx="21">
                  <c:v>0.21</c:v>
                </c:pt>
                <c:pt idx="22">
                  <c:v>0.2</c:v>
                </c:pt>
                <c:pt idx="23">
                  <c:v>0.2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08659760"/>
        <c:axId val="208660936"/>
      </c:lineChart>
      <c:catAx>
        <c:axId val="2086597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8660936"/>
        <c:crosses val="autoZero"/>
        <c:auto val="1"/>
        <c:lblAlgn val="ctr"/>
        <c:lblOffset val="100"/>
        <c:noMultiLvlLbl val="0"/>
      </c:catAx>
      <c:valAx>
        <c:axId val="2086609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8659760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1649036294705731E-3"/>
          <c:y val="0.73076336510567763"/>
          <c:w val="0.98451912546464682"/>
          <c:h val="0.2481840033153750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prstDash val="solid"/>
      <a:round/>
    </a:ln>
    <a:effectLst/>
  </c:spPr>
  <c:txPr>
    <a:bodyPr/>
    <a:lstStyle/>
    <a:p>
      <a:pPr>
        <a:defRPr sz="1200" b="1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'коэффициент рождаемости'!$D$5</c:f>
              <c:strCache>
                <c:ptCount val="1"/>
                <c:pt idx="0">
                  <c:v>2010 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рождаемости'!$D$6:$D$90</c:f>
              <c:numCache>
                <c:formatCode>General</c:formatCode>
                <c:ptCount val="85"/>
                <c:pt idx="0">
                  <c:v>10.9</c:v>
                </c:pt>
                <c:pt idx="1">
                  <c:v>10.7</c:v>
                </c:pt>
                <c:pt idx="2">
                  <c:v>10.8</c:v>
                </c:pt>
                <c:pt idx="3">
                  <c:v>10.199999999999999</c:v>
                </c:pt>
                <c:pt idx="4">
                  <c:v>10.4</c:v>
                </c:pt>
                <c:pt idx="5">
                  <c:v>11</c:v>
                </c:pt>
                <c:pt idx="6">
                  <c:v>12.1</c:v>
                </c:pt>
                <c:pt idx="7">
                  <c:v>11.1</c:v>
                </c:pt>
                <c:pt idx="8">
                  <c:v>10.9</c:v>
                </c:pt>
                <c:pt idx="9">
                  <c:v>10.9</c:v>
                </c:pt>
                <c:pt idx="10">
                  <c:v>11</c:v>
                </c:pt>
                <c:pt idx="11">
                  <c:v>10.199999999999999</c:v>
                </c:pt>
                <c:pt idx="12">
                  <c:v>10.4</c:v>
                </c:pt>
                <c:pt idx="13">
                  <c:v>9.5</c:v>
                </c:pt>
                <c:pt idx="14">
                  <c:v>10.9</c:v>
                </c:pt>
                <c:pt idx="15">
                  <c:v>9.5</c:v>
                </c:pt>
                <c:pt idx="16">
                  <c:v>11.2</c:v>
                </c:pt>
                <c:pt idx="17">
                  <c:v>10.7</c:v>
                </c:pt>
                <c:pt idx="18">
                  <c:v>12.1</c:v>
                </c:pt>
                <c:pt idx="19">
                  <c:v>12.9</c:v>
                </c:pt>
                <c:pt idx="20">
                  <c:v>16.600000000000001</c:v>
                </c:pt>
                <c:pt idx="21">
                  <c:v>12.4</c:v>
                </c:pt>
                <c:pt idx="22">
                  <c:v>12.5</c:v>
                </c:pt>
                <c:pt idx="23">
                  <c:v>11.4</c:v>
                </c:pt>
                <c:pt idx="24">
                  <c:v>8.8000000000000007</c:v>
                </c:pt>
                <c:pt idx="25">
                  <c:v>11.7</c:v>
                </c:pt>
                <c:pt idx="26">
                  <c:v>11.3</c:v>
                </c:pt>
                <c:pt idx="27">
                  <c:v>10.5</c:v>
                </c:pt>
                <c:pt idx="28">
                  <c:v>11.4</c:v>
                </c:pt>
                <c:pt idx="29">
                  <c:v>12.9</c:v>
                </c:pt>
                <c:pt idx="30">
                  <c:v>15.3</c:v>
                </c:pt>
                <c:pt idx="32">
                  <c:v>12.2</c:v>
                </c:pt>
                <c:pt idx="33">
                  <c:v>14.2</c:v>
                </c:pt>
                <c:pt idx="34">
                  <c:v>11.3</c:v>
                </c:pt>
                <c:pt idx="35">
                  <c:v>10.9</c:v>
                </c:pt>
                <c:pt idx="37">
                  <c:v>18</c:v>
                </c:pt>
                <c:pt idx="38">
                  <c:v>27.1</c:v>
                </c:pt>
                <c:pt idx="39">
                  <c:v>14.6</c:v>
                </c:pt>
                <c:pt idx="40">
                  <c:v>12.9</c:v>
                </c:pt>
                <c:pt idx="41">
                  <c:v>14.5</c:v>
                </c:pt>
                <c:pt idx="42">
                  <c:v>29.9</c:v>
                </c:pt>
                <c:pt idx="43">
                  <c:v>11.9</c:v>
                </c:pt>
                <c:pt idx="44">
                  <c:v>14</c:v>
                </c:pt>
                <c:pt idx="45">
                  <c:v>12.7</c:v>
                </c:pt>
                <c:pt idx="46">
                  <c:v>9.5</c:v>
                </c:pt>
                <c:pt idx="47">
                  <c:v>12.9</c:v>
                </c:pt>
                <c:pt idx="48">
                  <c:v>14.2</c:v>
                </c:pt>
                <c:pt idx="49">
                  <c:v>12.9</c:v>
                </c:pt>
                <c:pt idx="50">
                  <c:v>14.1</c:v>
                </c:pt>
                <c:pt idx="51">
                  <c:v>11.7</c:v>
                </c:pt>
                <c:pt idx="52">
                  <c:v>10.9</c:v>
                </c:pt>
                <c:pt idx="53">
                  <c:v>14</c:v>
                </c:pt>
                <c:pt idx="54">
                  <c:v>10.199999999999999</c:v>
                </c:pt>
                <c:pt idx="55">
                  <c:v>11.6</c:v>
                </c:pt>
                <c:pt idx="56">
                  <c:v>10.8</c:v>
                </c:pt>
                <c:pt idx="57">
                  <c:v>10.6</c:v>
                </c:pt>
                <c:pt idx="58">
                  <c:v>12.9</c:v>
                </c:pt>
                <c:pt idx="59">
                  <c:v>13.4</c:v>
                </c:pt>
                <c:pt idx="60">
                  <c:v>16.399999999999999</c:v>
                </c:pt>
                <c:pt idx="61">
                  <c:v>15.8</c:v>
                </c:pt>
                <c:pt idx="62">
                  <c:v>15.8</c:v>
                </c:pt>
                <c:pt idx="63">
                  <c:v>13.4</c:v>
                </c:pt>
                <c:pt idx="64">
                  <c:v>20.5</c:v>
                </c:pt>
                <c:pt idx="65">
                  <c:v>26.8</c:v>
                </c:pt>
                <c:pt idx="66">
                  <c:v>15</c:v>
                </c:pt>
                <c:pt idx="67">
                  <c:v>12.7</c:v>
                </c:pt>
                <c:pt idx="68">
                  <c:v>13.6</c:v>
                </c:pt>
                <c:pt idx="69">
                  <c:v>15.2</c:v>
                </c:pt>
                <c:pt idx="70">
                  <c:v>13.1</c:v>
                </c:pt>
                <c:pt idx="71">
                  <c:v>13.2</c:v>
                </c:pt>
                <c:pt idx="72">
                  <c:v>13.2</c:v>
                </c:pt>
                <c:pt idx="73">
                  <c:v>13</c:v>
                </c:pt>
                <c:pt idx="74">
                  <c:v>17</c:v>
                </c:pt>
                <c:pt idx="75">
                  <c:v>16.8</c:v>
                </c:pt>
                <c:pt idx="76">
                  <c:v>15.9</c:v>
                </c:pt>
                <c:pt idx="77">
                  <c:v>12</c:v>
                </c:pt>
                <c:pt idx="78">
                  <c:v>11.8</c:v>
                </c:pt>
                <c:pt idx="79">
                  <c:v>12.9</c:v>
                </c:pt>
                <c:pt idx="80">
                  <c:v>13.8</c:v>
                </c:pt>
                <c:pt idx="81">
                  <c:v>11.5</c:v>
                </c:pt>
                <c:pt idx="82">
                  <c:v>12.1</c:v>
                </c:pt>
                <c:pt idx="83">
                  <c:v>13.6</c:v>
                </c:pt>
                <c:pt idx="84">
                  <c:v>14.7</c:v>
                </c:pt>
              </c:numCache>
            </c:numRef>
          </c:val>
        </c:ser>
        <c:ser>
          <c:idx val="1"/>
          <c:order val="1"/>
          <c:tx>
            <c:strRef>
              <c:f>'коэффициент рождаемости'!$E$5</c:f>
              <c:strCache>
                <c:ptCount val="1"/>
                <c:pt idx="0">
                  <c:v>2015 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рождаемости'!$E$6:$E$90</c:f>
              <c:numCache>
                <c:formatCode>General</c:formatCode>
                <c:ptCount val="85"/>
                <c:pt idx="0">
                  <c:v>11.5</c:v>
                </c:pt>
                <c:pt idx="1">
                  <c:v>11.4</c:v>
                </c:pt>
                <c:pt idx="2">
                  <c:v>11.6</c:v>
                </c:pt>
                <c:pt idx="3">
                  <c:v>11.1</c:v>
                </c:pt>
                <c:pt idx="4">
                  <c:v>11.4</c:v>
                </c:pt>
                <c:pt idx="5">
                  <c:v>12.6</c:v>
                </c:pt>
                <c:pt idx="6">
                  <c:v>12.5</c:v>
                </c:pt>
                <c:pt idx="7">
                  <c:v>11.6</c:v>
                </c:pt>
                <c:pt idx="8">
                  <c:v>11.6</c:v>
                </c:pt>
                <c:pt idx="9">
                  <c:v>12.9</c:v>
                </c:pt>
                <c:pt idx="10">
                  <c:v>11.2</c:v>
                </c:pt>
                <c:pt idx="11">
                  <c:v>11.1</c:v>
                </c:pt>
                <c:pt idx="12">
                  <c:v>10.5</c:v>
                </c:pt>
                <c:pt idx="13">
                  <c:v>9.8000000000000007</c:v>
                </c:pt>
                <c:pt idx="14">
                  <c:v>11.2</c:v>
                </c:pt>
                <c:pt idx="15">
                  <c:v>10.5</c:v>
                </c:pt>
                <c:pt idx="16">
                  <c:v>12.2</c:v>
                </c:pt>
                <c:pt idx="17">
                  <c:v>11.6</c:v>
                </c:pt>
                <c:pt idx="18">
                  <c:v>12.2</c:v>
                </c:pt>
                <c:pt idx="19">
                  <c:v>13.7</c:v>
                </c:pt>
                <c:pt idx="20">
                  <c:v>17.600000000000001</c:v>
                </c:pt>
                <c:pt idx="21">
                  <c:v>12.2</c:v>
                </c:pt>
                <c:pt idx="22">
                  <c:v>13.7</c:v>
                </c:pt>
                <c:pt idx="23">
                  <c:v>12.7</c:v>
                </c:pt>
                <c:pt idx="24">
                  <c:v>9</c:v>
                </c:pt>
                <c:pt idx="25">
                  <c:v>11.9</c:v>
                </c:pt>
                <c:pt idx="26">
                  <c:v>11.9</c:v>
                </c:pt>
                <c:pt idx="27">
                  <c:v>11</c:v>
                </c:pt>
                <c:pt idx="28">
                  <c:v>13.6</c:v>
                </c:pt>
                <c:pt idx="29">
                  <c:v>12.5</c:v>
                </c:pt>
                <c:pt idx="30">
                  <c:v>13.6</c:v>
                </c:pt>
                <c:pt idx="31">
                  <c:v>12.6</c:v>
                </c:pt>
                <c:pt idx="32">
                  <c:v>13.5</c:v>
                </c:pt>
                <c:pt idx="33">
                  <c:v>14.5</c:v>
                </c:pt>
                <c:pt idx="34">
                  <c:v>11.5</c:v>
                </c:pt>
                <c:pt idx="35">
                  <c:v>12.1</c:v>
                </c:pt>
                <c:pt idx="36">
                  <c:v>13.5</c:v>
                </c:pt>
                <c:pt idx="37">
                  <c:v>18.3</c:v>
                </c:pt>
                <c:pt idx="38">
                  <c:v>18.5</c:v>
                </c:pt>
                <c:pt idx="39">
                  <c:v>14.6</c:v>
                </c:pt>
                <c:pt idx="40">
                  <c:v>12.3</c:v>
                </c:pt>
                <c:pt idx="41">
                  <c:v>14.6</c:v>
                </c:pt>
                <c:pt idx="42">
                  <c:v>23.1</c:v>
                </c:pt>
                <c:pt idx="43">
                  <c:v>13</c:v>
                </c:pt>
                <c:pt idx="44">
                  <c:v>14.5</c:v>
                </c:pt>
                <c:pt idx="45">
                  <c:v>14.4</c:v>
                </c:pt>
                <c:pt idx="46">
                  <c:v>9.6999999999999993</c:v>
                </c:pt>
                <c:pt idx="47">
                  <c:v>14.7</c:v>
                </c:pt>
                <c:pt idx="48">
                  <c:v>14.6</c:v>
                </c:pt>
                <c:pt idx="49">
                  <c:v>13.8</c:v>
                </c:pt>
                <c:pt idx="50">
                  <c:v>14.7</c:v>
                </c:pt>
                <c:pt idx="51">
                  <c:v>12.7</c:v>
                </c:pt>
                <c:pt idx="52">
                  <c:v>12.3</c:v>
                </c:pt>
                <c:pt idx="53">
                  <c:v>14.2</c:v>
                </c:pt>
                <c:pt idx="54">
                  <c:v>10.7</c:v>
                </c:pt>
                <c:pt idx="55">
                  <c:v>12.8</c:v>
                </c:pt>
                <c:pt idx="56">
                  <c:v>11.5</c:v>
                </c:pt>
                <c:pt idx="57">
                  <c:v>11.9</c:v>
                </c:pt>
                <c:pt idx="58">
                  <c:v>13.4</c:v>
                </c:pt>
                <c:pt idx="59">
                  <c:v>14.4</c:v>
                </c:pt>
                <c:pt idx="60">
                  <c:v>16.600000000000001</c:v>
                </c:pt>
                <c:pt idx="61">
                  <c:v>16.600000000000001</c:v>
                </c:pt>
                <c:pt idx="62">
                  <c:v>16.7</c:v>
                </c:pt>
                <c:pt idx="63">
                  <c:v>13.9</c:v>
                </c:pt>
                <c:pt idx="64">
                  <c:v>18.8</c:v>
                </c:pt>
                <c:pt idx="65">
                  <c:v>23.8</c:v>
                </c:pt>
                <c:pt idx="66">
                  <c:v>14.7</c:v>
                </c:pt>
                <c:pt idx="67">
                  <c:v>12.6</c:v>
                </c:pt>
                <c:pt idx="68">
                  <c:v>14.4</c:v>
                </c:pt>
                <c:pt idx="69">
                  <c:v>15.3</c:v>
                </c:pt>
                <c:pt idx="70">
                  <c:v>12.5</c:v>
                </c:pt>
                <c:pt idx="71">
                  <c:v>14.2</c:v>
                </c:pt>
                <c:pt idx="72">
                  <c:v>14.4</c:v>
                </c:pt>
                <c:pt idx="73">
                  <c:v>13.6</c:v>
                </c:pt>
                <c:pt idx="74">
                  <c:v>17.3</c:v>
                </c:pt>
                <c:pt idx="75">
                  <c:v>17.100000000000001</c:v>
                </c:pt>
                <c:pt idx="76">
                  <c:v>15.4</c:v>
                </c:pt>
                <c:pt idx="77">
                  <c:v>13.1</c:v>
                </c:pt>
                <c:pt idx="78">
                  <c:v>12.7</c:v>
                </c:pt>
                <c:pt idx="79">
                  <c:v>14.3</c:v>
                </c:pt>
                <c:pt idx="80">
                  <c:v>13.3</c:v>
                </c:pt>
                <c:pt idx="81">
                  <c:v>11.9</c:v>
                </c:pt>
                <c:pt idx="82">
                  <c:v>13.7</c:v>
                </c:pt>
                <c:pt idx="83">
                  <c:v>14</c:v>
                </c:pt>
                <c:pt idx="84">
                  <c:v>13.6</c:v>
                </c:pt>
              </c:numCache>
            </c:numRef>
          </c:val>
        </c:ser>
        <c:ser>
          <c:idx val="2"/>
          <c:order val="2"/>
          <c:tx>
            <c:strRef>
              <c:f>'коэффициент рождаемости'!$F$5</c:f>
              <c:strCache>
                <c:ptCount val="1"/>
                <c:pt idx="0">
                  <c:v>2018 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рождаемости'!$F$6:$F$90</c:f>
              <c:numCache>
                <c:formatCode>General</c:formatCode>
                <c:ptCount val="85"/>
                <c:pt idx="0">
                  <c:v>9.1999999999999993</c:v>
                </c:pt>
                <c:pt idx="1">
                  <c:v>9.1999999999999993</c:v>
                </c:pt>
                <c:pt idx="2">
                  <c:v>9.3000000000000007</c:v>
                </c:pt>
                <c:pt idx="3">
                  <c:v>9.1999999999999993</c:v>
                </c:pt>
                <c:pt idx="4">
                  <c:v>9</c:v>
                </c:pt>
                <c:pt idx="5">
                  <c:v>10.199999999999999</c:v>
                </c:pt>
                <c:pt idx="6">
                  <c:v>9.6999999999999993</c:v>
                </c:pt>
                <c:pt idx="7">
                  <c:v>9.1999999999999993</c:v>
                </c:pt>
                <c:pt idx="8">
                  <c:v>9.5</c:v>
                </c:pt>
                <c:pt idx="9">
                  <c:v>11</c:v>
                </c:pt>
                <c:pt idx="10">
                  <c:v>9</c:v>
                </c:pt>
                <c:pt idx="11">
                  <c:v>9.1999999999999993</c:v>
                </c:pt>
                <c:pt idx="12">
                  <c:v>8.3000000000000007</c:v>
                </c:pt>
                <c:pt idx="13">
                  <c:v>8.1</c:v>
                </c:pt>
                <c:pt idx="14">
                  <c:v>9.1</c:v>
                </c:pt>
                <c:pt idx="15">
                  <c:v>8.3000000000000007</c:v>
                </c:pt>
                <c:pt idx="16">
                  <c:v>9.8000000000000007</c:v>
                </c:pt>
                <c:pt idx="17">
                  <c:v>10.5</c:v>
                </c:pt>
                <c:pt idx="18">
                  <c:v>9.8000000000000007</c:v>
                </c:pt>
                <c:pt idx="19">
                  <c:v>10.199999999999999</c:v>
                </c:pt>
                <c:pt idx="20">
                  <c:v>14.1</c:v>
                </c:pt>
                <c:pt idx="21">
                  <c:v>9.6</c:v>
                </c:pt>
                <c:pt idx="22">
                  <c:v>10.5</c:v>
                </c:pt>
                <c:pt idx="23">
                  <c:v>10.3</c:v>
                </c:pt>
                <c:pt idx="24">
                  <c:v>7.6</c:v>
                </c:pt>
                <c:pt idx="25">
                  <c:v>9.8000000000000007</c:v>
                </c:pt>
                <c:pt idx="26">
                  <c:v>9.6999999999999993</c:v>
                </c:pt>
                <c:pt idx="27">
                  <c:v>9.3000000000000007</c:v>
                </c:pt>
                <c:pt idx="28">
                  <c:v>11.9</c:v>
                </c:pt>
                <c:pt idx="29">
                  <c:v>9.9</c:v>
                </c:pt>
                <c:pt idx="30">
                  <c:v>11.1</c:v>
                </c:pt>
                <c:pt idx="31">
                  <c:v>10.6</c:v>
                </c:pt>
                <c:pt idx="32">
                  <c:v>11.5</c:v>
                </c:pt>
                <c:pt idx="33">
                  <c:v>11.6</c:v>
                </c:pt>
                <c:pt idx="34">
                  <c:v>9.4</c:v>
                </c:pt>
                <c:pt idx="35">
                  <c:v>9.6999999999999993</c:v>
                </c:pt>
                <c:pt idx="36">
                  <c:v>10.1</c:v>
                </c:pt>
                <c:pt idx="37">
                  <c:v>15.6</c:v>
                </c:pt>
                <c:pt idx="38">
                  <c:v>16.3</c:v>
                </c:pt>
                <c:pt idx="39">
                  <c:v>12.6</c:v>
                </c:pt>
                <c:pt idx="40">
                  <c:v>10.7</c:v>
                </c:pt>
                <c:pt idx="41">
                  <c:v>13.1</c:v>
                </c:pt>
                <c:pt idx="42">
                  <c:v>20.7</c:v>
                </c:pt>
                <c:pt idx="43">
                  <c:v>11</c:v>
                </c:pt>
                <c:pt idx="44">
                  <c:v>11.6</c:v>
                </c:pt>
                <c:pt idx="45">
                  <c:v>10.8</c:v>
                </c:pt>
                <c:pt idx="46">
                  <c:v>8.3000000000000007</c:v>
                </c:pt>
                <c:pt idx="47">
                  <c:v>11.9</c:v>
                </c:pt>
                <c:pt idx="48">
                  <c:v>10.9</c:v>
                </c:pt>
                <c:pt idx="49">
                  <c:v>10.6</c:v>
                </c:pt>
                <c:pt idx="50">
                  <c:v>11.3</c:v>
                </c:pt>
                <c:pt idx="51">
                  <c:v>9.9</c:v>
                </c:pt>
                <c:pt idx="52">
                  <c:v>9.9</c:v>
                </c:pt>
                <c:pt idx="53">
                  <c:v>11</c:v>
                </c:pt>
                <c:pt idx="54">
                  <c:v>8.6999999999999993</c:v>
                </c:pt>
                <c:pt idx="55">
                  <c:v>10.4</c:v>
                </c:pt>
                <c:pt idx="56">
                  <c:v>9.1</c:v>
                </c:pt>
                <c:pt idx="57">
                  <c:v>9.6</c:v>
                </c:pt>
                <c:pt idx="58">
                  <c:v>10.3</c:v>
                </c:pt>
                <c:pt idx="59">
                  <c:v>11.6</c:v>
                </c:pt>
                <c:pt idx="60">
                  <c:v>13.6</c:v>
                </c:pt>
                <c:pt idx="61">
                  <c:v>13.4</c:v>
                </c:pt>
                <c:pt idx="62">
                  <c:v>13.7</c:v>
                </c:pt>
                <c:pt idx="63">
                  <c:v>10.8</c:v>
                </c:pt>
                <c:pt idx="64">
                  <c:v>15.3</c:v>
                </c:pt>
                <c:pt idx="65">
                  <c:v>20.2</c:v>
                </c:pt>
                <c:pt idx="66">
                  <c:v>11.6</c:v>
                </c:pt>
                <c:pt idx="67">
                  <c:v>10</c:v>
                </c:pt>
                <c:pt idx="68">
                  <c:v>11.7</c:v>
                </c:pt>
                <c:pt idx="69">
                  <c:v>12.8</c:v>
                </c:pt>
                <c:pt idx="70">
                  <c:v>9.9</c:v>
                </c:pt>
                <c:pt idx="71">
                  <c:v>11.7</c:v>
                </c:pt>
                <c:pt idx="72">
                  <c:v>10.9</c:v>
                </c:pt>
                <c:pt idx="73">
                  <c:v>10.9</c:v>
                </c:pt>
                <c:pt idx="74">
                  <c:v>14.1</c:v>
                </c:pt>
                <c:pt idx="75">
                  <c:v>13.7</c:v>
                </c:pt>
                <c:pt idx="76">
                  <c:v>12.7</c:v>
                </c:pt>
                <c:pt idx="77">
                  <c:v>10.8</c:v>
                </c:pt>
                <c:pt idx="78">
                  <c:v>10.5</c:v>
                </c:pt>
                <c:pt idx="79">
                  <c:v>11.4</c:v>
                </c:pt>
                <c:pt idx="80">
                  <c:v>11.1</c:v>
                </c:pt>
                <c:pt idx="81">
                  <c:v>10</c:v>
                </c:pt>
                <c:pt idx="82">
                  <c:v>12.2</c:v>
                </c:pt>
                <c:pt idx="83">
                  <c:v>11.7</c:v>
                </c:pt>
                <c:pt idx="84">
                  <c:v>12.6</c:v>
                </c:pt>
              </c:numCache>
            </c:numRef>
          </c:val>
        </c:ser>
        <c:ser>
          <c:idx val="3"/>
          <c:order val="3"/>
          <c:tx>
            <c:strRef>
              <c:f>'коэффициент рождаемости'!$G$5</c:f>
              <c:strCache>
                <c:ptCount val="1"/>
                <c:pt idx="0">
                  <c:v>2019 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рождаемости'!$G$6:$G$90</c:f>
              <c:numCache>
                <c:formatCode>General</c:formatCode>
                <c:ptCount val="85"/>
                <c:pt idx="0">
                  <c:v>8.5</c:v>
                </c:pt>
                <c:pt idx="1">
                  <c:v>8.3000000000000007</c:v>
                </c:pt>
                <c:pt idx="2">
                  <c:v>8.1</c:v>
                </c:pt>
                <c:pt idx="3">
                  <c:v>8.4</c:v>
                </c:pt>
                <c:pt idx="4">
                  <c:v>7.9</c:v>
                </c:pt>
                <c:pt idx="5">
                  <c:v>8.9</c:v>
                </c:pt>
                <c:pt idx="6">
                  <c:v>9.1</c:v>
                </c:pt>
                <c:pt idx="7">
                  <c:v>8.4</c:v>
                </c:pt>
                <c:pt idx="8">
                  <c:v>8.6</c:v>
                </c:pt>
                <c:pt idx="9">
                  <c:v>9.5</c:v>
                </c:pt>
                <c:pt idx="10">
                  <c:v>8.1</c:v>
                </c:pt>
                <c:pt idx="11">
                  <c:v>8.3000000000000007</c:v>
                </c:pt>
                <c:pt idx="12">
                  <c:v>7.5</c:v>
                </c:pt>
                <c:pt idx="13">
                  <c:v>7.7</c:v>
                </c:pt>
                <c:pt idx="14">
                  <c:v>8.4</c:v>
                </c:pt>
                <c:pt idx="15">
                  <c:v>7.6</c:v>
                </c:pt>
                <c:pt idx="16">
                  <c:v>8.9</c:v>
                </c:pt>
                <c:pt idx="17">
                  <c:v>10.7</c:v>
                </c:pt>
                <c:pt idx="18">
                  <c:v>8.9</c:v>
                </c:pt>
                <c:pt idx="19">
                  <c:v>9.6</c:v>
                </c:pt>
                <c:pt idx="20">
                  <c:v>13.3</c:v>
                </c:pt>
                <c:pt idx="21">
                  <c:v>8.8000000000000007</c:v>
                </c:pt>
                <c:pt idx="22">
                  <c:v>9.6</c:v>
                </c:pt>
                <c:pt idx="23">
                  <c:v>9.1999999999999993</c:v>
                </c:pt>
                <c:pt idx="24">
                  <c:v>7.2</c:v>
                </c:pt>
                <c:pt idx="25">
                  <c:v>9</c:v>
                </c:pt>
                <c:pt idx="26">
                  <c:v>8.6999999999999993</c:v>
                </c:pt>
                <c:pt idx="27">
                  <c:v>8.4</c:v>
                </c:pt>
                <c:pt idx="28">
                  <c:v>10.9</c:v>
                </c:pt>
                <c:pt idx="29">
                  <c:v>9.1</c:v>
                </c:pt>
                <c:pt idx="30">
                  <c:v>10.3</c:v>
                </c:pt>
                <c:pt idx="31">
                  <c:v>10</c:v>
                </c:pt>
                <c:pt idx="32">
                  <c:v>10.8</c:v>
                </c:pt>
                <c:pt idx="33">
                  <c:v>10.9</c:v>
                </c:pt>
                <c:pt idx="34">
                  <c:v>8.4</c:v>
                </c:pt>
                <c:pt idx="35">
                  <c:v>9</c:v>
                </c:pt>
                <c:pt idx="36">
                  <c:v>9.6</c:v>
                </c:pt>
                <c:pt idx="37">
                  <c:v>14.8</c:v>
                </c:pt>
                <c:pt idx="38">
                  <c:v>16.399999999999999</c:v>
                </c:pt>
                <c:pt idx="39">
                  <c:v>11.5</c:v>
                </c:pt>
                <c:pt idx="40">
                  <c:v>10.8</c:v>
                </c:pt>
                <c:pt idx="41">
                  <c:v>12.3</c:v>
                </c:pt>
                <c:pt idx="42">
                  <c:v>20.3</c:v>
                </c:pt>
                <c:pt idx="43">
                  <c:v>10</c:v>
                </c:pt>
                <c:pt idx="44">
                  <c:v>10.3</c:v>
                </c:pt>
                <c:pt idx="45">
                  <c:v>9.8000000000000007</c:v>
                </c:pt>
                <c:pt idx="46">
                  <c:v>7.5</c:v>
                </c:pt>
                <c:pt idx="47">
                  <c:v>10.9</c:v>
                </c:pt>
                <c:pt idx="48">
                  <c:v>9.6999999999999993</c:v>
                </c:pt>
                <c:pt idx="49">
                  <c:v>9.5</c:v>
                </c:pt>
                <c:pt idx="50">
                  <c:v>10.199999999999999</c:v>
                </c:pt>
                <c:pt idx="51">
                  <c:v>8.8000000000000007</c:v>
                </c:pt>
                <c:pt idx="52">
                  <c:v>9</c:v>
                </c:pt>
                <c:pt idx="53">
                  <c:v>10</c:v>
                </c:pt>
                <c:pt idx="54">
                  <c:v>7.9</c:v>
                </c:pt>
                <c:pt idx="55">
                  <c:v>9.3000000000000007</c:v>
                </c:pt>
                <c:pt idx="56">
                  <c:v>8.3000000000000007</c:v>
                </c:pt>
                <c:pt idx="57">
                  <c:v>8.8000000000000007</c:v>
                </c:pt>
                <c:pt idx="58">
                  <c:v>9.1999999999999993</c:v>
                </c:pt>
                <c:pt idx="59">
                  <c:v>10.7</c:v>
                </c:pt>
                <c:pt idx="60">
                  <c:v>12.4</c:v>
                </c:pt>
                <c:pt idx="61">
                  <c:v>12.6</c:v>
                </c:pt>
                <c:pt idx="62">
                  <c:v>12.6</c:v>
                </c:pt>
                <c:pt idx="63">
                  <c:v>9.9</c:v>
                </c:pt>
                <c:pt idx="64">
                  <c:v>13.6</c:v>
                </c:pt>
                <c:pt idx="65">
                  <c:v>18.600000000000001</c:v>
                </c:pt>
                <c:pt idx="66">
                  <c:v>10.4</c:v>
                </c:pt>
                <c:pt idx="67">
                  <c:v>9.1</c:v>
                </c:pt>
                <c:pt idx="68">
                  <c:v>10.5</c:v>
                </c:pt>
                <c:pt idx="69">
                  <c:v>11.8</c:v>
                </c:pt>
                <c:pt idx="70">
                  <c:v>9</c:v>
                </c:pt>
                <c:pt idx="71">
                  <c:v>10.7</c:v>
                </c:pt>
                <c:pt idx="72">
                  <c:v>9.8000000000000007</c:v>
                </c:pt>
                <c:pt idx="73">
                  <c:v>9.9</c:v>
                </c:pt>
                <c:pt idx="74">
                  <c:v>12.7</c:v>
                </c:pt>
                <c:pt idx="75">
                  <c:v>13.2</c:v>
                </c:pt>
                <c:pt idx="76">
                  <c:v>11.8</c:v>
                </c:pt>
                <c:pt idx="77">
                  <c:v>10.5</c:v>
                </c:pt>
                <c:pt idx="78">
                  <c:v>9.6</c:v>
                </c:pt>
                <c:pt idx="79">
                  <c:v>10.9</c:v>
                </c:pt>
                <c:pt idx="80">
                  <c:v>10</c:v>
                </c:pt>
                <c:pt idx="81">
                  <c:v>9.1</c:v>
                </c:pt>
                <c:pt idx="82">
                  <c:v>11.9</c:v>
                </c:pt>
                <c:pt idx="83">
                  <c:v>10.6</c:v>
                </c:pt>
                <c:pt idx="84">
                  <c:v>10.5</c:v>
                </c:pt>
              </c:numCache>
            </c:numRef>
          </c:val>
        </c:ser>
        <c:ser>
          <c:idx val="4"/>
          <c:order val="4"/>
          <c:tx>
            <c:strRef>
              <c:f>'коэффициент рождаемости'!$H$5</c:f>
              <c:strCache>
                <c:ptCount val="1"/>
                <c:pt idx="0">
                  <c:v>2020г.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рождаемости'!$H$6:$H$90</c:f>
              <c:numCache>
                <c:formatCode>General</c:formatCode>
                <c:ptCount val="85"/>
                <c:pt idx="0">
                  <c:v>8</c:v>
                </c:pt>
                <c:pt idx="1">
                  <c:v>8</c:v>
                </c:pt>
                <c:pt idx="2">
                  <c:v>7.5</c:v>
                </c:pt>
                <c:pt idx="3">
                  <c:v>8.1999999999999993</c:v>
                </c:pt>
                <c:pt idx="4">
                  <c:v>7.6</c:v>
                </c:pt>
                <c:pt idx="5">
                  <c:v>9</c:v>
                </c:pt>
                <c:pt idx="6">
                  <c:v>8.5</c:v>
                </c:pt>
                <c:pt idx="7">
                  <c:v>8.3000000000000007</c:v>
                </c:pt>
                <c:pt idx="8">
                  <c:v>8.3000000000000007</c:v>
                </c:pt>
                <c:pt idx="9">
                  <c:v>10.3</c:v>
                </c:pt>
                <c:pt idx="10">
                  <c:v>7.9</c:v>
                </c:pt>
                <c:pt idx="11">
                  <c:v>7.9</c:v>
                </c:pt>
                <c:pt idx="12">
                  <c:v>7</c:v>
                </c:pt>
                <c:pt idx="13">
                  <c:v>7.4</c:v>
                </c:pt>
                <c:pt idx="14">
                  <c:v>8</c:v>
                </c:pt>
                <c:pt idx="15">
                  <c:v>7.4</c:v>
                </c:pt>
                <c:pt idx="16">
                  <c:v>8.5</c:v>
                </c:pt>
                <c:pt idx="17">
                  <c:v>9.9</c:v>
                </c:pt>
                <c:pt idx="18">
                  <c:v>8.5</c:v>
                </c:pt>
                <c:pt idx="19">
                  <c:v>9.3000000000000007</c:v>
                </c:pt>
                <c:pt idx="20">
                  <c:v>13.5</c:v>
                </c:pt>
                <c:pt idx="21">
                  <c:v>8.1999999999999993</c:v>
                </c:pt>
                <c:pt idx="22">
                  <c:v>9.3000000000000007</c:v>
                </c:pt>
                <c:pt idx="23">
                  <c:v>9.1</c:v>
                </c:pt>
                <c:pt idx="24">
                  <c:v>7.1</c:v>
                </c:pt>
                <c:pt idx="25">
                  <c:v>8.8000000000000007</c:v>
                </c:pt>
                <c:pt idx="26">
                  <c:v>8.1999999999999993</c:v>
                </c:pt>
                <c:pt idx="27">
                  <c:v>8</c:v>
                </c:pt>
                <c:pt idx="28">
                  <c:v>10.3</c:v>
                </c:pt>
                <c:pt idx="29">
                  <c:v>9.5</c:v>
                </c:pt>
                <c:pt idx="30">
                  <c:v>10.199999999999999</c:v>
                </c:pt>
                <c:pt idx="31">
                  <c:v>9.9</c:v>
                </c:pt>
                <c:pt idx="32">
                  <c:v>10.5</c:v>
                </c:pt>
                <c:pt idx="33">
                  <c:v>10.9</c:v>
                </c:pt>
                <c:pt idx="34">
                  <c:v>7.9</c:v>
                </c:pt>
                <c:pt idx="35">
                  <c:v>8.6999999999999993</c:v>
                </c:pt>
                <c:pt idx="36">
                  <c:v>8.6999999999999993</c:v>
                </c:pt>
                <c:pt idx="37">
                  <c:v>15.1</c:v>
                </c:pt>
                <c:pt idx="38">
                  <c:v>16.3</c:v>
                </c:pt>
                <c:pt idx="39">
                  <c:v>12.1</c:v>
                </c:pt>
                <c:pt idx="40">
                  <c:v>11</c:v>
                </c:pt>
                <c:pt idx="41">
                  <c:v>11.8</c:v>
                </c:pt>
                <c:pt idx="42">
                  <c:v>20</c:v>
                </c:pt>
                <c:pt idx="43">
                  <c:v>9.8000000000000007</c:v>
                </c:pt>
                <c:pt idx="44">
                  <c:v>10.199999999999999</c:v>
                </c:pt>
                <c:pt idx="45">
                  <c:v>9.8000000000000007</c:v>
                </c:pt>
                <c:pt idx="46">
                  <c:v>7</c:v>
                </c:pt>
                <c:pt idx="47">
                  <c:v>10.6</c:v>
                </c:pt>
                <c:pt idx="48">
                  <c:v>9.6999999999999993</c:v>
                </c:pt>
                <c:pt idx="49">
                  <c:v>9.3000000000000007</c:v>
                </c:pt>
                <c:pt idx="50">
                  <c:v>9.8000000000000007</c:v>
                </c:pt>
                <c:pt idx="51">
                  <c:v>8.4</c:v>
                </c:pt>
                <c:pt idx="52">
                  <c:v>8.6999999999999993</c:v>
                </c:pt>
                <c:pt idx="53">
                  <c:v>9.6</c:v>
                </c:pt>
                <c:pt idx="54">
                  <c:v>7.4</c:v>
                </c:pt>
                <c:pt idx="55">
                  <c:v>8.8000000000000007</c:v>
                </c:pt>
                <c:pt idx="56">
                  <c:v>7.7</c:v>
                </c:pt>
                <c:pt idx="57">
                  <c:v>8.4</c:v>
                </c:pt>
                <c:pt idx="58">
                  <c:v>9</c:v>
                </c:pt>
                <c:pt idx="59">
                  <c:v>10.199999999999999</c:v>
                </c:pt>
                <c:pt idx="60">
                  <c:v>12.3</c:v>
                </c:pt>
                <c:pt idx="61">
                  <c:v>12.9</c:v>
                </c:pt>
                <c:pt idx="62">
                  <c:v>12.3</c:v>
                </c:pt>
                <c:pt idx="63">
                  <c:v>9.6</c:v>
                </c:pt>
                <c:pt idx="64">
                  <c:v>13.3</c:v>
                </c:pt>
                <c:pt idx="65">
                  <c:v>20.2</c:v>
                </c:pt>
                <c:pt idx="66">
                  <c:v>10.1</c:v>
                </c:pt>
                <c:pt idx="67">
                  <c:v>8.6</c:v>
                </c:pt>
                <c:pt idx="68">
                  <c:v>10.1</c:v>
                </c:pt>
                <c:pt idx="69">
                  <c:v>11.3</c:v>
                </c:pt>
                <c:pt idx="70">
                  <c:v>8.5</c:v>
                </c:pt>
                <c:pt idx="71">
                  <c:v>10.3</c:v>
                </c:pt>
                <c:pt idx="72">
                  <c:v>9.3000000000000007</c:v>
                </c:pt>
                <c:pt idx="73">
                  <c:v>9.1999999999999993</c:v>
                </c:pt>
                <c:pt idx="74">
                  <c:v>12.9</c:v>
                </c:pt>
                <c:pt idx="75">
                  <c:v>13.4</c:v>
                </c:pt>
                <c:pt idx="76">
                  <c:v>11.8</c:v>
                </c:pt>
                <c:pt idx="77">
                  <c:v>10.4</c:v>
                </c:pt>
                <c:pt idx="78">
                  <c:v>9.5</c:v>
                </c:pt>
                <c:pt idx="79">
                  <c:v>10.6</c:v>
                </c:pt>
                <c:pt idx="80">
                  <c:v>9.9</c:v>
                </c:pt>
                <c:pt idx="81">
                  <c:v>9.4</c:v>
                </c:pt>
                <c:pt idx="82">
                  <c:v>11.5</c:v>
                </c:pt>
                <c:pt idx="83">
                  <c:v>10.3</c:v>
                </c:pt>
                <c:pt idx="84">
                  <c:v>10.9</c:v>
                </c:pt>
              </c:numCache>
            </c:numRef>
          </c:val>
        </c:ser>
        <c:ser>
          <c:idx val="5"/>
          <c:order val="5"/>
          <c:tx>
            <c:strRef>
              <c:f>'коэффициент рождаемости'!$I$5</c:f>
              <c:strCache>
                <c:ptCount val="1"/>
                <c:pt idx="0">
                  <c:v>2021 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рождаемости'!$I$6:$I$90</c:f>
              <c:numCache>
                <c:formatCode>General</c:formatCode>
                <c:ptCount val="85"/>
                <c:pt idx="0">
                  <c:v>8</c:v>
                </c:pt>
                <c:pt idx="1">
                  <c:v>7.7</c:v>
                </c:pt>
                <c:pt idx="2">
                  <c:v>7.3</c:v>
                </c:pt>
                <c:pt idx="3">
                  <c:v>8.1</c:v>
                </c:pt>
                <c:pt idx="4">
                  <c:v>7.5</c:v>
                </c:pt>
                <c:pt idx="5">
                  <c:v>8.6</c:v>
                </c:pt>
                <c:pt idx="6">
                  <c:v>7.9</c:v>
                </c:pt>
                <c:pt idx="7">
                  <c:v>8</c:v>
                </c:pt>
                <c:pt idx="8">
                  <c:v>7.9</c:v>
                </c:pt>
                <c:pt idx="9">
                  <c:v>9.5</c:v>
                </c:pt>
                <c:pt idx="10">
                  <c:v>7.4</c:v>
                </c:pt>
                <c:pt idx="11">
                  <c:v>7.2</c:v>
                </c:pt>
                <c:pt idx="12">
                  <c:v>6.7</c:v>
                </c:pt>
                <c:pt idx="13">
                  <c:v>7.3</c:v>
                </c:pt>
                <c:pt idx="14">
                  <c:v>7.7</c:v>
                </c:pt>
                <c:pt idx="15">
                  <c:v>7.1</c:v>
                </c:pt>
                <c:pt idx="16">
                  <c:v>8.3000000000000007</c:v>
                </c:pt>
                <c:pt idx="17">
                  <c:v>10.3</c:v>
                </c:pt>
                <c:pt idx="18">
                  <c:v>8.5</c:v>
                </c:pt>
                <c:pt idx="19">
                  <c:v>8.9</c:v>
                </c:pt>
                <c:pt idx="20">
                  <c:v>12.3</c:v>
                </c:pt>
                <c:pt idx="21">
                  <c:v>7.9</c:v>
                </c:pt>
                <c:pt idx="22">
                  <c:v>9.1</c:v>
                </c:pt>
                <c:pt idx="23">
                  <c:v>8.8000000000000007</c:v>
                </c:pt>
                <c:pt idx="24">
                  <c:v>6.8</c:v>
                </c:pt>
                <c:pt idx="25">
                  <c:v>8.3000000000000007</c:v>
                </c:pt>
                <c:pt idx="26">
                  <c:v>7.8</c:v>
                </c:pt>
                <c:pt idx="27">
                  <c:v>8.1999999999999993</c:v>
                </c:pt>
                <c:pt idx="28">
                  <c:v>9.9</c:v>
                </c:pt>
                <c:pt idx="29">
                  <c:v>9.8000000000000007</c:v>
                </c:pt>
                <c:pt idx="30">
                  <c:v>10</c:v>
                </c:pt>
                <c:pt idx="31">
                  <c:v>9.6</c:v>
                </c:pt>
                <c:pt idx="32">
                  <c:v>10.4</c:v>
                </c:pt>
                <c:pt idx="33">
                  <c:v>10.8</c:v>
                </c:pt>
                <c:pt idx="34">
                  <c:v>7.9</c:v>
                </c:pt>
                <c:pt idx="35">
                  <c:v>8.6</c:v>
                </c:pt>
                <c:pt idx="36">
                  <c:v>8.1999999999999993</c:v>
                </c:pt>
                <c:pt idx="37">
                  <c:v>13.9</c:v>
                </c:pt>
                <c:pt idx="38">
                  <c:v>16.399999999999999</c:v>
                </c:pt>
                <c:pt idx="39">
                  <c:v>12.1</c:v>
                </c:pt>
                <c:pt idx="40">
                  <c:v>9.6</c:v>
                </c:pt>
                <c:pt idx="41">
                  <c:v>11.6</c:v>
                </c:pt>
                <c:pt idx="42">
                  <c:v>19.399999999999999</c:v>
                </c:pt>
                <c:pt idx="43">
                  <c:v>9.6</c:v>
                </c:pt>
                <c:pt idx="44">
                  <c:v>9.8000000000000007</c:v>
                </c:pt>
                <c:pt idx="45">
                  <c:v>9.5</c:v>
                </c:pt>
                <c:pt idx="46">
                  <c:v>6.8</c:v>
                </c:pt>
                <c:pt idx="47">
                  <c:v>10.6</c:v>
                </c:pt>
                <c:pt idx="48">
                  <c:v>9.6</c:v>
                </c:pt>
                <c:pt idx="49">
                  <c:v>9.1999999999999993</c:v>
                </c:pt>
                <c:pt idx="50">
                  <c:v>9.8000000000000007</c:v>
                </c:pt>
                <c:pt idx="51">
                  <c:v>8.1999999999999993</c:v>
                </c:pt>
                <c:pt idx="52">
                  <c:v>8.3000000000000007</c:v>
                </c:pt>
                <c:pt idx="53">
                  <c:v>9.4</c:v>
                </c:pt>
                <c:pt idx="54">
                  <c:v>7.3</c:v>
                </c:pt>
                <c:pt idx="55">
                  <c:v>8.8000000000000007</c:v>
                </c:pt>
                <c:pt idx="56">
                  <c:v>7.7</c:v>
                </c:pt>
                <c:pt idx="57">
                  <c:v>8.3000000000000007</c:v>
                </c:pt>
                <c:pt idx="58">
                  <c:v>8.9</c:v>
                </c:pt>
                <c:pt idx="59">
                  <c:v>10.1</c:v>
                </c:pt>
                <c:pt idx="60">
                  <c:v>11.6</c:v>
                </c:pt>
                <c:pt idx="61">
                  <c:v>12.6</c:v>
                </c:pt>
                <c:pt idx="62">
                  <c:v>12</c:v>
                </c:pt>
                <c:pt idx="63">
                  <c:v>9.6999999999999993</c:v>
                </c:pt>
                <c:pt idx="64">
                  <c:v>13.1</c:v>
                </c:pt>
                <c:pt idx="65">
                  <c:v>19.899999999999999</c:v>
                </c:pt>
                <c:pt idx="66">
                  <c:v>9.9</c:v>
                </c:pt>
                <c:pt idx="67">
                  <c:v>8.3000000000000007</c:v>
                </c:pt>
                <c:pt idx="68">
                  <c:v>10</c:v>
                </c:pt>
                <c:pt idx="69">
                  <c:v>11.1</c:v>
                </c:pt>
                <c:pt idx="70">
                  <c:v>8.1999999999999993</c:v>
                </c:pt>
                <c:pt idx="71">
                  <c:v>10.199999999999999</c:v>
                </c:pt>
                <c:pt idx="72">
                  <c:v>9.1999999999999993</c:v>
                </c:pt>
                <c:pt idx="73">
                  <c:v>8.9</c:v>
                </c:pt>
                <c:pt idx="74">
                  <c:v>12.2</c:v>
                </c:pt>
                <c:pt idx="75">
                  <c:v>12.3</c:v>
                </c:pt>
                <c:pt idx="76">
                  <c:v>11.4</c:v>
                </c:pt>
                <c:pt idx="77">
                  <c:v>9.9</c:v>
                </c:pt>
                <c:pt idx="78">
                  <c:v>9.3000000000000007</c:v>
                </c:pt>
                <c:pt idx="79">
                  <c:v>10.199999999999999</c:v>
                </c:pt>
                <c:pt idx="80">
                  <c:v>9.5</c:v>
                </c:pt>
                <c:pt idx="81">
                  <c:v>8.6</c:v>
                </c:pt>
                <c:pt idx="82">
                  <c:v>11.2</c:v>
                </c:pt>
                <c:pt idx="83">
                  <c:v>9.9</c:v>
                </c:pt>
                <c:pt idx="84">
                  <c:v>10.1</c:v>
                </c:pt>
              </c:numCache>
            </c:numRef>
          </c:val>
        </c:ser>
        <c:ser>
          <c:idx val="6"/>
          <c:order val="6"/>
          <c:tx>
            <c:strRef>
              <c:f>'коэффициент рождаемости'!$J$5</c:f>
              <c:strCache>
                <c:ptCount val="1"/>
                <c:pt idx="0">
                  <c:v>2022 г.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рождаемости'!$J$6:$J$90</c:f>
              <c:numCache>
                <c:formatCode>General</c:formatCode>
                <c:ptCount val="85"/>
                <c:pt idx="0">
                  <c:v>7.1</c:v>
                </c:pt>
                <c:pt idx="1">
                  <c:v>7.1</c:v>
                </c:pt>
                <c:pt idx="2">
                  <c:v>6.6</c:v>
                </c:pt>
                <c:pt idx="3">
                  <c:v>7.5</c:v>
                </c:pt>
                <c:pt idx="4">
                  <c:v>7.5</c:v>
                </c:pt>
                <c:pt idx="5">
                  <c:v>7.9</c:v>
                </c:pt>
                <c:pt idx="6">
                  <c:v>7.8</c:v>
                </c:pt>
                <c:pt idx="7">
                  <c:v>7.4</c:v>
                </c:pt>
                <c:pt idx="8">
                  <c:v>7.1</c:v>
                </c:pt>
                <c:pt idx="9">
                  <c:v>8.6</c:v>
                </c:pt>
                <c:pt idx="10">
                  <c:v>7</c:v>
                </c:pt>
                <c:pt idx="11">
                  <c:v>6.4</c:v>
                </c:pt>
                <c:pt idx="12">
                  <c:v>6.2</c:v>
                </c:pt>
                <c:pt idx="13">
                  <c:v>6.8</c:v>
                </c:pt>
                <c:pt idx="14">
                  <c:v>7.3</c:v>
                </c:pt>
                <c:pt idx="15">
                  <c:v>6.4</c:v>
                </c:pt>
                <c:pt idx="16">
                  <c:v>7.7</c:v>
                </c:pt>
                <c:pt idx="17">
                  <c:v>9.4</c:v>
                </c:pt>
                <c:pt idx="18">
                  <c:v>8.1999999999999993</c:v>
                </c:pt>
                <c:pt idx="19">
                  <c:v>8.6999999999999993</c:v>
                </c:pt>
                <c:pt idx="20">
                  <c:v>11.6</c:v>
                </c:pt>
                <c:pt idx="21">
                  <c:v>7.9</c:v>
                </c:pt>
                <c:pt idx="22">
                  <c:v>8.1999999999999993</c:v>
                </c:pt>
                <c:pt idx="23">
                  <c:v>7.9</c:v>
                </c:pt>
                <c:pt idx="24">
                  <c:v>6</c:v>
                </c:pt>
                <c:pt idx="25">
                  <c:v>8.5</c:v>
                </c:pt>
                <c:pt idx="26">
                  <c:v>7.4</c:v>
                </c:pt>
                <c:pt idx="27">
                  <c:v>7.3</c:v>
                </c:pt>
                <c:pt idx="28">
                  <c:v>9</c:v>
                </c:pt>
                <c:pt idx="29">
                  <c:v>8.6999999999999993</c:v>
                </c:pt>
                <c:pt idx="30">
                  <c:v>9.1</c:v>
                </c:pt>
                <c:pt idx="31">
                  <c:v>8.6</c:v>
                </c:pt>
                <c:pt idx="32">
                  <c:v>9.1999999999999993</c:v>
                </c:pt>
                <c:pt idx="33">
                  <c:v>10.1</c:v>
                </c:pt>
                <c:pt idx="34">
                  <c:v>7.1</c:v>
                </c:pt>
                <c:pt idx="35">
                  <c:v>7.8</c:v>
                </c:pt>
                <c:pt idx="36">
                  <c:v>7.1</c:v>
                </c:pt>
                <c:pt idx="37">
                  <c:v>13.3</c:v>
                </c:pt>
                <c:pt idx="38">
                  <c:v>15.3</c:v>
                </c:pt>
                <c:pt idx="39">
                  <c:v>11.1</c:v>
                </c:pt>
                <c:pt idx="40">
                  <c:v>9.4</c:v>
                </c:pt>
                <c:pt idx="41">
                  <c:v>11</c:v>
                </c:pt>
                <c:pt idx="42">
                  <c:v>20.8</c:v>
                </c:pt>
                <c:pt idx="43">
                  <c:v>8.6999999999999993</c:v>
                </c:pt>
                <c:pt idx="44">
                  <c:v>8.8000000000000007</c:v>
                </c:pt>
                <c:pt idx="45">
                  <c:v>8.4</c:v>
                </c:pt>
                <c:pt idx="46">
                  <c:v>6</c:v>
                </c:pt>
                <c:pt idx="47">
                  <c:v>9.1999999999999993</c:v>
                </c:pt>
                <c:pt idx="48">
                  <c:v>8.8000000000000007</c:v>
                </c:pt>
                <c:pt idx="49">
                  <c:v>8.4</c:v>
                </c:pt>
                <c:pt idx="50">
                  <c:v>9.1999999999999993</c:v>
                </c:pt>
                <c:pt idx="51">
                  <c:v>7.8</c:v>
                </c:pt>
                <c:pt idx="52">
                  <c:v>7.8</c:v>
                </c:pt>
                <c:pt idx="53">
                  <c:v>8.6999999999999993</c:v>
                </c:pt>
                <c:pt idx="54">
                  <c:v>6.7</c:v>
                </c:pt>
                <c:pt idx="55">
                  <c:v>7.9</c:v>
                </c:pt>
                <c:pt idx="56">
                  <c:v>6.8</c:v>
                </c:pt>
                <c:pt idx="57">
                  <c:v>7.6</c:v>
                </c:pt>
                <c:pt idx="58">
                  <c:v>8.1999999999999993</c:v>
                </c:pt>
                <c:pt idx="59">
                  <c:v>9.4</c:v>
                </c:pt>
                <c:pt idx="60">
                  <c:v>11.1</c:v>
                </c:pt>
                <c:pt idx="61">
                  <c:v>13.2</c:v>
                </c:pt>
                <c:pt idx="62">
                  <c:v>11.1</c:v>
                </c:pt>
                <c:pt idx="63">
                  <c:v>9.1</c:v>
                </c:pt>
                <c:pt idx="64">
                  <c:v>13.1</c:v>
                </c:pt>
                <c:pt idx="65">
                  <c:v>17.7</c:v>
                </c:pt>
                <c:pt idx="66">
                  <c:v>9.4</c:v>
                </c:pt>
                <c:pt idx="67">
                  <c:v>8.1999999999999993</c:v>
                </c:pt>
                <c:pt idx="68">
                  <c:v>9.3000000000000007</c:v>
                </c:pt>
                <c:pt idx="69">
                  <c:v>10.4</c:v>
                </c:pt>
                <c:pt idx="70">
                  <c:v>7.7</c:v>
                </c:pt>
                <c:pt idx="71">
                  <c:v>9.6</c:v>
                </c:pt>
                <c:pt idx="72">
                  <c:v>8.6999999999999993</c:v>
                </c:pt>
                <c:pt idx="73">
                  <c:v>8.1999999999999993</c:v>
                </c:pt>
                <c:pt idx="74">
                  <c:v>11.2</c:v>
                </c:pt>
                <c:pt idx="75">
                  <c:v>11.8</c:v>
                </c:pt>
                <c:pt idx="76">
                  <c:v>11.2</c:v>
                </c:pt>
                <c:pt idx="77">
                  <c:v>10.199999999999999</c:v>
                </c:pt>
                <c:pt idx="78">
                  <c:v>8.8000000000000007</c:v>
                </c:pt>
                <c:pt idx="79">
                  <c:v>9.6</c:v>
                </c:pt>
                <c:pt idx="80">
                  <c:v>9.1</c:v>
                </c:pt>
                <c:pt idx="81">
                  <c:v>8.6999999999999993</c:v>
                </c:pt>
                <c:pt idx="82">
                  <c:v>10.7</c:v>
                </c:pt>
                <c:pt idx="83">
                  <c:v>9.5</c:v>
                </c:pt>
                <c:pt idx="84">
                  <c:v>10.6</c:v>
                </c:pt>
              </c:numCache>
            </c:numRef>
          </c:val>
        </c:ser>
        <c:ser>
          <c:idx val="7"/>
          <c:order val="7"/>
          <c:tx>
            <c:strRef>
              <c:f>'коэффициент рождаемости'!$K$5</c:f>
              <c:strCache>
                <c:ptCount val="1"/>
                <c:pt idx="0">
                  <c:v>2023 г. </c:v>
                </c:pt>
              </c:strCache>
            </c:strRef>
          </c:tx>
          <c:invertIfNegative val="0"/>
          <c:cat>
            <c:strRef>
              <c:f>'коэффициент рождаемости'!$C$6:$C$90</c:f>
              <c:strCache>
                <c:ptCount val="85"/>
                <c:pt idx="0">
                  <c:v>Белгородская область</c:v>
                </c:pt>
                <c:pt idx="1">
                  <c:v>Брянская область</c:v>
                </c:pt>
                <c:pt idx="2">
                  <c:v>Владимирская область</c:v>
                </c:pt>
                <c:pt idx="3">
                  <c:v>Воронежская область</c:v>
                </c:pt>
                <c:pt idx="4">
                  <c:v>Ивановская область</c:v>
                </c:pt>
                <c:pt idx="5">
                  <c:v>Калужская область</c:v>
                </c:pt>
                <c:pt idx="6">
                  <c:v>Костромская область</c:v>
                </c:pt>
                <c:pt idx="7">
                  <c:v>Курская область</c:v>
                </c:pt>
                <c:pt idx="8">
                  <c:v>Липецкая область</c:v>
                </c:pt>
                <c:pt idx="9">
                  <c:v>Московская область</c:v>
                </c:pt>
                <c:pt idx="10">
                  <c:v>Орловская область</c:v>
                </c:pt>
                <c:pt idx="11">
                  <c:v>Рязанская область</c:v>
                </c:pt>
                <c:pt idx="12">
                  <c:v>Смоленская область</c:v>
                </c:pt>
                <c:pt idx="13">
                  <c:v>Тамбовская область</c:v>
                </c:pt>
                <c:pt idx="14">
                  <c:v>Тверская область</c:v>
                </c:pt>
                <c:pt idx="15">
                  <c:v>Тульская область</c:v>
                </c:pt>
                <c:pt idx="16">
                  <c:v>Ярославская область</c:v>
                </c:pt>
                <c:pt idx="17">
                  <c:v> Москва</c:v>
                </c:pt>
                <c:pt idx="18">
                  <c:v> Карелия</c:v>
                </c:pt>
                <c:pt idx="19">
                  <c:v> Коми</c:v>
                </c:pt>
                <c:pt idx="20">
                  <c:v>НАО</c:v>
                </c:pt>
                <c:pt idx="21">
                  <c:v>Архангельская область </c:v>
                </c:pt>
                <c:pt idx="22">
                  <c:v>Вологодская область</c:v>
                </c:pt>
                <c:pt idx="23">
                  <c:v>Калининградская область</c:v>
                </c:pt>
                <c:pt idx="24">
                  <c:v>Ленинградская область</c:v>
                </c:pt>
                <c:pt idx="25">
                  <c:v>Мурманская область</c:v>
                </c:pt>
                <c:pt idx="26">
                  <c:v>Новгородская область</c:v>
                </c:pt>
                <c:pt idx="27">
                  <c:v>Псковская область</c:v>
                </c:pt>
                <c:pt idx="28">
                  <c:v> Санкт-Петербург</c:v>
                </c:pt>
                <c:pt idx="29">
                  <c:v> Адыгея</c:v>
                </c:pt>
                <c:pt idx="30">
                  <c:v> Калмыкия</c:v>
                </c:pt>
                <c:pt idx="31">
                  <c:v> Крым</c:v>
                </c:pt>
                <c:pt idx="32">
                  <c:v>Краснодарский край</c:v>
                </c:pt>
                <c:pt idx="33">
                  <c:v>Астраханская область</c:v>
                </c:pt>
                <c:pt idx="34">
                  <c:v>Волгоградская область</c:v>
                </c:pt>
                <c:pt idx="35">
                  <c:v>Ростовская область</c:v>
                </c:pt>
                <c:pt idx="36">
                  <c:v> Севастополь</c:v>
                </c:pt>
                <c:pt idx="37">
                  <c:v>Дагестан</c:v>
                </c:pt>
                <c:pt idx="38">
                  <c:v> Ингушетия </c:v>
                </c:pt>
                <c:pt idx="39">
                  <c:v>Кабардино Балкария</c:v>
                </c:pt>
                <c:pt idx="40">
                  <c:v>Карачаево Черкессия</c:v>
                </c:pt>
                <c:pt idx="41">
                  <c:v>Северная Осетия</c:v>
                </c:pt>
                <c:pt idx="42">
                  <c:v>Чечня</c:v>
                </c:pt>
                <c:pt idx="43">
                  <c:v>Ставропольский край</c:v>
                </c:pt>
                <c:pt idx="44">
                  <c:v>Башкортостан</c:v>
                </c:pt>
                <c:pt idx="45">
                  <c:v>Марий Эл</c:v>
                </c:pt>
                <c:pt idx="46">
                  <c:v> Мордовия</c:v>
                </c:pt>
                <c:pt idx="47">
                  <c:v> Татарстан</c:v>
                </c:pt>
                <c:pt idx="48">
                  <c:v>Удмуртия</c:v>
                </c:pt>
                <c:pt idx="49">
                  <c:v>Чувашия</c:v>
                </c:pt>
                <c:pt idx="50">
                  <c:v>Пермский край</c:v>
                </c:pt>
                <c:pt idx="51">
                  <c:v>Кировская область</c:v>
                </c:pt>
                <c:pt idx="52">
                  <c:v>Нижегородская область </c:v>
                </c:pt>
                <c:pt idx="53">
                  <c:v>Оренбургская область</c:v>
                </c:pt>
                <c:pt idx="54">
                  <c:v>Пензенская область</c:v>
                </c:pt>
                <c:pt idx="55">
                  <c:v>Самарская область</c:v>
                </c:pt>
                <c:pt idx="56">
                  <c:v>Саратовская область</c:v>
                </c:pt>
                <c:pt idx="57">
                  <c:v>Ульяновская область</c:v>
                </c:pt>
                <c:pt idx="58">
                  <c:v>Курганская область</c:v>
                </c:pt>
                <c:pt idx="59">
                  <c:v>Свердловская область </c:v>
                </c:pt>
                <c:pt idx="60">
                  <c:v>ХМАО</c:v>
                </c:pt>
                <c:pt idx="61">
                  <c:v>ЯНАО</c:v>
                </c:pt>
                <c:pt idx="62">
                  <c:v>Тюменская область </c:v>
                </c:pt>
                <c:pt idx="63">
                  <c:v>Челябинская область</c:v>
                </c:pt>
                <c:pt idx="64">
                  <c:v>Республика Алтай</c:v>
                </c:pt>
                <c:pt idx="65">
                  <c:v>Республика Тыва</c:v>
                </c:pt>
                <c:pt idx="66">
                  <c:v>Республика Хакасия</c:v>
                </c:pt>
                <c:pt idx="67">
                  <c:v>Алтайский край</c:v>
                </c:pt>
                <c:pt idx="68">
                  <c:v>Красноярский край</c:v>
                </c:pt>
                <c:pt idx="69">
                  <c:v>Иркутская область</c:v>
                </c:pt>
                <c:pt idx="70">
                  <c:v>Кемеровская область</c:v>
                </c:pt>
                <c:pt idx="71">
                  <c:v>Новосибирская область </c:v>
                </c:pt>
                <c:pt idx="72">
                  <c:v>Омская область</c:v>
                </c:pt>
                <c:pt idx="73">
                  <c:v>Томская область</c:v>
                </c:pt>
                <c:pt idx="74">
                  <c:v>Республика Бурятия</c:v>
                </c:pt>
                <c:pt idx="75">
                  <c:v> Саха (Якутия)</c:v>
                </c:pt>
                <c:pt idx="76">
                  <c:v>Забайкальский край</c:v>
                </c:pt>
                <c:pt idx="77">
                  <c:v>Камчатский край</c:v>
                </c:pt>
                <c:pt idx="78">
                  <c:v>Приморский край</c:v>
                </c:pt>
                <c:pt idx="79">
                  <c:v>Хабаровский край </c:v>
                </c:pt>
                <c:pt idx="80">
                  <c:v>Амурская область</c:v>
                </c:pt>
                <c:pt idx="81">
                  <c:v>Магаданская область</c:v>
                </c:pt>
                <c:pt idx="82">
                  <c:v>Сахалинская область</c:v>
                </c:pt>
                <c:pt idx="83">
                  <c:v>ЕАО</c:v>
                </c:pt>
                <c:pt idx="84">
                  <c:v>ЧАО</c:v>
                </c:pt>
              </c:strCache>
            </c:strRef>
          </c:cat>
          <c:val>
            <c:numRef>
              <c:f>'коэффициент рождаемости'!$K$6:$K$90</c:f>
              <c:numCache>
                <c:formatCode>General</c:formatCode>
                <c:ptCount val="85"/>
                <c:pt idx="0">
                  <c:v>6.6</c:v>
                </c:pt>
                <c:pt idx="1">
                  <c:v>6.9</c:v>
                </c:pt>
                <c:pt idx="2">
                  <c:v>6.4</c:v>
                </c:pt>
                <c:pt idx="3">
                  <c:v>7.2</c:v>
                </c:pt>
                <c:pt idx="4">
                  <c:v>7.2</c:v>
                </c:pt>
                <c:pt idx="5">
                  <c:v>7.7</c:v>
                </c:pt>
                <c:pt idx="6">
                  <c:v>7.8</c:v>
                </c:pt>
                <c:pt idx="7">
                  <c:v>7.1</c:v>
                </c:pt>
                <c:pt idx="8">
                  <c:v>7.1</c:v>
                </c:pt>
                <c:pt idx="9">
                  <c:v>8.5</c:v>
                </c:pt>
                <c:pt idx="10">
                  <c:v>6.6</c:v>
                </c:pt>
                <c:pt idx="11">
                  <c:v>6</c:v>
                </c:pt>
                <c:pt idx="12">
                  <c:v>5.8</c:v>
                </c:pt>
                <c:pt idx="13">
                  <c:v>6.6</c:v>
                </c:pt>
                <c:pt idx="14">
                  <c:v>7</c:v>
                </c:pt>
                <c:pt idx="15">
                  <c:v>6.4</c:v>
                </c:pt>
                <c:pt idx="16">
                  <c:v>7.6</c:v>
                </c:pt>
                <c:pt idx="17">
                  <c:v>9.1999999999999993</c:v>
                </c:pt>
                <c:pt idx="18">
                  <c:v>8.1</c:v>
                </c:pt>
                <c:pt idx="19">
                  <c:v>8.6999999999999993</c:v>
                </c:pt>
                <c:pt idx="20">
                  <c:v>12.2</c:v>
                </c:pt>
                <c:pt idx="21">
                  <c:v>7.5</c:v>
                </c:pt>
                <c:pt idx="22">
                  <c:v>7.9</c:v>
                </c:pt>
                <c:pt idx="23">
                  <c:v>7.3</c:v>
                </c:pt>
                <c:pt idx="24">
                  <c:v>5.9</c:v>
                </c:pt>
                <c:pt idx="25">
                  <c:v>8.3000000000000007</c:v>
                </c:pt>
                <c:pt idx="26">
                  <c:v>7</c:v>
                </c:pt>
                <c:pt idx="27">
                  <c:v>7</c:v>
                </c:pt>
                <c:pt idx="28">
                  <c:v>8.6</c:v>
                </c:pt>
                <c:pt idx="29">
                  <c:v>8.6999999999999993</c:v>
                </c:pt>
                <c:pt idx="30">
                  <c:v>9.1</c:v>
                </c:pt>
                <c:pt idx="31">
                  <c:v>8.3000000000000007</c:v>
                </c:pt>
                <c:pt idx="32">
                  <c:v>9.1</c:v>
                </c:pt>
                <c:pt idx="33">
                  <c:v>9.9</c:v>
                </c:pt>
                <c:pt idx="34">
                  <c:v>6.8</c:v>
                </c:pt>
                <c:pt idx="35">
                  <c:v>7.7</c:v>
                </c:pt>
                <c:pt idx="36">
                  <c:v>6.6</c:v>
                </c:pt>
                <c:pt idx="37">
                  <c:v>13.1</c:v>
                </c:pt>
                <c:pt idx="38">
                  <c:v>15.1</c:v>
                </c:pt>
                <c:pt idx="39">
                  <c:v>11</c:v>
                </c:pt>
                <c:pt idx="40">
                  <c:v>9.5</c:v>
                </c:pt>
                <c:pt idx="41">
                  <c:v>10.3</c:v>
                </c:pt>
                <c:pt idx="42">
                  <c:v>20</c:v>
                </c:pt>
                <c:pt idx="43">
                  <c:v>8.5</c:v>
                </c:pt>
                <c:pt idx="44">
                  <c:v>8.6999999999999993</c:v>
                </c:pt>
                <c:pt idx="45">
                  <c:v>8.1</c:v>
                </c:pt>
                <c:pt idx="46">
                  <c:v>6</c:v>
                </c:pt>
                <c:pt idx="47">
                  <c:v>9.1</c:v>
                </c:pt>
                <c:pt idx="48">
                  <c:v>8.4</c:v>
                </c:pt>
                <c:pt idx="49">
                  <c:v>8.1</c:v>
                </c:pt>
                <c:pt idx="50">
                  <c:v>9</c:v>
                </c:pt>
                <c:pt idx="51">
                  <c:v>7.5</c:v>
                </c:pt>
                <c:pt idx="52">
                  <c:v>7.5</c:v>
                </c:pt>
                <c:pt idx="53">
                  <c:v>8.6999999999999993</c:v>
                </c:pt>
                <c:pt idx="54">
                  <c:v>6.6</c:v>
                </c:pt>
                <c:pt idx="55">
                  <c:v>7.6</c:v>
                </c:pt>
                <c:pt idx="56">
                  <c:v>6.6</c:v>
                </c:pt>
                <c:pt idx="57">
                  <c:v>7.5</c:v>
                </c:pt>
                <c:pt idx="58">
                  <c:v>7.9</c:v>
                </c:pt>
                <c:pt idx="59">
                  <c:v>9.1</c:v>
                </c:pt>
                <c:pt idx="60">
                  <c:v>10.8</c:v>
                </c:pt>
                <c:pt idx="61">
                  <c:v>12.9</c:v>
                </c:pt>
                <c:pt idx="62">
                  <c:v>10.7</c:v>
                </c:pt>
                <c:pt idx="63">
                  <c:v>8.9</c:v>
                </c:pt>
                <c:pt idx="64">
                  <c:v>12.8</c:v>
                </c:pt>
                <c:pt idx="65">
                  <c:v>17.100000000000001</c:v>
                </c:pt>
                <c:pt idx="66">
                  <c:v>9.1</c:v>
                </c:pt>
                <c:pt idx="67">
                  <c:v>7.8</c:v>
                </c:pt>
                <c:pt idx="68">
                  <c:v>9.1</c:v>
                </c:pt>
                <c:pt idx="69">
                  <c:v>10</c:v>
                </c:pt>
                <c:pt idx="70">
                  <c:v>7.3</c:v>
                </c:pt>
                <c:pt idx="71">
                  <c:v>9.3000000000000007</c:v>
                </c:pt>
                <c:pt idx="72">
                  <c:v>8.3000000000000007</c:v>
                </c:pt>
                <c:pt idx="73">
                  <c:v>7.7</c:v>
                </c:pt>
                <c:pt idx="74">
                  <c:v>10.5</c:v>
                </c:pt>
                <c:pt idx="75">
                  <c:v>11.2</c:v>
                </c:pt>
                <c:pt idx="76">
                  <c:v>10.5</c:v>
                </c:pt>
                <c:pt idx="77">
                  <c:v>10.199999999999999</c:v>
                </c:pt>
                <c:pt idx="78">
                  <c:v>8.6999999999999993</c:v>
                </c:pt>
                <c:pt idx="79">
                  <c:v>9.1</c:v>
                </c:pt>
                <c:pt idx="80">
                  <c:v>9.1999999999999993</c:v>
                </c:pt>
                <c:pt idx="81">
                  <c:v>8.3000000000000007</c:v>
                </c:pt>
                <c:pt idx="82">
                  <c:v>10</c:v>
                </c:pt>
                <c:pt idx="83">
                  <c:v>9.1</c:v>
                </c:pt>
                <c:pt idx="84">
                  <c:v>10.9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08662896"/>
        <c:axId val="208665248"/>
      </c:barChart>
      <c:catAx>
        <c:axId val="20866289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08665248"/>
        <c:crosses val="autoZero"/>
        <c:auto val="1"/>
        <c:lblAlgn val="ctr"/>
        <c:lblOffset val="100"/>
        <c:noMultiLvlLbl val="0"/>
      </c:catAx>
      <c:valAx>
        <c:axId val="20866524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0866289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13211075995550944"/>
          <c:y val="0.94508047939790663"/>
          <c:w val="0.76194565953552162"/>
          <c:h val="4.2871327831009075E-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4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7B216D-8D7E-4FA1-8A8F-6F2203766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6</Pages>
  <Words>1370</Words>
  <Characters>7814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Референт</cp:lastModifiedBy>
  <cp:revision>59</cp:revision>
  <dcterms:created xsi:type="dcterms:W3CDTF">2025-02-16T09:42:00Z</dcterms:created>
  <dcterms:modified xsi:type="dcterms:W3CDTF">2025-02-19T08:49:00Z</dcterms:modified>
</cp:coreProperties>
</file>