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1784" w:rsidRPr="002E1784" w:rsidRDefault="007F09DE" w:rsidP="007F09D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7F09DE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УДК 330.341 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/ББК</w:t>
      </w:r>
      <w:r w:rsidR="00DF74B5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65.04</w:t>
      </w:r>
    </w:p>
    <w:p w:rsidR="002E1784" w:rsidRPr="002E1784" w:rsidRDefault="00D914CD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Смирнов И. Д.</w:t>
      </w:r>
    </w:p>
    <w:p w:rsidR="002E1784" w:rsidRPr="002E1784" w:rsidRDefault="006C5F36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ПОТРЕБИТЕЛЬСКОЕ ПОВЕДЕНИЕ </w:t>
      </w:r>
      <w:r w:rsidR="00D914CD">
        <w:rPr>
          <w:rFonts w:ascii="Times New Roman" w:eastAsia="Times New Roman" w:hAnsi="Times New Roman" w:cs="Times New Roman"/>
          <w:b/>
          <w:sz w:val="24"/>
          <w:lang w:eastAsia="ru-RU"/>
        </w:rPr>
        <w:t>ЕГО НЕ</w:t>
      </w:r>
      <w:r w:rsidR="00530318" w:rsidRPr="0053031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proofErr w:type="gramStart"/>
      <w:r w:rsidR="00D914CD">
        <w:rPr>
          <w:rFonts w:ascii="Times New Roman" w:eastAsia="Times New Roman" w:hAnsi="Times New Roman" w:cs="Times New Roman"/>
          <w:b/>
          <w:sz w:val="24"/>
          <w:lang w:eastAsia="ru-RU"/>
        </w:rPr>
        <w:t>ЭКОНОМИЧЕСКИЕ</w:t>
      </w:r>
      <w:proofErr w:type="gramEnd"/>
      <w:r w:rsidR="00D914CD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ДЕТЕРМИНАТ</w:t>
      </w:r>
      <w:r w:rsidR="00AD2403">
        <w:rPr>
          <w:rFonts w:ascii="Times New Roman" w:eastAsia="Times New Roman" w:hAnsi="Times New Roman" w:cs="Times New Roman"/>
          <w:b/>
          <w:sz w:val="24"/>
          <w:lang w:eastAsia="ru-RU"/>
        </w:rPr>
        <w:t>Ы</w:t>
      </w:r>
    </w:p>
    <w:p w:rsidR="002E1784" w:rsidRPr="006C5F36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E407B0" w:rsidRDefault="002E1784" w:rsidP="00BD4D3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Аннотация статьи на русском языке </w:t>
      </w:r>
    </w:p>
    <w:p w:rsidR="00BD4D3E" w:rsidRPr="002E1784" w:rsidRDefault="00BD4D3E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 статье анализируется социальный капитал как одна </w:t>
      </w:r>
      <w:proofErr w:type="gramStart"/>
      <w:r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>из</w:t>
      </w:r>
      <w:proofErr w:type="gramEnd"/>
      <w:r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proofErr w:type="gramStart"/>
      <w:r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>детерминант</w:t>
      </w:r>
      <w:proofErr w:type="gramEnd"/>
      <w:r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 потребительского поведения. Высокий уровень социального капитала формирует позитивные оценки экономического положения и материального благополучия, что влияет на потребительское настроение и поведение</w:t>
      </w:r>
    </w:p>
    <w:p w:rsidR="00BD4D3E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 на русском языке </w:t>
      </w:r>
    </w:p>
    <w:p w:rsidR="00E407B0" w:rsidRPr="002E1784" w:rsidRDefault="00BD4D3E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>П</w:t>
      </w:r>
      <w:r w:rsidR="00E407B0"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отребительское поведение, материальное благополучие, потребительские настроения, детерминанты потребительского поведения, социальный капитал как одна </w:t>
      </w:r>
      <w:proofErr w:type="gramStart"/>
      <w:r w:rsidR="00E407B0"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>из</w:t>
      </w:r>
      <w:proofErr w:type="gramEnd"/>
      <w:r w:rsidR="00E407B0"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</w:t>
      </w:r>
      <w:proofErr w:type="gramStart"/>
      <w:r w:rsidR="00E407B0"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>детерминант</w:t>
      </w:r>
      <w:proofErr w:type="gramEnd"/>
      <w:r w:rsidR="00E407B0" w:rsidRPr="00BD4D3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потребительского поведения</w:t>
      </w:r>
    </w:p>
    <w:p w:rsidR="00DF6380" w:rsidRDefault="00DF6380" w:rsidP="00DF638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DF6380" w:rsidRPr="00DF6380" w:rsidRDefault="00DF6380" w:rsidP="00DF638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F6380">
        <w:rPr>
          <w:rFonts w:ascii="Times New Roman" w:eastAsia="Times New Roman" w:hAnsi="Times New Roman" w:cs="Times New Roman"/>
          <w:sz w:val="24"/>
          <w:lang w:eastAsia="ru-RU"/>
        </w:rPr>
        <w:t xml:space="preserve">Потребительское поведение населения является важнейшей сферой жизнедеятельности общества, показателем жизненного уровня населения, индикатором устойчивого долговременного развития и роста национальной экономики. </w:t>
      </w:r>
    </w:p>
    <w:p w:rsidR="00DF6380" w:rsidRPr="00DF6380" w:rsidRDefault="00DF6380" w:rsidP="00DF638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F6380">
        <w:rPr>
          <w:rFonts w:ascii="Times New Roman" w:eastAsia="Times New Roman" w:hAnsi="Times New Roman" w:cs="Times New Roman"/>
          <w:sz w:val="24"/>
          <w:lang w:eastAsia="ru-RU"/>
        </w:rPr>
        <w:t>Расходы на конечное потребление домашних хозяйств составляют около 50% в структуре ВВП России и ВРП Вологодской области. Данный показатель, определяя уровень спроса на производимые товары и услуги, во многом характеризует общеэкономическую динамику. Потребление товаров и услуг в значительной степени определяет результаты деятельности хозяйствующих субъектов. Отношения потребления могут дать мощный импульс развитию производства либо, наоборот, сдерживать его развитие.</w:t>
      </w:r>
      <w:r w:rsidRPr="00DF6380">
        <w:rPr>
          <w:rFonts w:eastAsia="Times New Roman"/>
          <w:sz w:val="24"/>
          <w:lang w:eastAsia="ru-RU"/>
        </w:rPr>
        <w:footnoteReference w:id="1"/>
      </w:r>
      <w:r w:rsidRPr="00DF6380">
        <w:rPr>
          <w:rFonts w:ascii="Times New Roman" w:eastAsia="Times New Roman" w:hAnsi="Times New Roman" w:cs="Times New Roman"/>
          <w:sz w:val="24"/>
          <w:lang w:eastAsia="ru-RU"/>
        </w:rPr>
        <w:t xml:space="preserve"> Наличие платежеспособного спроса является одним из основных факторов при планировании деятельности на предприятиях, принятии решений о наращивании или снижении загрузки мощностей, реализации инвестиционных проектов.</w:t>
      </w:r>
    </w:p>
    <w:p w:rsidR="00DF6380" w:rsidRDefault="00DF6380" w:rsidP="00DF638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DF6380">
        <w:rPr>
          <w:rFonts w:ascii="Times New Roman" w:eastAsia="Times New Roman" w:hAnsi="Times New Roman" w:cs="Times New Roman"/>
          <w:sz w:val="24"/>
          <w:lang w:eastAsia="ru-RU"/>
        </w:rPr>
        <w:t xml:space="preserve">Важнейшими детерминантами, определяющими потребительское поведение населения, </w:t>
      </w:r>
      <w:proofErr w:type="gramStart"/>
      <w:r w:rsidRPr="00DF6380">
        <w:rPr>
          <w:rFonts w:ascii="Times New Roman" w:eastAsia="Times New Roman" w:hAnsi="Times New Roman" w:cs="Times New Roman"/>
          <w:sz w:val="24"/>
          <w:lang w:eastAsia="ru-RU"/>
        </w:rPr>
        <w:t>являются</w:t>
      </w:r>
      <w:proofErr w:type="gramEnd"/>
      <w:r w:rsidRPr="00DF6380">
        <w:rPr>
          <w:rFonts w:ascii="Times New Roman" w:eastAsia="Times New Roman" w:hAnsi="Times New Roman" w:cs="Times New Roman"/>
          <w:sz w:val="24"/>
          <w:lang w:eastAsia="ru-RU"/>
        </w:rPr>
        <w:t xml:space="preserve"> прежде всего, экономические факторы. Среди них доходы населения и инфляционные процессы, происходящие в экономике. По данным государственной статистики, реальные располагаемые денежные доходы жителей Вологодской области в 2024 году возросли по сравнению с предыдущим годом на 7,0%, при этом темпы роста сохранились на уровне предыдущего года (табл. 1). В период с 2023 по 2024 год индекс потребительских цен возрос на 10,0%, причем темпы инфляции выше, чем в 2023 г. (7,8%).</w:t>
      </w:r>
    </w:p>
    <w:p w:rsidR="00DF6380" w:rsidRDefault="00DF6380" w:rsidP="00DF638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</w:p>
    <w:p w:rsidR="00DF6380" w:rsidRDefault="00DF6380" w:rsidP="00DF638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  <w:r w:rsidRPr="00781331">
        <w:rPr>
          <w:rFonts w:ascii="Times New Roman" w:eastAsia="Times New Roman" w:hAnsi="Times New Roman" w:cs="Times New Roman"/>
          <w:sz w:val="24"/>
          <w:lang w:eastAsia="ru-RU"/>
        </w:rPr>
        <w:t>Таблица 1</w:t>
      </w:r>
    </w:p>
    <w:p w:rsidR="00DF6380" w:rsidRPr="00DF6380" w:rsidRDefault="00DF6380" w:rsidP="00DF638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DF6380" w:rsidRPr="00781331" w:rsidRDefault="00DF6380" w:rsidP="00DF63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781331">
        <w:rPr>
          <w:rFonts w:ascii="Times New Roman" w:eastAsia="Times New Roman" w:hAnsi="Times New Roman" w:cs="Times New Roman"/>
          <w:sz w:val="24"/>
          <w:lang w:eastAsia="ru-RU"/>
        </w:rPr>
        <w:t>Динамика денежных доходов и потребительских цен в Вологодской области (</w:t>
      </w:r>
      <w:proofErr w:type="gramStart"/>
      <w:r w:rsidRPr="00781331">
        <w:rPr>
          <w:rFonts w:ascii="Times New Roman" w:eastAsia="Times New Roman" w:hAnsi="Times New Roman" w:cs="Times New Roman"/>
          <w:sz w:val="24"/>
          <w:lang w:eastAsia="ru-RU"/>
        </w:rPr>
        <w:t>в</w:t>
      </w:r>
      <w:proofErr w:type="gramEnd"/>
      <w:r w:rsidRPr="00781331">
        <w:rPr>
          <w:rFonts w:ascii="Times New Roman" w:eastAsia="Times New Roman" w:hAnsi="Times New Roman" w:cs="Times New Roman"/>
          <w:sz w:val="24"/>
          <w:lang w:eastAsia="ru-RU"/>
        </w:rPr>
        <w:t xml:space="preserve"> % </w:t>
      </w:r>
      <w:proofErr w:type="gramStart"/>
      <w:r w:rsidRPr="00781331">
        <w:rPr>
          <w:rFonts w:ascii="Times New Roman" w:eastAsia="Times New Roman" w:hAnsi="Times New Roman" w:cs="Times New Roman"/>
          <w:sz w:val="24"/>
          <w:lang w:eastAsia="ru-RU"/>
        </w:rPr>
        <w:t>по</w:t>
      </w:r>
      <w:proofErr w:type="gramEnd"/>
      <w:r w:rsidRPr="00781331">
        <w:rPr>
          <w:rFonts w:ascii="Times New Roman" w:eastAsia="Times New Roman" w:hAnsi="Times New Roman" w:cs="Times New Roman"/>
          <w:sz w:val="24"/>
          <w:lang w:eastAsia="ru-RU"/>
        </w:rPr>
        <w:t xml:space="preserve"> отношению к предыдущему году)</w:t>
      </w:r>
    </w:p>
    <w:tbl>
      <w:tblPr>
        <w:tblStyle w:val="a9"/>
        <w:tblW w:w="8784" w:type="dxa"/>
        <w:jc w:val="center"/>
        <w:tblLayout w:type="fixed"/>
        <w:tblLook w:val="04A0"/>
      </w:tblPr>
      <w:tblGrid>
        <w:gridCol w:w="704"/>
        <w:gridCol w:w="851"/>
        <w:gridCol w:w="850"/>
        <w:gridCol w:w="709"/>
        <w:gridCol w:w="709"/>
        <w:gridCol w:w="708"/>
        <w:gridCol w:w="709"/>
        <w:gridCol w:w="691"/>
        <w:gridCol w:w="727"/>
        <w:gridCol w:w="708"/>
        <w:gridCol w:w="709"/>
        <w:gridCol w:w="709"/>
      </w:tblGrid>
      <w:tr w:rsidR="00DF6380" w:rsidRPr="00D126A6" w:rsidTr="00475A58">
        <w:trPr>
          <w:trHeight w:val="690"/>
          <w:jc w:val="center"/>
        </w:trPr>
        <w:tc>
          <w:tcPr>
            <w:tcW w:w="704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2012</w:t>
            </w:r>
          </w:p>
        </w:tc>
        <w:tc>
          <w:tcPr>
            <w:tcW w:w="851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2014</w:t>
            </w:r>
          </w:p>
        </w:tc>
        <w:tc>
          <w:tcPr>
            <w:tcW w:w="850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2015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2016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</w:p>
        </w:tc>
        <w:tc>
          <w:tcPr>
            <w:tcW w:w="708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2019</w:t>
            </w:r>
          </w:p>
        </w:tc>
        <w:tc>
          <w:tcPr>
            <w:tcW w:w="691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2020</w:t>
            </w:r>
          </w:p>
        </w:tc>
        <w:tc>
          <w:tcPr>
            <w:tcW w:w="727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2021</w:t>
            </w:r>
          </w:p>
        </w:tc>
        <w:tc>
          <w:tcPr>
            <w:tcW w:w="708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2022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2023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2024</w:t>
            </w:r>
          </w:p>
        </w:tc>
      </w:tr>
      <w:tr w:rsidR="00DF6380" w:rsidRPr="00D126A6" w:rsidTr="00475A58">
        <w:trPr>
          <w:trHeight w:val="236"/>
          <w:jc w:val="center"/>
        </w:trPr>
        <w:tc>
          <w:tcPr>
            <w:tcW w:w="8784" w:type="dxa"/>
            <w:gridSpan w:val="12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Реальные располагаемые денежные доходы</w:t>
            </w:r>
          </w:p>
        </w:tc>
      </w:tr>
      <w:tr w:rsidR="00DF6380" w:rsidRPr="00D126A6" w:rsidTr="00475A58">
        <w:trPr>
          <w:trHeight w:val="472"/>
          <w:jc w:val="center"/>
        </w:trPr>
        <w:tc>
          <w:tcPr>
            <w:tcW w:w="704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110,6</w:t>
            </w:r>
          </w:p>
        </w:tc>
        <w:tc>
          <w:tcPr>
            <w:tcW w:w="851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102,3</w:t>
            </w:r>
          </w:p>
        </w:tc>
        <w:tc>
          <w:tcPr>
            <w:tcW w:w="850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98,8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99,8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92,2</w:t>
            </w:r>
          </w:p>
        </w:tc>
        <w:tc>
          <w:tcPr>
            <w:tcW w:w="708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93,6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99,1</w:t>
            </w:r>
          </w:p>
        </w:tc>
        <w:tc>
          <w:tcPr>
            <w:tcW w:w="691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95,1</w:t>
            </w:r>
          </w:p>
        </w:tc>
        <w:tc>
          <w:tcPr>
            <w:tcW w:w="727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98,4</w:t>
            </w:r>
          </w:p>
        </w:tc>
        <w:tc>
          <w:tcPr>
            <w:tcW w:w="708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95,7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107,4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107,0</w:t>
            </w:r>
          </w:p>
        </w:tc>
      </w:tr>
      <w:tr w:rsidR="00DF6380" w:rsidRPr="00D126A6" w:rsidTr="00475A58">
        <w:trPr>
          <w:trHeight w:val="236"/>
          <w:jc w:val="center"/>
        </w:trPr>
        <w:tc>
          <w:tcPr>
            <w:tcW w:w="8784" w:type="dxa"/>
            <w:gridSpan w:val="12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Индекс потребительских цен на товары и услуги</w:t>
            </w:r>
          </w:p>
        </w:tc>
      </w:tr>
      <w:tr w:rsidR="00DF6380" w:rsidRPr="00D126A6" w:rsidTr="00475A58">
        <w:trPr>
          <w:trHeight w:val="472"/>
          <w:jc w:val="center"/>
        </w:trPr>
        <w:tc>
          <w:tcPr>
            <w:tcW w:w="704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106,0</w:t>
            </w:r>
          </w:p>
        </w:tc>
        <w:tc>
          <w:tcPr>
            <w:tcW w:w="851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112,0</w:t>
            </w:r>
          </w:p>
        </w:tc>
        <w:tc>
          <w:tcPr>
            <w:tcW w:w="850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112,0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105,0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102,2</w:t>
            </w:r>
          </w:p>
        </w:tc>
        <w:tc>
          <w:tcPr>
            <w:tcW w:w="708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103,9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102,9</w:t>
            </w:r>
          </w:p>
        </w:tc>
        <w:tc>
          <w:tcPr>
            <w:tcW w:w="691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103,8</w:t>
            </w:r>
          </w:p>
        </w:tc>
        <w:tc>
          <w:tcPr>
            <w:tcW w:w="727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109,3</w:t>
            </w:r>
          </w:p>
        </w:tc>
        <w:tc>
          <w:tcPr>
            <w:tcW w:w="708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112,6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107,8</w:t>
            </w:r>
          </w:p>
        </w:tc>
        <w:tc>
          <w:tcPr>
            <w:tcW w:w="709" w:type="dxa"/>
            <w:vAlign w:val="center"/>
          </w:tcPr>
          <w:p w:rsidR="00DF6380" w:rsidRPr="00D126A6" w:rsidRDefault="00DF6380" w:rsidP="00475A58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110,0</w:t>
            </w:r>
          </w:p>
        </w:tc>
      </w:tr>
    </w:tbl>
    <w:p w:rsidR="00DF6380" w:rsidRPr="00827F45" w:rsidRDefault="00DF6380" w:rsidP="00DF6380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ru-RU"/>
        </w:rPr>
      </w:pPr>
      <w:r w:rsidRPr="00D126A6">
        <w:rPr>
          <w:rFonts w:ascii="Times New Roman" w:eastAsia="Times New Roman" w:hAnsi="Times New Roman" w:cs="Times New Roman"/>
          <w:lang w:eastAsia="ru-RU"/>
        </w:rPr>
        <w:t xml:space="preserve">Источник: данные территориального органа Федеральной службы государственной статистики по Вологодской области (URL: </w:t>
      </w:r>
      <w:hyperlink r:id="rId8" w:history="1">
        <w:r w:rsidRPr="00D126A6">
          <w:rPr>
            <w:rFonts w:eastAsia="Times New Roman"/>
            <w:lang w:eastAsia="ru-RU"/>
          </w:rPr>
          <w:t>http://vologdastat.gks.ru/</w:t>
        </w:r>
      </w:hyperlink>
      <w:r w:rsidRPr="00D126A6">
        <w:rPr>
          <w:rFonts w:ascii="Times New Roman" w:eastAsia="Times New Roman" w:hAnsi="Times New Roman" w:cs="Times New Roman"/>
          <w:lang w:eastAsia="ru-RU"/>
        </w:rPr>
        <w:t>)</w:t>
      </w:r>
    </w:p>
    <w:p w:rsidR="00DF6380" w:rsidRDefault="00DF6380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DF6380" w:rsidRPr="00DF6380" w:rsidRDefault="00DF6380" w:rsidP="00DF638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gramStart"/>
      <w:r w:rsidRPr="00DF6380">
        <w:rPr>
          <w:rFonts w:ascii="Times New Roman" w:eastAsia="Times New Roman" w:hAnsi="Times New Roman" w:cs="Times New Roman"/>
          <w:sz w:val="24"/>
          <w:lang w:eastAsia="ru-RU"/>
        </w:rPr>
        <w:lastRenderedPageBreak/>
        <w:t>Данные статистики демонстрируют сохранение в последние годы неблагоприятной макроструктуры потребительских расходов домашних хозяйств, для которой характерна преобладающая доля расходов на продукты питания (табл. 2).</w:t>
      </w:r>
      <w:proofErr w:type="gramEnd"/>
      <w:r w:rsidRPr="00DF6380">
        <w:rPr>
          <w:rFonts w:ascii="Times New Roman" w:eastAsia="Times New Roman" w:hAnsi="Times New Roman" w:cs="Times New Roman"/>
          <w:sz w:val="24"/>
          <w:lang w:eastAsia="ru-RU"/>
        </w:rPr>
        <w:t xml:space="preserve"> Так, в 2022 г., как и </w:t>
      </w:r>
      <w:proofErr w:type="gramStart"/>
      <w:r w:rsidRPr="00DF6380">
        <w:rPr>
          <w:rFonts w:ascii="Times New Roman" w:eastAsia="Times New Roman" w:hAnsi="Times New Roman" w:cs="Times New Roman"/>
          <w:sz w:val="24"/>
          <w:lang w:eastAsia="ru-RU"/>
        </w:rPr>
        <w:t>годом</w:t>
      </w:r>
      <w:proofErr w:type="gramEnd"/>
      <w:r w:rsidRPr="00DF6380">
        <w:rPr>
          <w:rFonts w:ascii="Times New Roman" w:eastAsia="Times New Roman" w:hAnsi="Times New Roman" w:cs="Times New Roman"/>
          <w:sz w:val="24"/>
          <w:lang w:eastAsia="ru-RU"/>
        </w:rPr>
        <w:t xml:space="preserve"> ранее, на приобретение продуктов питания приходилось 39% совокупных расходов домохозяйств, тогда как на непродовольственные товары – 34%, оплату услуг – 26%.</w:t>
      </w:r>
    </w:p>
    <w:p w:rsidR="00BD4D3E" w:rsidRDefault="00BD4D3E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DF6380" w:rsidRDefault="00DF6380" w:rsidP="00DF638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  <w:r w:rsidRPr="000D3F0A">
        <w:rPr>
          <w:rFonts w:ascii="Times New Roman" w:eastAsia="Times New Roman" w:hAnsi="Times New Roman" w:cs="Times New Roman"/>
          <w:sz w:val="24"/>
          <w:lang w:eastAsia="ru-RU"/>
        </w:rPr>
        <w:t xml:space="preserve">Таблица </w:t>
      </w:r>
      <w:r w:rsidRPr="00827F45">
        <w:rPr>
          <w:rFonts w:ascii="Times New Roman" w:eastAsia="Times New Roman" w:hAnsi="Times New Roman" w:cs="Times New Roman"/>
          <w:sz w:val="24"/>
          <w:lang w:eastAsia="ru-RU"/>
        </w:rPr>
        <w:t>2</w:t>
      </w:r>
    </w:p>
    <w:p w:rsidR="00DF6380" w:rsidRDefault="00DF6380" w:rsidP="00DF6380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</w:p>
    <w:p w:rsidR="00DF6380" w:rsidRPr="000D3F0A" w:rsidRDefault="00DF6380" w:rsidP="00DF6380">
      <w:pPr>
        <w:suppressLineNumbers/>
        <w:suppressAutoHyphens/>
        <w:spacing w:after="0" w:line="261" w:lineRule="exact"/>
        <w:ind w:left="930" w:right="816"/>
        <w:contextualSpacing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0D3F0A">
        <w:rPr>
          <w:rFonts w:ascii="Times New Roman" w:eastAsia="Times New Roman" w:hAnsi="Times New Roman" w:cs="Times New Roman"/>
          <w:sz w:val="24"/>
          <w:lang w:eastAsia="ru-RU"/>
        </w:rPr>
        <w:t>Динамика оценок экономического и материального положения, % от числа опрошенных</w:t>
      </w:r>
    </w:p>
    <w:tbl>
      <w:tblPr>
        <w:tblStyle w:val="TableNormal"/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850"/>
        <w:gridCol w:w="709"/>
        <w:gridCol w:w="567"/>
        <w:gridCol w:w="851"/>
        <w:gridCol w:w="708"/>
        <w:gridCol w:w="993"/>
        <w:gridCol w:w="992"/>
        <w:gridCol w:w="1134"/>
        <w:gridCol w:w="1134"/>
      </w:tblGrid>
      <w:tr w:rsidR="00DF6380" w:rsidRPr="00D126A6" w:rsidTr="00475A58">
        <w:trPr>
          <w:trHeight w:val="493"/>
        </w:trPr>
        <w:tc>
          <w:tcPr>
            <w:tcW w:w="1418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151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Показатель</w:t>
            </w:r>
          </w:p>
        </w:tc>
        <w:tc>
          <w:tcPr>
            <w:tcW w:w="850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2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2012</w:t>
            </w:r>
          </w:p>
        </w:tc>
        <w:tc>
          <w:tcPr>
            <w:tcW w:w="709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2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2015</w:t>
            </w:r>
          </w:p>
        </w:tc>
        <w:tc>
          <w:tcPr>
            <w:tcW w:w="567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2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2018</w:t>
            </w:r>
          </w:p>
        </w:tc>
        <w:tc>
          <w:tcPr>
            <w:tcW w:w="851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1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2019</w:t>
            </w:r>
          </w:p>
        </w:tc>
        <w:tc>
          <w:tcPr>
            <w:tcW w:w="708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1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2020</w:t>
            </w:r>
          </w:p>
        </w:tc>
        <w:tc>
          <w:tcPr>
            <w:tcW w:w="993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1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2021</w:t>
            </w:r>
          </w:p>
        </w:tc>
        <w:tc>
          <w:tcPr>
            <w:tcW w:w="992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0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2022</w:t>
            </w:r>
          </w:p>
        </w:tc>
        <w:tc>
          <w:tcPr>
            <w:tcW w:w="1134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0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2023</w:t>
            </w:r>
          </w:p>
        </w:tc>
        <w:tc>
          <w:tcPr>
            <w:tcW w:w="1134" w:type="dxa"/>
            <w:vMerge w:val="restart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ind w:left="60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2024</w:t>
            </w:r>
          </w:p>
        </w:tc>
      </w:tr>
      <w:tr w:rsidR="00DF6380" w:rsidRPr="00D126A6" w:rsidTr="00475A58">
        <w:trPr>
          <w:trHeight w:val="276"/>
        </w:trPr>
        <w:tc>
          <w:tcPr>
            <w:tcW w:w="1418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850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709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567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851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708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993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992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1134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  <w:tc>
          <w:tcPr>
            <w:tcW w:w="1134" w:type="dxa"/>
            <w:vMerge/>
          </w:tcPr>
          <w:p w:rsidR="00DF6380" w:rsidRPr="00D126A6" w:rsidRDefault="00DF6380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</w:p>
        </w:tc>
      </w:tr>
      <w:tr w:rsidR="00DF6380" w:rsidRPr="00D126A6" w:rsidTr="00475A58">
        <w:trPr>
          <w:trHeight w:val="273"/>
        </w:trPr>
        <w:tc>
          <w:tcPr>
            <w:tcW w:w="9356" w:type="dxa"/>
            <w:gridSpan w:val="10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Экономическое положение России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46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Хорошее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10,7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6,2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14,4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14,6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11,7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11,5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11,7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7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12,1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13,9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46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Среднее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51,2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46,6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43,9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44,6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42,9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42,7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42,3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43,2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45,7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47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Плохое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25,5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35,5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27,2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26,1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31,1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30,8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32,9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30,2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26,2</w:t>
            </w:r>
          </w:p>
        </w:tc>
      </w:tr>
      <w:tr w:rsidR="00DF6380" w:rsidRPr="00D126A6" w:rsidTr="00475A58">
        <w:trPr>
          <w:trHeight w:val="273"/>
        </w:trPr>
        <w:tc>
          <w:tcPr>
            <w:tcW w:w="9356" w:type="dxa"/>
            <w:gridSpan w:val="10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Экономическое положение области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45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Хорошее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9,9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5,2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11,8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11,5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10,8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10,9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7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11,1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8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13,8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15,0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46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Среднее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49,4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39,9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39,2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41,3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38,3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40,4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40,1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42,7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26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43,8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47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Плохое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29,4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43,0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36,9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34,9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36,9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35,9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36,5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32,6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26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30,3</w:t>
            </w:r>
          </w:p>
        </w:tc>
      </w:tr>
      <w:tr w:rsidR="00DF6380" w:rsidRPr="00D126A6" w:rsidTr="00475A58">
        <w:trPr>
          <w:trHeight w:val="273"/>
        </w:trPr>
        <w:tc>
          <w:tcPr>
            <w:tcW w:w="9356" w:type="dxa"/>
            <w:gridSpan w:val="10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Материальное положение семьи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46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Хорошее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10,1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7,9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11,8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10,2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9,2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8,4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7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8,8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13" w:right="8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10,1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3"/>
              <w:ind w:left="26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12,4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46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Среднее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54,2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49,5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48,7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50,1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46,2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48,6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47,9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6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51,0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26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51,6</w:t>
            </w:r>
          </w:p>
        </w:tc>
      </w:tr>
      <w:tr w:rsidR="00DF6380" w:rsidRPr="00D126A6" w:rsidTr="00475A58">
        <w:trPr>
          <w:trHeight w:val="273"/>
        </w:trPr>
        <w:tc>
          <w:tcPr>
            <w:tcW w:w="141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47"/>
              <w:contextualSpacing/>
              <w:jc w:val="left"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Плохое</w:t>
            </w:r>
          </w:p>
        </w:tc>
        <w:tc>
          <w:tcPr>
            <w:tcW w:w="850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27,4</w:t>
            </w:r>
          </w:p>
        </w:tc>
        <w:tc>
          <w:tcPr>
            <w:tcW w:w="709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31,2</w:t>
            </w:r>
          </w:p>
        </w:tc>
        <w:tc>
          <w:tcPr>
            <w:tcW w:w="567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30,2</w:t>
            </w:r>
          </w:p>
        </w:tc>
        <w:tc>
          <w:tcPr>
            <w:tcW w:w="851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2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29,7</w:t>
            </w:r>
          </w:p>
        </w:tc>
        <w:tc>
          <w:tcPr>
            <w:tcW w:w="708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3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33,0</w:t>
            </w:r>
          </w:p>
        </w:tc>
        <w:tc>
          <w:tcPr>
            <w:tcW w:w="993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32,4</w:t>
            </w:r>
          </w:p>
        </w:tc>
        <w:tc>
          <w:tcPr>
            <w:tcW w:w="992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4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32,2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13" w:right="5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27,9</w:t>
            </w:r>
          </w:p>
        </w:tc>
        <w:tc>
          <w:tcPr>
            <w:tcW w:w="1134" w:type="dxa"/>
          </w:tcPr>
          <w:p w:rsidR="00DF6380" w:rsidRPr="00D126A6" w:rsidRDefault="00DF6380" w:rsidP="00475A58">
            <w:pPr>
              <w:pStyle w:val="TableParagraph"/>
              <w:suppressLineNumbers/>
              <w:suppressAutoHyphens/>
              <w:spacing w:before="44"/>
              <w:ind w:left="26" w:right="1"/>
              <w:contextualSpacing/>
              <w:rPr>
                <w:rFonts w:ascii="Times New Roman" w:eastAsia="Times New Roman" w:hAnsi="Times New Roman" w:cs="Times New Roman"/>
                <w:lang w:val="ru-RU"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val="ru-RU" w:eastAsia="ru-RU"/>
              </w:rPr>
              <w:t>26,4</w:t>
            </w:r>
          </w:p>
        </w:tc>
      </w:tr>
    </w:tbl>
    <w:p w:rsidR="00BD4D3E" w:rsidRPr="009037AE" w:rsidRDefault="00DF6380" w:rsidP="009037A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D126A6">
        <w:rPr>
          <w:rFonts w:ascii="Times New Roman" w:eastAsia="Times New Roman" w:hAnsi="Times New Roman" w:cs="Times New Roman"/>
          <w:lang w:eastAsia="ru-RU"/>
        </w:rPr>
        <w:t xml:space="preserve">Источник: </w:t>
      </w:r>
      <w:proofErr w:type="spellStart"/>
      <w:r w:rsidRPr="00D126A6">
        <w:rPr>
          <w:rFonts w:ascii="Times New Roman" w:eastAsia="Times New Roman" w:hAnsi="Times New Roman" w:cs="Times New Roman"/>
          <w:lang w:eastAsia="ru-RU"/>
        </w:rPr>
        <w:t>Морев</w:t>
      </w:r>
      <w:proofErr w:type="spellEnd"/>
      <w:r w:rsidRPr="00D126A6">
        <w:rPr>
          <w:rFonts w:ascii="Times New Roman" w:eastAsia="Times New Roman" w:hAnsi="Times New Roman" w:cs="Times New Roman"/>
          <w:lang w:eastAsia="ru-RU"/>
        </w:rPr>
        <w:t xml:space="preserve"> М.В., Леонидова Е.Э. Мониторинг социального самочувствия населения Вологодской области в феврале 2025 года // Проблемы развития территории.2025. № 2. С. 141–149.</w:t>
      </w:r>
    </w:p>
    <w:p w:rsidR="00BD4D3E" w:rsidRPr="002E1784" w:rsidRDefault="00BD4D3E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Однако есть целая группа неэкономических факторов способных оказывать определённое влияние на экономические паттерны потребителей. Среди них обращает на себя внимание социальный капитал, представляющий собой систему социальных отношений, которые формируются в сетевом взаимодействии на основе доверительных отношений между </w:t>
      </w:r>
      <w:proofErr w:type="spellStart"/>
      <w:r w:rsidRPr="009037AE">
        <w:rPr>
          <w:rFonts w:ascii="Times New Roman" w:eastAsia="Times New Roman" w:hAnsi="Times New Roman" w:cs="Times New Roman"/>
          <w:sz w:val="24"/>
          <w:lang w:eastAsia="ru-RU"/>
        </w:rPr>
        <w:t>акторами</w:t>
      </w:r>
      <w:proofErr w:type="spellEnd"/>
      <w:r w:rsidR="00693B92">
        <w:rPr>
          <w:rStyle w:val="a3"/>
          <w:rFonts w:ascii="Times New Roman" w:eastAsia="Times New Roman" w:hAnsi="Times New Roman" w:cs="Times New Roman"/>
          <w:sz w:val="24"/>
          <w:lang w:eastAsia="ru-RU"/>
        </w:rPr>
        <w:footnoteReference w:id="2"/>
      </w:r>
      <w:r w:rsidRPr="009037AE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Взаимосвязь социального капитала и потребительского поведения представляет собой сложный и </w:t>
      </w:r>
      <w:proofErr w:type="spellStart"/>
      <w:r w:rsidRPr="009037AE">
        <w:rPr>
          <w:rFonts w:ascii="Times New Roman" w:eastAsia="Times New Roman" w:hAnsi="Times New Roman" w:cs="Times New Roman"/>
          <w:sz w:val="24"/>
          <w:lang w:eastAsia="ru-RU"/>
        </w:rPr>
        <w:t>многоаспектный</w:t>
      </w:r>
      <w:proofErr w:type="spellEnd"/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 феномен, оказывающий значительное влияние на экономическое развитие и социальные процессы. Эта связь проявляется на различных уровнях и через множество механизмов, формируя целостную систему взаимодействия между индивидами, сообществами и рынком.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>На индивидуальном уровне социальный капитал влияет на потребительское поведение через формирование ценностных ориентиров и норм потребления. Люди, обладающие высоким социальным капиталом, как правило, демонстрируют более ответственное потребительское поведение, включая своевременную оплату счетов, соблюдение правил и пунктуальность. Это создает основу для устойчивых экономических отношений и повышает эффективность рынка.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В потребительских сообществах социальный капитал создает дополнительные стимулы для рационального поведения. В таких сообществах, где </w:t>
      </w:r>
      <w:proofErr w:type="gramStart"/>
      <w:r w:rsidRPr="009037AE">
        <w:rPr>
          <w:rFonts w:ascii="Times New Roman" w:eastAsia="Times New Roman" w:hAnsi="Times New Roman" w:cs="Times New Roman"/>
          <w:sz w:val="24"/>
          <w:lang w:eastAsia="ru-RU"/>
        </w:rPr>
        <w:t>высоко развито</w:t>
      </w:r>
      <w:proofErr w:type="gramEnd"/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 доверие и взаимная поддержка, формируется особая культура потребления, основанная на обмене информацией о качестве товаров и услуг, совместном принятии решений о покупках и </w:t>
      </w:r>
      <w:r w:rsidRPr="009037AE">
        <w:rPr>
          <w:rFonts w:ascii="Times New Roman" w:eastAsia="Times New Roman" w:hAnsi="Times New Roman" w:cs="Times New Roman"/>
          <w:sz w:val="24"/>
          <w:lang w:eastAsia="ru-RU"/>
        </w:rPr>
        <w:lastRenderedPageBreak/>
        <w:t>поддержке местных производителей. Это способствует развитию локальных экономик и укреплению социальных связей.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>Механизмы солидарности играют важную роль в этой взаимосвязи. Люди с развитыми социальными связями чаще обмениваются опытом использования различных продуктов, формируют общие потребительские предпочтения и создают социальные нормы потребления. Это создает эффект коллективного разума, где опыт и знания многих потребителей объединяются для принятия более эффективных решений.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В современном контексте эта связь значительно усиливается через цифровые платформы и социальные сети, где социальный капитал приобретает новые формы проявления. </w:t>
      </w:r>
      <w:proofErr w:type="spellStart"/>
      <w:r w:rsidRPr="009037AE">
        <w:rPr>
          <w:rFonts w:ascii="Times New Roman" w:eastAsia="Times New Roman" w:hAnsi="Times New Roman" w:cs="Times New Roman"/>
          <w:sz w:val="24"/>
          <w:lang w:eastAsia="ru-RU"/>
        </w:rPr>
        <w:t>Онлайн</w:t>
      </w:r>
      <w:proofErr w:type="spellEnd"/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 - репутация, социальные рекомендации, коллективные отзывы и сетевые эффекты потребления становятся важными факторами при принятии решений о покупках. Это создает новые возможности для формирования потребительских предпочтений и развития рынка.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>В современных условиях эта взаимосвязь становится особенно значимой в контексте развития цифровых платформ, усиления влияния социальных сетей, развития культуры совместного потребления и повышения значимости экологической ответственности. Цифровые технологии создают новые возможности для формирования и измерения социального капитала, а также для его влияния на потребительское поведение.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>Социальный капитал также влияет на формирование потребительских предпочтений через механизмы социального влияния и группового давления. Люди часто ориентируются на мнение своих социальных групп при принятии решений о покупках, что создает эффект каскада предпочтений, когда определенные товары или услуги становятся популярными в определенных социальных кругах.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>В контексте корпоративной социальной ответственности и устойчивого развития эта взаимосвязь приобретает новое значение. Потребители все чаще учитывают социальную и экологическую репутацию компаний при принятии решений о покупках, что создает дополнительные стимулы для бизнеса развивать социальную ответственность и устойчивое развитие.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Культурный аспект также играет важную роль в этой взаимосвязи. Культурные нормы и ценности влияют на то, как социальный капитал трансформируется в потребительские решения, создавая уникальные паттерны потребления в разных культурных контекстах. Это особенно заметно в отношении таких аспектов, как отношение к сбережениям, кредитованию, совместному потреблению и </w:t>
      </w:r>
      <w:proofErr w:type="spellStart"/>
      <w:r w:rsidRPr="009037AE">
        <w:rPr>
          <w:rFonts w:ascii="Times New Roman" w:eastAsia="Times New Roman" w:hAnsi="Times New Roman" w:cs="Times New Roman"/>
          <w:sz w:val="24"/>
          <w:lang w:eastAsia="ru-RU"/>
        </w:rPr>
        <w:t>экологичной</w:t>
      </w:r>
      <w:proofErr w:type="spellEnd"/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 потребительской практике.</w:t>
      </w:r>
    </w:p>
    <w:p w:rsidR="009037AE" w:rsidRP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>Психологические аспекты этой взаимосвязи проявляются в том, что социальный капитал влияет на восприятие ценности товаров и услуг, создавая дополнительные эмоциональные и социальные выгоды от потребления. Это особенно заметно в случаях, когда товары или услуги приобретают дополнительную ценность благодаря их социальной значимости или принадлежности к определенным социальным группам.</w:t>
      </w:r>
    </w:p>
    <w:p w:rsidR="009037AE" w:rsidRDefault="009037AE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В этой связи для анализа взаимосвязи потребительского поведения и социального капитала нами были использованы данные социологических исследований </w:t>
      </w:r>
      <w:proofErr w:type="spellStart"/>
      <w:r w:rsidRPr="009037AE">
        <w:rPr>
          <w:rFonts w:ascii="Times New Roman" w:eastAsia="Times New Roman" w:hAnsi="Times New Roman" w:cs="Times New Roman"/>
          <w:sz w:val="24"/>
          <w:lang w:eastAsia="ru-RU"/>
        </w:rPr>
        <w:t>ВолНЦ</w:t>
      </w:r>
      <w:proofErr w:type="spellEnd"/>
      <w:r w:rsidRPr="009037AE">
        <w:rPr>
          <w:rFonts w:ascii="Times New Roman" w:eastAsia="Times New Roman" w:hAnsi="Times New Roman" w:cs="Times New Roman"/>
          <w:sz w:val="24"/>
          <w:lang w:eastAsia="ru-RU"/>
        </w:rPr>
        <w:t xml:space="preserve"> РАН, характеризующие оценки жителями Вологодской области экономического положения России, экономического положения области, материального положения семьи, которые могут свидетельствовать о потребительских настроениях, ожиданиях населения и оказывать существенное воздействие на потребительское поведение.   </w:t>
      </w:r>
    </w:p>
    <w:p w:rsidR="00693B92" w:rsidRDefault="00693B92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693B92" w:rsidRDefault="00693B92" w:rsidP="00693B92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lang w:eastAsia="ru-RU"/>
        </w:rPr>
      </w:pPr>
      <w:r w:rsidRPr="000D3F0A">
        <w:rPr>
          <w:rFonts w:ascii="Times New Roman" w:eastAsia="Times New Roman" w:hAnsi="Times New Roman" w:cs="Times New Roman"/>
          <w:sz w:val="24"/>
          <w:lang w:eastAsia="ru-RU"/>
        </w:rPr>
        <w:t>Таблица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D126A6">
        <w:rPr>
          <w:rFonts w:ascii="Times New Roman" w:eastAsia="Times New Roman" w:hAnsi="Times New Roman" w:cs="Times New Roman"/>
          <w:sz w:val="24"/>
          <w:lang w:eastAsia="ru-RU"/>
        </w:rPr>
        <w:t>3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693B92" w:rsidRDefault="00693B92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693B92" w:rsidRPr="000D3F0A" w:rsidRDefault="00693B92" w:rsidP="00693B92">
      <w:pPr>
        <w:suppressLineNumbers/>
        <w:suppressAutoHyphens/>
        <w:contextualSpacing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0D3F0A">
        <w:rPr>
          <w:rFonts w:ascii="Times New Roman" w:eastAsia="Times New Roman" w:hAnsi="Times New Roman" w:cs="Times New Roman"/>
          <w:sz w:val="24"/>
          <w:lang w:eastAsia="ru-RU"/>
        </w:rPr>
        <w:t>Распределение ответов на вопрос: «Как бы Вы оценили...», в зависимости от уровня социального капитала, %</w:t>
      </w:r>
    </w:p>
    <w:tbl>
      <w:tblPr>
        <w:tblW w:w="4869" w:type="pct"/>
        <w:tblInd w:w="250" w:type="dxa"/>
        <w:tblLayout w:type="fixed"/>
        <w:tblLook w:val="04A0"/>
      </w:tblPr>
      <w:tblGrid>
        <w:gridCol w:w="2022"/>
        <w:gridCol w:w="21"/>
        <w:gridCol w:w="1384"/>
        <w:gridCol w:w="23"/>
        <w:gridCol w:w="88"/>
        <w:gridCol w:w="1432"/>
        <w:gridCol w:w="23"/>
        <w:gridCol w:w="63"/>
        <w:gridCol w:w="1459"/>
        <w:gridCol w:w="19"/>
        <w:gridCol w:w="38"/>
        <w:gridCol w:w="1499"/>
        <w:gridCol w:w="17"/>
        <w:gridCol w:w="1508"/>
      </w:tblGrid>
      <w:tr w:rsidR="00693B92" w:rsidRPr="000D3F0A" w:rsidTr="00475A58">
        <w:trPr>
          <w:trHeight w:val="300"/>
        </w:trPr>
        <w:tc>
          <w:tcPr>
            <w:tcW w:w="106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Вариант ответа</w:t>
            </w:r>
          </w:p>
        </w:tc>
        <w:tc>
          <w:tcPr>
            <w:tcW w:w="3936" w:type="pct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Уровень социального капитала</w:t>
            </w:r>
          </w:p>
        </w:tc>
      </w:tr>
      <w:tr w:rsidR="00693B92" w:rsidRPr="000D3F0A" w:rsidTr="00475A58">
        <w:trPr>
          <w:trHeight w:val="300"/>
        </w:trPr>
        <w:tc>
          <w:tcPr>
            <w:tcW w:w="1064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7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8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</w:tr>
      <w:tr w:rsidR="00693B92" w:rsidRPr="000D3F0A" w:rsidTr="00475A58">
        <w:trPr>
          <w:trHeight w:val="300"/>
        </w:trPr>
        <w:tc>
          <w:tcPr>
            <w:tcW w:w="5000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Экономическое положение России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Очень хорошее</w:t>
            </w:r>
          </w:p>
        </w:tc>
        <w:tc>
          <w:tcPr>
            <w:tcW w:w="7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Хорошее</w:t>
            </w:r>
          </w:p>
        </w:tc>
        <w:tc>
          <w:tcPr>
            <w:tcW w:w="7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8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25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Среднее</w:t>
            </w:r>
          </w:p>
        </w:tc>
        <w:tc>
          <w:tcPr>
            <w:tcW w:w="7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36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47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60</w:t>
            </w:r>
          </w:p>
        </w:tc>
        <w:tc>
          <w:tcPr>
            <w:tcW w:w="8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65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55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Плохое</w:t>
            </w:r>
          </w:p>
        </w:tc>
        <w:tc>
          <w:tcPr>
            <w:tcW w:w="7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47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38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22</w:t>
            </w:r>
          </w:p>
        </w:tc>
        <w:tc>
          <w:tcPr>
            <w:tcW w:w="8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Очень плохое</w:t>
            </w:r>
          </w:p>
        </w:tc>
        <w:tc>
          <w:tcPr>
            <w:tcW w:w="7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81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693B92" w:rsidRPr="000D3F0A" w:rsidTr="00475A58">
        <w:trPr>
          <w:trHeight w:val="300"/>
        </w:trPr>
        <w:tc>
          <w:tcPr>
            <w:tcW w:w="5000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Экономическое положение области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Очень хорошее</w:t>
            </w:r>
          </w:p>
        </w:tc>
        <w:tc>
          <w:tcPr>
            <w:tcW w:w="74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0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8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Хорошее</w:t>
            </w:r>
          </w:p>
        </w:tc>
        <w:tc>
          <w:tcPr>
            <w:tcW w:w="74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80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18</w:t>
            </w:r>
          </w:p>
        </w:tc>
        <w:tc>
          <w:tcPr>
            <w:tcW w:w="8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29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39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Среднее</w:t>
            </w:r>
          </w:p>
        </w:tc>
        <w:tc>
          <w:tcPr>
            <w:tcW w:w="74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31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45</w:t>
            </w:r>
          </w:p>
        </w:tc>
        <w:tc>
          <w:tcPr>
            <w:tcW w:w="80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55</w:t>
            </w:r>
          </w:p>
        </w:tc>
        <w:tc>
          <w:tcPr>
            <w:tcW w:w="8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54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48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Плохое</w:t>
            </w:r>
          </w:p>
        </w:tc>
        <w:tc>
          <w:tcPr>
            <w:tcW w:w="74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58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45</w:t>
            </w:r>
          </w:p>
        </w:tc>
        <w:tc>
          <w:tcPr>
            <w:tcW w:w="80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20</w:t>
            </w:r>
          </w:p>
        </w:tc>
        <w:tc>
          <w:tcPr>
            <w:tcW w:w="8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10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11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Очень плохое</w:t>
            </w:r>
          </w:p>
        </w:tc>
        <w:tc>
          <w:tcPr>
            <w:tcW w:w="74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</w:p>
        </w:tc>
        <w:tc>
          <w:tcPr>
            <w:tcW w:w="80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80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8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79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</w:tr>
      <w:tr w:rsidR="00693B92" w:rsidRPr="000D3F0A" w:rsidTr="00475A58">
        <w:trPr>
          <w:trHeight w:val="300"/>
        </w:trPr>
        <w:tc>
          <w:tcPr>
            <w:tcW w:w="5000" w:type="pct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Материальное положение семьи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Хорошее</w:t>
            </w:r>
          </w:p>
        </w:tc>
        <w:tc>
          <w:tcPr>
            <w:tcW w:w="79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79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7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12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17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Скорее хорошее</w:t>
            </w:r>
          </w:p>
        </w:tc>
        <w:tc>
          <w:tcPr>
            <w:tcW w:w="79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7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32</w:t>
            </w:r>
          </w:p>
        </w:tc>
        <w:tc>
          <w:tcPr>
            <w:tcW w:w="79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51</w:t>
            </w:r>
          </w:p>
        </w:tc>
        <w:tc>
          <w:tcPr>
            <w:tcW w:w="7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57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58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Скорее плохое</w:t>
            </w:r>
          </w:p>
        </w:tc>
        <w:tc>
          <w:tcPr>
            <w:tcW w:w="79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60</w:t>
            </w:r>
          </w:p>
        </w:tc>
        <w:tc>
          <w:tcPr>
            <w:tcW w:w="7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53</w:t>
            </w:r>
          </w:p>
        </w:tc>
        <w:tc>
          <w:tcPr>
            <w:tcW w:w="79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36</w:t>
            </w:r>
          </w:p>
        </w:tc>
        <w:tc>
          <w:tcPr>
            <w:tcW w:w="7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24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24</w:t>
            </w:r>
          </w:p>
        </w:tc>
      </w:tr>
      <w:tr w:rsidR="00693B92" w:rsidRPr="000D3F0A" w:rsidTr="00475A58">
        <w:trPr>
          <w:trHeight w:val="300"/>
        </w:trPr>
        <w:tc>
          <w:tcPr>
            <w:tcW w:w="10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Плохое</w:t>
            </w:r>
          </w:p>
        </w:tc>
        <w:tc>
          <w:tcPr>
            <w:tcW w:w="79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26</w:t>
            </w:r>
          </w:p>
        </w:tc>
        <w:tc>
          <w:tcPr>
            <w:tcW w:w="7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79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7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  <w:tc>
          <w:tcPr>
            <w:tcW w:w="7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3B92" w:rsidRPr="00D126A6" w:rsidRDefault="00693B92" w:rsidP="00475A58">
            <w:pPr>
              <w:suppressLineNumbers/>
              <w:suppressAutoHyphens/>
              <w:spacing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</w:tr>
      <w:tr w:rsidR="00693B92" w:rsidRPr="000D3F0A" w:rsidTr="00475A58">
        <w:trPr>
          <w:trHeight w:val="300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3B92" w:rsidRPr="00D126A6" w:rsidRDefault="00693B92" w:rsidP="00475A58">
            <w:pPr>
              <w:suppressLineNumbers/>
              <w:suppressAutoHyphens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 xml:space="preserve">Источник: данные опроса </w:t>
            </w:r>
            <w:proofErr w:type="spellStart"/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>ВолНЦ</w:t>
            </w:r>
            <w:proofErr w:type="spellEnd"/>
            <w:r w:rsidRPr="00D126A6">
              <w:rPr>
                <w:rFonts w:ascii="Times New Roman" w:eastAsia="Times New Roman" w:hAnsi="Times New Roman" w:cs="Times New Roman"/>
                <w:lang w:eastAsia="ru-RU"/>
              </w:rPr>
              <w:t xml:space="preserve"> РАН, 2024 г., N = 1500.</w:t>
            </w:r>
          </w:p>
        </w:tc>
      </w:tr>
    </w:tbl>
    <w:p w:rsidR="00693B92" w:rsidRPr="009037AE" w:rsidRDefault="00693B92" w:rsidP="009037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2F194D" w:rsidRPr="002F194D" w:rsidRDefault="002F194D" w:rsidP="002F194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F194D">
        <w:rPr>
          <w:rFonts w:ascii="Times New Roman" w:eastAsia="Times New Roman" w:hAnsi="Times New Roman" w:cs="Times New Roman"/>
          <w:sz w:val="24"/>
          <w:lang w:eastAsia="ru-RU"/>
        </w:rPr>
        <w:t xml:space="preserve">На основе полученных результатов можно констатировать, что жители региона с более высокими показателями социального капитала более благоприятно характеризуют экономическую ситуацию и материальное благополучие семьи. </w:t>
      </w:r>
      <w:proofErr w:type="gramStart"/>
      <w:r w:rsidRPr="002F194D">
        <w:rPr>
          <w:rFonts w:ascii="Times New Roman" w:eastAsia="Times New Roman" w:hAnsi="Times New Roman" w:cs="Times New Roman"/>
          <w:sz w:val="24"/>
          <w:lang w:eastAsia="ru-RU"/>
        </w:rPr>
        <w:t>Так, в группе населения с самым высоким уровнем социального капитала доля тех, кто считает экономическое положение России «хорошим и очень хорошим», составляет 27%, в группе населения с самым низким уровнем социального капитала – почти в три раза меньше (8%); экономическое положение области – 40% против 2%, материальное положение семьи – 75% против 14% (табл. 3).</w:t>
      </w:r>
      <w:proofErr w:type="gramEnd"/>
      <w:r w:rsidRPr="002F194D">
        <w:rPr>
          <w:rFonts w:ascii="Times New Roman" w:eastAsia="Times New Roman" w:hAnsi="Times New Roman" w:cs="Times New Roman"/>
          <w:sz w:val="24"/>
          <w:lang w:eastAsia="ru-RU"/>
        </w:rPr>
        <w:t xml:space="preserve"> Напротив, по мере снижения показателей социального капитала увеличивается удельный вес отрицательных оценок. Так, в группе населения с самым низким уровнем социального капитала доля тех, кто считает экономическое положение России «плохим и очень плохим», составляет 56%, в группе населения с самым высоким уровнем социального капитала – только 18%; экономическое положение области – 68% против 11%, материальное положение семьи – 86% против 25%. Это свидетельствует о том, что жители региона, отличающиеся высокими показателями социального капитала, отличаются более высокими показателями потребительских настроений и соответственно более склонны к активным, разнообразным и современным практикам потребительского поведения.</w:t>
      </w:r>
    </w:p>
    <w:p w:rsidR="002F194D" w:rsidRPr="002F194D" w:rsidRDefault="002F194D" w:rsidP="002F194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F194D">
        <w:rPr>
          <w:rFonts w:ascii="Times New Roman" w:eastAsia="Times New Roman" w:hAnsi="Times New Roman" w:cs="Times New Roman"/>
          <w:sz w:val="24"/>
          <w:lang w:eastAsia="ru-RU"/>
        </w:rPr>
        <w:t xml:space="preserve">Расчеты, проведенные на основе данных социологических опросов, показывают тесную взаимосвязь потребительского поведения и социального капитала. Высокий социальный капитал способствует более рациональному потребительскому поведению, а оно, в свою очередь, укрепляет социальный капитал через формирование устойчивых потребительских практик и социальных норм. </w:t>
      </w:r>
    </w:p>
    <w:p w:rsidR="002F194D" w:rsidRPr="002F194D" w:rsidRDefault="002F194D" w:rsidP="002F194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F194D">
        <w:rPr>
          <w:rFonts w:ascii="Times New Roman" w:eastAsia="Times New Roman" w:hAnsi="Times New Roman" w:cs="Times New Roman"/>
          <w:sz w:val="24"/>
          <w:lang w:eastAsia="ru-RU"/>
        </w:rPr>
        <w:t>Потребительское поведение, в свою очередь, также активно формирует социальный капитал. Через создание общих потребительских практик, формирование сообществ по интересам, развитие взаимного доверия между потребителями и укрепление социальных связей через совместное потребление создаются новые формы социального капитала. Это особенно заметно в развитии совместных покупок, коллективных инвестиций и других форм совместного потребления.</w:t>
      </w:r>
    </w:p>
    <w:p w:rsidR="002F194D" w:rsidRPr="002F194D" w:rsidRDefault="002F194D" w:rsidP="002F194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F194D">
        <w:rPr>
          <w:rFonts w:ascii="Times New Roman" w:eastAsia="Times New Roman" w:hAnsi="Times New Roman" w:cs="Times New Roman"/>
          <w:sz w:val="24"/>
          <w:lang w:eastAsia="ru-RU"/>
        </w:rPr>
        <w:t>В долгосрочной перспективе эта взаимосвязь социального капитала и потребительского поведения способствует формированию более устойчивых моделей потребления и развития экономики. Высокий уровень социального капитала создает основу для более ответственного потребительского поведения, что, в свою очередь, способствует развитию более устойчивых и эффективных экономических систем.</w:t>
      </w:r>
    </w:p>
    <w:p w:rsidR="002F194D" w:rsidRPr="002F194D" w:rsidRDefault="002F194D" w:rsidP="002F194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F194D">
        <w:rPr>
          <w:rFonts w:ascii="Times New Roman" w:eastAsia="Times New Roman" w:hAnsi="Times New Roman" w:cs="Times New Roman"/>
          <w:sz w:val="24"/>
          <w:lang w:eastAsia="ru-RU"/>
        </w:rPr>
        <w:lastRenderedPageBreak/>
        <w:t>Таким образом, взаимосвязь социального капитала и потребительского поведения представляет собой сложную и динамичную систему, где каждый элемент усиливает и поддерживает другой, создавая основу для устойчивого экономического развития и формирования новых моделей потребления. Понимание этой взаимосвязи позволяет лучше прогнозировать потребительские тенденции и разрабатывать более эффективные стратегии развития как на микр</w:t>
      </w:r>
      <w:proofErr w:type="gramStart"/>
      <w:r w:rsidRPr="002F194D">
        <w:rPr>
          <w:rFonts w:ascii="Times New Roman" w:eastAsia="Times New Roman" w:hAnsi="Times New Roman" w:cs="Times New Roman"/>
          <w:sz w:val="24"/>
          <w:lang w:eastAsia="ru-RU"/>
        </w:rPr>
        <w:t>о-</w:t>
      </w:r>
      <w:proofErr w:type="gramEnd"/>
      <w:r w:rsidRPr="002F194D">
        <w:rPr>
          <w:rFonts w:ascii="Times New Roman" w:eastAsia="Times New Roman" w:hAnsi="Times New Roman" w:cs="Times New Roman"/>
          <w:sz w:val="24"/>
          <w:lang w:eastAsia="ru-RU"/>
        </w:rPr>
        <w:t xml:space="preserve">, так и на </w:t>
      </w:r>
      <w:proofErr w:type="spellStart"/>
      <w:r w:rsidRPr="002F194D">
        <w:rPr>
          <w:rFonts w:ascii="Times New Roman" w:eastAsia="Times New Roman" w:hAnsi="Times New Roman" w:cs="Times New Roman"/>
          <w:sz w:val="24"/>
          <w:lang w:eastAsia="ru-RU"/>
        </w:rPr>
        <w:t>макроуровне</w:t>
      </w:r>
      <w:proofErr w:type="spellEnd"/>
      <w:r w:rsidRPr="002F194D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:rsidR="00990CD4" w:rsidRPr="00990CD4" w:rsidRDefault="00990CD4" w:rsidP="00990CD4">
      <w:pPr>
        <w:pStyle w:val="aa"/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990CD4">
        <w:rPr>
          <w:rFonts w:ascii="Times New Roman" w:eastAsia="Times New Roman" w:hAnsi="Times New Roman" w:cs="Times New Roman"/>
          <w:sz w:val="24"/>
          <w:lang w:eastAsia="ru-RU"/>
        </w:rPr>
        <w:t>Еникеев</w:t>
      </w:r>
      <w:proofErr w:type="spellEnd"/>
      <w:r w:rsidRPr="00990CD4">
        <w:rPr>
          <w:rFonts w:ascii="Times New Roman" w:eastAsia="Times New Roman" w:hAnsi="Times New Roman" w:cs="Times New Roman"/>
          <w:sz w:val="24"/>
          <w:lang w:eastAsia="ru-RU"/>
        </w:rPr>
        <w:t xml:space="preserve"> Ш.И. Закономерности потребления в условиях социально-экономической трансформации // Актуальные проблемы экономики и права. 2013. № 2. С. 5-10.</w:t>
      </w:r>
      <w:r w:rsidR="00B61DD1" w:rsidRPr="00990CD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990CD4" w:rsidRPr="00990CD4" w:rsidRDefault="00B61DD1" w:rsidP="00990CD4">
      <w:pPr>
        <w:pStyle w:val="aa"/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990CD4">
        <w:rPr>
          <w:rFonts w:ascii="Times New Roman" w:eastAsia="Times New Roman" w:hAnsi="Times New Roman" w:cs="Times New Roman"/>
          <w:sz w:val="24"/>
          <w:lang w:eastAsia="ru-RU"/>
        </w:rPr>
        <w:t>Морев</w:t>
      </w:r>
      <w:proofErr w:type="spellEnd"/>
      <w:r w:rsidRPr="00990CD4">
        <w:rPr>
          <w:rFonts w:ascii="Times New Roman" w:eastAsia="Times New Roman" w:hAnsi="Times New Roman" w:cs="Times New Roman"/>
          <w:sz w:val="24"/>
          <w:lang w:eastAsia="ru-RU"/>
        </w:rPr>
        <w:t xml:space="preserve"> М.В., Леонидова Е.Э. Мониторинг социального самочувствия населения Вологодской области в феврале 2025 года // Проблемы развития территории.2025. № 2. С. 141–149.</w:t>
      </w:r>
    </w:p>
    <w:p w:rsidR="00B61DD1" w:rsidRDefault="00D06787" w:rsidP="00990CD4">
      <w:pPr>
        <w:pStyle w:val="aa"/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990CD4">
        <w:rPr>
          <w:rFonts w:ascii="Times New Roman" w:eastAsia="Times New Roman" w:hAnsi="Times New Roman" w:cs="Times New Roman"/>
          <w:sz w:val="24"/>
          <w:lang w:eastAsia="ru-RU"/>
        </w:rPr>
        <w:t xml:space="preserve">Региональный социальный капитал в условиях кризиса / Т.А. </w:t>
      </w:r>
      <w:proofErr w:type="spellStart"/>
      <w:r w:rsidRPr="00990CD4">
        <w:rPr>
          <w:rFonts w:ascii="Times New Roman" w:eastAsia="Times New Roman" w:hAnsi="Times New Roman" w:cs="Times New Roman"/>
          <w:sz w:val="24"/>
          <w:lang w:eastAsia="ru-RU"/>
        </w:rPr>
        <w:t>Гужавина</w:t>
      </w:r>
      <w:proofErr w:type="spellEnd"/>
      <w:r w:rsidRPr="00990CD4">
        <w:rPr>
          <w:rFonts w:ascii="Times New Roman" w:eastAsia="Times New Roman" w:hAnsi="Times New Roman" w:cs="Times New Roman"/>
          <w:sz w:val="24"/>
          <w:lang w:eastAsia="ru-RU"/>
        </w:rPr>
        <w:t xml:space="preserve">, Д.В. Афанасьев, И.Н. Воробьева, А.А. Мехова, М.В. </w:t>
      </w:r>
      <w:proofErr w:type="spellStart"/>
      <w:r w:rsidRPr="00990CD4">
        <w:rPr>
          <w:rFonts w:ascii="Times New Roman" w:eastAsia="Times New Roman" w:hAnsi="Times New Roman" w:cs="Times New Roman"/>
          <w:sz w:val="24"/>
          <w:lang w:eastAsia="ru-RU"/>
        </w:rPr>
        <w:t>Морев</w:t>
      </w:r>
      <w:proofErr w:type="spellEnd"/>
      <w:r w:rsidRPr="00990CD4">
        <w:rPr>
          <w:rFonts w:ascii="Times New Roman" w:eastAsia="Times New Roman" w:hAnsi="Times New Roman" w:cs="Times New Roman"/>
          <w:sz w:val="24"/>
          <w:lang w:eastAsia="ru-RU"/>
        </w:rPr>
        <w:t>, И.Н. Дементьева. – Череповец</w:t>
      </w:r>
      <w:proofErr w:type="gramStart"/>
      <w:r w:rsidRPr="00990CD4">
        <w:rPr>
          <w:rFonts w:ascii="Times New Roman" w:eastAsia="Times New Roman" w:hAnsi="Times New Roman" w:cs="Times New Roman"/>
          <w:sz w:val="24"/>
          <w:lang w:eastAsia="ru-RU"/>
        </w:rPr>
        <w:t xml:space="preserve"> :</w:t>
      </w:r>
      <w:proofErr w:type="gramEnd"/>
      <w:r w:rsidRPr="00990CD4">
        <w:rPr>
          <w:rFonts w:ascii="Times New Roman" w:eastAsia="Times New Roman" w:hAnsi="Times New Roman" w:cs="Times New Roman"/>
          <w:sz w:val="24"/>
          <w:lang w:eastAsia="ru-RU"/>
        </w:rPr>
        <w:t xml:space="preserve"> ЧГУ, 2018. – 220 </w:t>
      </w:r>
      <w:proofErr w:type="spellStart"/>
      <w:r w:rsidRPr="00990CD4">
        <w:rPr>
          <w:rFonts w:ascii="Times New Roman" w:eastAsia="Times New Roman" w:hAnsi="Times New Roman" w:cs="Times New Roman"/>
          <w:sz w:val="24"/>
          <w:lang w:eastAsia="ru-RU"/>
        </w:rPr>
        <w:t>c</w:t>
      </w:r>
      <w:proofErr w:type="spellEnd"/>
      <w:r w:rsidRPr="00990CD4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A62410" w:rsidRPr="00990CD4" w:rsidRDefault="00A62410" w:rsidP="00A62410">
      <w:pPr>
        <w:pStyle w:val="aa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0A1E55" w:rsidRPr="000A1E55" w:rsidRDefault="002E1784" w:rsidP="000A1E55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</w:t>
      </w:r>
      <w:proofErr w:type="gramStart"/>
      <w:r w:rsidRPr="002E1784">
        <w:rPr>
          <w:rFonts w:ascii="Times New Roman" w:eastAsia="Calibri" w:hAnsi="Times New Roman" w:cs="Times New Roman"/>
          <w:b/>
          <w:sz w:val="24"/>
        </w:rPr>
        <w:t xml:space="preserve"> (-</w:t>
      </w:r>
      <w:proofErr w:type="gramEnd"/>
      <w:r w:rsidRPr="002E1784">
        <w:rPr>
          <w:rFonts w:ascii="Times New Roman" w:eastAsia="Calibri" w:hAnsi="Times New Roman" w:cs="Times New Roman"/>
          <w:b/>
          <w:sz w:val="24"/>
        </w:rPr>
        <w:t>ах) на русском языке</w:t>
      </w:r>
    </w:p>
    <w:p w:rsidR="00A62410" w:rsidRPr="00A62410" w:rsidRDefault="00A62410" w:rsidP="00A6241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proofErr w:type="gramStart"/>
      <w:r w:rsidRPr="00A62410">
        <w:rPr>
          <w:rFonts w:ascii="Times New Roman" w:eastAsia="Calibri" w:hAnsi="Times New Roman" w:cs="Times New Roman"/>
          <w:sz w:val="24"/>
        </w:rPr>
        <w:t xml:space="preserve">Смирнов Игорь Дмитриевич (Россия, Вологда) – магистр,  Федеральное государственное бюджетное учреждение науки «Вологодский научный центр Российской академии наук» (ФГБУН </w:t>
      </w:r>
      <w:proofErr w:type="spellStart"/>
      <w:r w:rsidRPr="00A62410">
        <w:rPr>
          <w:rFonts w:ascii="Times New Roman" w:eastAsia="Calibri" w:hAnsi="Times New Roman" w:cs="Times New Roman"/>
          <w:sz w:val="24"/>
        </w:rPr>
        <w:t>ВолНЦ</w:t>
      </w:r>
      <w:proofErr w:type="spellEnd"/>
      <w:r w:rsidRPr="00A62410">
        <w:rPr>
          <w:rFonts w:ascii="Times New Roman" w:eastAsia="Calibri" w:hAnsi="Times New Roman" w:cs="Times New Roman"/>
          <w:sz w:val="24"/>
        </w:rPr>
        <w:t xml:space="preserve"> РАН) Россия, 160014, г. Вологда, ул. Горького, </w:t>
      </w:r>
      <w:proofErr w:type="spellStart"/>
      <w:r w:rsidRPr="00A62410">
        <w:rPr>
          <w:rFonts w:ascii="Times New Roman" w:eastAsia="Calibri" w:hAnsi="Times New Roman" w:cs="Times New Roman"/>
          <w:sz w:val="24"/>
        </w:rPr>
        <w:t>д</w:t>
      </w:r>
      <w:proofErr w:type="spellEnd"/>
      <w:r w:rsidRPr="00A62410">
        <w:rPr>
          <w:rFonts w:ascii="Times New Roman" w:eastAsia="Calibri" w:hAnsi="Times New Roman" w:cs="Times New Roman"/>
          <w:sz w:val="24"/>
        </w:rPr>
        <w:t>. 56а e</w:t>
      </w:r>
      <w:r w:rsidRPr="002E1784">
        <w:rPr>
          <w:rFonts w:ascii="Times New Roman" w:eastAsia="Calibri" w:hAnsi="Times New Roman" w:cs="Times New Roman"/>
          <w:sz w:val="24"/>
        </w:rPr>
        <w:t>-</w:t>
      </w:r>
      <w:r w:rsidRPr="00A62410">
        <w:rPr>
          <w:rFonts w:ascii="Times New Roman" w:eastAsia="Calibri" w:hAnsi="Times New Roman" w:cs="Times New Roman"/>
          <w:sz w:val="24"/>
        </w:rPr>
        <w:t>mail: idsmirnov1@yandex.ru</w:t>
      </w:r>
      <w:proofErr w:type="gramEnd"/>
    </w:p>
    <w:p w:rsidR="002E1784" w:rsidRPr="002E1784" w:rsidRDefault="002E1784" w:rsidP="00A62410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</w:p>
    <w:p w:rsidR="002E1784" w:rsidRPr="008F6A79" w:rsidRDefault="00C16B22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Smirnov</w:t>
      </w:r>
      <w:r w:rsidRPr="008F6A79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I</w:t>
      </w:r>
      <w:r w:rsidRPr="008F6A79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 xml:space="preserve"> D.</w:t>
      </w:r>
      <w:r w:rsidR="002E1784" w:rsidRPr="008F6A79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:rsidR="002E1784" w:rsidRPr="008F6A79" w:rsidRDefault="008F6A79" w:rsidP="008F6A79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8F6A79">
        <w:rPr>
          <w:rFonts w:ascii="Times New Roman" w:eastAsia="Calibri" w:hAnsi="Times New Roman" w:cs="Times New Roman"/>
          <w:b/>
          <w:sz w:val="24"/>
          <w:lang w:val="en-US"/>
        </w:rPr>
        <w:t xml:space="preserve">CONSUMER BEHAVIOR IS NOT </w:t>
      </w:r>
      <w:r>
        <w:rPr>
          <w:rFonts w:ascii="Times New Roman" w:eastAsia="Calibri" w:hAnsi="Times New Roman" w:cs="Times New Roman"/>
          <w:b/>
          <w:sz w:val="24"/>
          <w:lang w:val="en-US"/>
        </w:rPr>
        <w:t>ITS ECONOMIC DETERMINANTS</w:t>
      </w:r>
      <w:r w:rsidR="002E1784" w:rsidRPr="008F6A79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:rsidR="002E1784" w:rsidRPr="008F6A79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статьи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8F6A79" w:rsidRPr="008F6A79">
        <w:rPr>
          <w:rFonts w:ascii="Times New Roman" w:eastAsia="Times New Roman" w:hAnsi="Times New Roman" w:cs="Times New Roman"/>
          <w:iCs/>
          <w:sz w:val="24"/>
          <w:lang w:val="en-US" w:eastAsia="ru-RU"/>
        </w:rPr>
        <w:t>The article analyzes social capital as one of the determinants of consumer behavior. A high level of social capital generates positive assessments of the economic situation and material well-being, which aff</w:t>
      </w:r>
      <w:r w:rsidR="008F6A79">
        <w:rPr>
          <w:rFonts w:ascii="Times New Roman" w:eastAsia="Times New Roman" w:hAnsi="Times New Roman" w:cs="Times New Roman"/>
          <w:iCs/>
          <w:sz w:val="24"/>
          <w:lang w:val="en-US" w:eastAsia="ru-RU"/>
        </w:rPr>
        <w:t>ects consumer mood and behavior</w:t>
      </w:r>
      <w:r w:rsidRPr="008F6A79">
        <w:rPr>
          <w:rFonts w:ascii="Times New Roman" w:eastAsia="Times New Roman" w:hAnsi="Times New Roman" w:cs="Times New Roman"/>
          <w:iCs/>
          <w:sz w:val="24"/>
          <w:lang w:val="en-US" w:eastAsia="ru-RU"/>
        </w:rPr>
        <w:t>.</w:t>
      </w:r>
    </w:p>
    <w:p w:rsidR="002E1784" w:rsidRPr="008F6A79" w:rsidRDefault="002E1784" w:rsidP="008F6A79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proofErr w:type="gramStart"/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Pr="008F6A7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8F6A79">
        <w:rPr>
          <w:rFonts w:ascii="Times New Roman" w:eastAsia="Times New Roman" w:hAnsi="Times New Roman" w:cs="Times New Roman"/>
          <w:iCs/>
          <w:sz w:val="24"/>
          <w:lang w:val="en-US" w:eastAsia="ru-RU"/>
        </w:rPr>
        <w:t>(</w:t>
      </w:r>
      <w:r w:rsidR="008F6A79" w:rsidRPr="008F6A79">
        <w:rPr>
          <w:rFonts w:ascii="Times New Roman" w:eastAsia="Times New Roman" w:hAnsi="Times New Roman" w:cs="Times New Roman"/>
          <w:iCs/>
          <w:sz w:val="24"/>
          <w:lang w:val="en-US" w:eastAsia="ru-RU"/>
        </w:rPr>
        <w:t>Consumer behavior, material well-being, consumer sentiment, determinants of consumer behavior, social capital as one of the determinants of consumer behavior</w:t>
      </w:r>
      <w:proofErr w:type="gramEnd"/>
    </w:p>
    <w:p w:rsidR="000A1E55" w:rsidRDefault="000A1E55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:rsidR="002E1784" w:rsidRPr="000A1E55" w:rsidRDefault="002E1784" w:rsidP="000A1E55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</w:t>
      </w:r>
      <w:proofErr w:type="gramStart"/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(-</w:t>
      </w:r>
      <w:proofErr w:type="gramEnd"/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ах) на английском языке</w:t>
      </w:r>
    </w:p>
    <w:p w:rsidR="000A1E55" w:rsidRPr="000A1E55" w:rsidRDefault="000A1E55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  <w:r w:rsidRPr="000A1E55"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  <w:t xml:space="preserve">Igor </w:t>
      </w:r>
      <w:proofErr w:type="spellStart"/>
      <w:r w:rsidRPr="000A1E55"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  <w:t>Dmitrievich</w:t>
      </w:r>
      <w:proofErr w:type="spellEnd"/>
      <w:r w:rsidRPr="000A1E55"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  <w:t xml:space="preserve"> Smirnov (Vologda, Russia) – Master's degree, Federal State Budgetary Institution of Science Vologda Scientific Center of the Russian Academy of Sciences (FSBI VSC RAS) 56a Gorky St., Vologda, 160014, Russia e-mail: idsmirnov1@yandex.ru</w:t>
      </w:r>
    </w:p>
    <w:p w:rsidR="002E1784" w:rsidRPr="00A61312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A61312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  <w:r w:rsidRPr="00A61312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A61312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A61312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</w:p>
    <w:p w:rsidR="00A61312" w:rsidRPr="00A61312" w:rsidRDefault="00A61312" w:rsidP="00A61312">
      <w:pPr>
        <w:pStyle w:val="a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Yenikeev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S.I. Patterns of consumption in the context of socio-economic transformation // Actual problems of economics and law. 2013.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eastAsia="ru-RU"/>
        </w:rPr>
        <w:t>No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eastAsia="ru-RU"/>
        </w:rPr>
        <w:t>. 2. pp. 5-10.</w:t>
      </w:r>
    </w:p>
    <w:p w:rsidR="00A61312" w:rsidRPr="00A61312" w:rsidRDefault="00A61312" w:rsidP="00A61312">
      <w:pPr>
        <w:pStyle w:val="a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Morev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M.V.,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Leonidova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E.E. Monitoring the social well-being of the Vologda region population in February 2025 // Problems of territorial development. </w:t>
      </w:r>
      <w:proofErr w:type="gram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2025. No. 2.</w:t>
      </w:r>
      <w:proofErr w:type="gram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pp. 141-149.</w:t>
      </w:r>
    </w:p>
    <w:p w:rsidR="002E1784" w:rsidRPr="00A61312" w:rsidRDefault="00A61312" w:rsidP="00A61312">
      <w:pPr>
        <w:pStyle w:val="a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Regional social capital in crisis / T.A.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Guzhavina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D.V.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Afanasyev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I.N.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Vorobyova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A.A.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Mekhova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M.V.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Morev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I.N. </w:t>
      </w:r>
      <w:proofErr w:type="spell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Dementieva</w:t>
      </w:r>
      <w:proofErr w:type="spell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 </w:t>
      </w:r>
      <w:proofErr w:type="gram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Cherepovets :</w:t>
      </w:r>
      <w:proofErr w:type="gramEnd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CSU, 2018. </w:t>
      </w:r>
      <w:proofErr w:type="gramStart"/>
      <w:r w:rsidRPr="00A61312">
        <w:rPr>
          <w:rFonts w:ascii="Times New Roman" w:eastAsia="Times New Roman" w:hAnsi="Times New Roman" w:cs="Times New Roman"/>
          <w:sz w:val="24"/>
          <w:lang w:val="en-US" w:eastAsia="ru-RU"/>
        </w:rPr>
        <w:t>220 p.</w:t>
      </w:r>
      <w:proofErr w:type="gramEnd"/>
    </w:p>
    <w:p w:rsidR="002E1784" w:rsidRPr="00A61312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Pr="00A61312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Pr="00A61312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Pr="00A61312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Pr="00A61312" w:rsidRDefault="002E1784" w:rsidP="002E178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2E1784" w:rsidRPr="00A61312" w:rsidRDefault="002E1784" w:rsidP="002E178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854770" w:rsidRPr="002E1784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854770" w:rsidRPr="002E1784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FA4" w:rsidRDefault="00D27FA4" w:rsidP="00827E82">
      <w:pPr>
        <w:spacing w:after="0" w:line="240" w:lineRule="auto"/>
      </w:pPr>
      <w:r>
        <w:separator/>
      </w:r>
    </w:p>
  </w:endnote>
  <w:endnote w:type="continuationSeparator" w:id="0">
    <w:p w:rsidR="00D27FA4" w:rsidRDefault="00D27FA4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CC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FA4" w:rsidRDefault="00D27FA4" w:rsidP="00827E82">
      <w:pPr>
        <w:spacing w:after="0" w:line="240" w:lineRule="auto"/>
      </w:pPr>
      <w:r>
        <w:separator/>
      </w:r>
    </w:p>
  </w:footnote>
  <w:footnote w:type="continuationSeparator" w:id="0">
    <w:p w:rsidR="00D27FA4" w:rsidRDefault="00D27FA4" w:rsidP="00827E82">
      <w:pPr>
        <w:spacing w:after="0" w:line="240" w:lineRule="auto"/>
      </w:pPr>
      <w:r>
        <w:continuationSeparator/>
      </w:r>
    </w:p>
  </w:footnote>
  <w:footnote w:id="1">
    <w:p w:rsidR="00DF6380" w:rsidRDefault="00DF6380" w:rsidP="00DF6380">
      <w:pPr>
        <w:pStyle w:val="a7"/>
      </w:pPr>
      <w:r>
        <w:rPr>
          <w:rStyle w:val="a3"/>
        </w:rPr>
        <w:footnoteRef/>
      </w:r>
      <w:r>
        <w:t xml:space="preserve"> </w:t>
      </w:r>
      <w:proofErr w:type="spellStart"/>
      <w:r w:rsidRPr="00827F45">
        <w:t>Еникеев</w:t>
      </w:r>
      <w:proofErr w:type="spellEnd"/>
      <w:r w:rsidRPr="00827F45">
        <w:t xml:space="preserve"> Ш.И. Закономерности потребления в условиях социально-экономической трансформации // Актуальные проблемы экономики и права. 2013. № 2. С. 5-10.</w:t>
      </w:r>
    </w:p>
  </w:footnote>
  <w:footnote w:id="2">
    <w:p w:rsidR="00693B92" w:rsidRDefault="00693B92">
      <w:pPr>
        <w:pStyle w:val="a7"/>
      </w:pPr>
      <w:r>
        <w:rPr>
          <w:rStyle w:val="a3"/>
        </w:rPr>
        <w:footnoteRef/>
      </w:r>
      <w:r>
        <w:t xml:space="preserve"> </w:t>
      </w:r>
      <w:r w:rsidRPr="00956B51">
        <w:t>Региональный социальный ка</w:t>
      </w:r>
      <w:r>
        <w:t>питал в условиях кризиса</w:t>
      </w:r>
      <w:r w:rsidRPr="00956B51">
        <w:t xml:space="preserve"> / Т.А. </w:t>
      </w:r>
      <w:proofErr w:type="spellStart"/>
      <w:r w:rsidRPr="00956B51">
        <w:t>Гужавина</w:t>
      </w:r>
      <w:proofErr w:type="spellEnd"/>
      <w:r w:rsidRPr="00956B51">
        <w:t xml:space="preserve">, Д.В. Афанасьев, И.Н. Воробьева, А.А. Мехова, М.В. </w:t>
      </w:r>
      <w:proofErr w:type="spellStart"/>
      <w:r w:rsidRPr="00956B51">
        <w:t>Морев</w:t>
      </w:r>
      <w:proofErr w:type="spellEnd"/>
      <w:r w:rsidRPr="00956B51">
        <w:t>, И.Н. Дементьева. – Череповец</w:t>
      </w:r>
      <w:proofErr w:type="gramStart"/>
      <w:r w:rsidRPr="00956B51">
        <w:t xml:space="preserve"> :</w:t>
      </w:r>
      <w:proofErr w:type="gramEnd"/>
      <w:r w:rsidRPr="00956B51">
        <w:t xml:space="preserve"> ЧГУ, 2018. – 220 </w:t>
      </w:r>
      <w:proofErr w:type="spellStart"/>
      <w:r w:rsidRPr="00956B51">
        <w:t>c</w:t>
      </w:r>
      <w:proofErr w:type="spellEnd"/>
      <w:r w:rsidRPr="00956B51"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DD5D36"/>
    <w:multiLevelType w:val="hybridMultilevel"/>
    <w:tmpl w:val="C85E4922"/>
    <w:lvl w:ilvl="0" w:tplc="FC7855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05144C9"/>
    <w:multiLevelType w:val="hybridMultilevel"/>
    <w:tmpl w:val="4E023A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27E82"/>
    <w:rsid w:val="00093BEC"/>
    <w:rsid w:val="000A1E55"/>
    <w:rsid w:val="001B5953"/>
    <w:rsid w:val="001E41D6"/>
    <w:rsid w:val="00287F75"/>
    <w:rsid w:val="002E1784"/>
    <w:rsid w:val="002F194D"/>
    <w:rsid w:val="00353244"/>
    <w:rsid w:val="0044325D"/>
    <w:rsid w:val="00530318"/>
    <w:rsid w:val="00590F6E"/>
    <w:rsid w:val="005C276F"/>
    <w:rsid w:val="005F5AF9"/>
    <w:rsid w:val="00693B92"/>
    <w:rsid w:val="006C5F36"/>
    <w:rsid w:val="00787640"/>
    <w:rsid w:val="007C5690"/>
    <w:rsid w:val="007D79E0"/>
    <w:rsid w:val="007F09DE"/>
    <w:rsid w:val="00827E82"/>
    <w:rsid w:val="00854770"/>
    <w:rsid w:val="008C75C1"/>
    <w:rsid w:val="008F6A79"/>
    <w:rsid w:val="009037AE"/>
    <w:rsid w:val="00916BF7"/>
    <w:rsid w:val="00990CD4"/>
    <w:rsid w:val="009B31B2"/>
    <w:rsid w:val="00A61312"/>
    <w:rsid w:val="00A62410"/>
    <w:rsid w:val="00AD2403"/>
    <w:rsid w:val="00B61DD1"/>
    <w:rsid w:val="00BC155A"/>
    <w:rsid w:val="00BD4D3E"/>
    <w:rsid w:val="00C16B22"/>
    <w:rsid w:val="00D06787"/>
    <w:rsid w:val="00D27FA4"/>
    <w:rsid w:val="00D7770F"/>
    <w:rsid w:val="00D914CD"/>
    <w:rsid w:val="00DF6380"/>
    <w:rsid w:val="00DF74B5"/>
    <w:rsid w:val="00E407B0"/>
    <w:rsid w:val="00EA46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1E4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E41D6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DF6380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DF6380"/>
    <w:rPr>
      <w:sz w:val="20"/>
      <w:szCs w:val="20"/>
    </w:rPr>
  </w:style>
  <w:style w:type="table" w:styleId="a9">
    <w:name w:val="Table Grid"/>
    <w:basedOn w:val="a1"/>
    <w:uiPriority w:val="59"/>
    <w:rsid w:val="00DF63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DF638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DF6380"/>
    <w:pPr>
      <w:widowControl w:val="0"/>
      <w:autoSpaceDE w:val="0"/>
      <w:autoSpaceDN w:val="0"/>
      <w:spacing w:before="67" w:after="0" w:line="240" w:lineRule="auto"/>
      <w:ind w:left="16"/>
      <w:jc w:val="center"/>
    </w:pPr>
    <w:rPr>
      <w:rFonts w:ascii="Trebuchet MS" w:eastAsia="Trebuchet MS" w:hAnsi="Trebuchet MS" w:cs="Trebuchet MS"/>
    </w:rPr>
  </w:style>
  <w:style w:type="paragraph" w:styleId="aa">
    <w:name w:val="List Paragraph"/>
    <w:basedOn w:val="a"/>
    <w:uiPriority w:val="34"/>
    <w:qFormat/>
    <w:rsid w:val="00990C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ologdastat.gks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1C9F53-49AB-4631-9B31-3DBF3C1986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2161</Words>
  <Characters>12318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User</cp:lastModifiedBy>
  <cp:revision>3</cp:revision>
  <dcterms:created xsi:type="dcterms:W3CDTF">2025-05-13T17:58:00Z</dcterms:created>
  <dcterms:modified xsi:type="dcterms:W3CDTF">2025-05-13T17:58:00Z</dcterms:modified>
</cp:coreProperties>
</file>