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D5068" w:rsidRDefault="00FD5068" w:rsidP="00FD5068">
      <w:pPr>
        <w:jc w:val="right"/>
        <w:rPr>
          <w:rFonts w:eastAsia="Calibri" w:cs="Times New Roman"/>
          <w:b/>
          <w:bCs/>
          <w:szCs w:val="24"/>
        </w:rPr>
      </w:pPr>
      <w:r w:rsidRPr="00FD5068">
        <w:rPr>
          <w:rFonts w:eastAsia="Calibri" w:cs="Times New Roman"/>
          <w:b/>
          <w:bCs/>
          <w:szCs w:val="24"/>
        </w:rPr>
        <w:t>Косторниченко С</w:t>
      </w:r>
      <w:r>
        <w:rPr>
          <w:rFonts w:eastAsia="Calibri" w:cs="Times New Roman"/>
          <w:b/>
          <w:bCs/>
          <w:szCs w:val="24"/>
        </w:rPr>
        <w:t>.</w:t>
      </w:r>
      <w:r w:rsidRPr="00FD5068">
        <w:rPr>
          <w:rFonts w:eastAsia="Calibri" w:cs="Times New Roman"/>
          <w:b/>
          <w:bCs/>
          <w:szCs w:val="24"/>
        </w:rPr>
        <w:t>А</w:t>
      </w:r>
      <w:r>
        <w:rPr>
          <w:rFonts w:eastAsia="Calibri" w:cs="Times New Roman"/>
          <w:b/>
          <w:bCs/>
          <w:szCs w:val="24"/>
        </w:rPr>
        <w:t>.</w:t>
      </w:r>
    </w:p>
    <w:p w:rsidR="00035D66" w:rsidRDefault="00035D66" w:rsidP="00FD5068">
      <w:pPr>
        <w:jc w:val="right"/>
        <w:rPr>
          <w:rFonts w:eastAsia="Calibri" w:cs="Times New Roman"/>
          <w:b/>
          <w:bCs/>
          <w:szCs w:val="24"/>
        </w:rPr>
      </w:pPr>
      <w:r>
        <w:rPr>
          <w:rFonts w:eastAsia="Calibri" w:cs="Times New Roman"/>
          <w:b/>
          <w:bCs/>
          <w:szCs w:val="24"/>
        </w:rPr>
        <w:t>Лысенко В.Н.</w:t>
      </w:r>
    </w:p>
    <w:p w:rsidR="00B87F14" w:rsidRDefault="00FD5068" w:rsidP="00436DE4">
      <w:pPr>
        <w:ind w:firstLine="0"/>
        <w:jc w:val="center"/>
        <w:rPr>
          <w:rFonts w:eastAsia="Calibri" w:cs="Times New Roman"/>
          <w:b/>
          <w:bCs/>
          <w:szCs w:val="24"/>
        </w:rPr>
      </w:pPr>
      <w:r w:rsidRPr="00B87F14">
        <w:rPr>
          <w:rFonts w:eastAsia="Calibri" w:cs="Times New Roman"/>
          <w:b/>
          <w:bCs/>
          <w:szCs w:val="24"/>
        </w:rPr>
        <w:t xml:space="preserve">ПОДХОДЫ К ОЦЕНКЕ СБАЛАНСИРОВАННОСТИ РЕГИОНАЛЬНОГО РАЗВИТИЯ ДЛЯ ОБЕСПЕЧЕНИЯ УСТОЙЧИВОГО ПРОСТРАНСТВЕННОГО </w:t>
      </w:r>
      <w:bookmarkStart w:id="0" w:name="_GoBack"/>
      <w:bookmarkEnd w:id="0"/>
      <w:r w:rsidRPr="00B87F14">
        <w:rPr>
          <w:rFonts w:eastAsia="Calibri" w:cs="Times New Roman"/>
          <w:b/>
          <w:bCs/>
          <w:szCs w:val="24"/>
        </w:rPr>
        <w:t>РАЗВИТИЯ СТРАНЫ</w:t>
      </w:r>
    </w:p>
    <w:p w:rsidR="00D460A5" w:rsidRDefault="00D460A5" w:rsidP="00FD5068">
      <w:pPr>
        <w:jc w:val="center"/>
        <w:rPr>
          <w:rFonts w:eastAsia="Calibri" w:cs="Times New Roman"/>
          <w:b/>
          <w:bCs/>
          <w:szCs w:val="24"/>
        </w:rPr>
      </w:pPr>
    </w:p>
    <w:p w:rsidR="00D460A5" w:rsidRDefault="00D460A5" w:rsidP="00D460A5">
      <w:pPr>
        <w:rPr>
          <w:rFonts w:eastAsia="Calibri" w:cs="Times New Roman"/>
          <w:bCs/>
          <w:szCs w:val="24"/>
        </w:rPr>
      </w:pPr>
      <w:r>
        <w:rPr>
          <w:rFonts w:eastAsia="Calibri" w:cs="Times New Roman"/>
          <w:b/>
          <w:bCs/>
          <w:szCs w:val="24"/>
        </w:rPr>
        <w:t xml:space="preserve">Аннотация: </w:t>
      </w:r>
      <w:r w:rsidR="009A5F4D" w:rsidRPr="009A5F4D">
        <w:rPr>
          <w:rFonts w:eastAsia="Calibri" w:cs="Times New Roman"/>
          <w:bCs/>
          <w:szCs w:val="24"/>
        </w:rPr>
        <w:t>Данное исследование направлено на формирование математического подхода к оценке пространственной устойчивости и сбалансированности регионального развития в России для разработки методики данного процесса в целях актуализации и реализации усиленных регулирующих и стимулирующих мер градостроительного развития</w:t>
      </w:r>
      <w:r w:rsidRPr="004E0A0E">
        <w:rPr>
          <w:rFonts w:eastAsia="Calibri" w:cs="Times New Roman"/>
          <w:bCs/>
          <w:szCs w:val="24"/>
        </w:rPr>
        <w:t>.</w:t>
      </w:r>
    </w:p>
    <w:p w:rsidR="00D460A5" w:rsidRDefault="00D460A5" w:rsidP="00D460A5">
      <w:pPr>
        <w:rPr>
          <w:rFonts w:eastAsia="Calibri" w:cs="Times New Roman"/>
          <w:bCs/>
          <w:szCs w:val="24"/>
        </w:rPr>
      </w:pPr>
      <w:r w:rsidRPr="004E0A0E">
        <w:rPr>
          <w:rFonts w:eastAsia="Calibri" w:cs="Times New Roman"/>
          <w:b/>
          <w:bCs/>
          <w:szCs w:val="24"/>
        </w:rPr>
        <w:t>Ключевые слова:</w:t>
      </w:r>
      <w:r>
        <w:rPr>
          <w:rFonts w:eastAsia="Calibri" w:cs="Times New Roman"/>
          <w:bCs/>
          <w:szCs w:val="24"/>
        </w:rPr>
        <w:t xml:space="preserve"> </w:t>
      </w:r>
      <w:r w:rsidRPr="004E0A0E">
        <w:rPr>
          <w:rFonts w:eastAsia="Calibri" w:cs="Times New Roman"/>
          <w:bCs/>
          <w:szCs w:val="24"/>
        </w:rPr>
        <w:t>Пространственная сбалансированность, устойчивость, типология регионов, пространственное развитие.</w:t>
      </w:r>
    </w:p>
    <w:p w:rsidR="00D460A5" w:rsidRDefault="00D460A5" w:rsidP="00F4119F">
      <w:pPr>
        <w:rPr>
          <w:rFonts w:eastAsia="Calibri" w:cs="Times New Roman"/>
          <w:b/>
          <w:bCs/>
          <w:szCs w:val="24"/>
          <w:lang w:val="en-US"/>
        </w:rPr>
      </w:pPr>
    </w:p>
    <w:p w:rsidR="00F4119F" w:rsidRDefault="00B362DA" w:rsidP="00F4119F">
      <w:r>
        <w:t xml:space="preserve">Обеспечение устойчивого и сбалансированного развития представляет собой ключевое </w:t>
      </w:r>
      <w:proofErr w:type="spellStart"/>
      <w:r>
        <w:t>направение</w:t>
      </w:r>
      <w:proofErr w:type="spellEnd"/>
      <w:r>
        <w:t xml:space="preserve"> в управлении пространственным развитием территории Российской Федерации. В соответствии с положениями Стратегии пространственного развития Российской Федерации, одной из главных целей является формирование устойчивой и сбалансированной системы расселения, а также рациональной территориальной организации экономической деятельности, способствующих достижению стратегических государственных целей и обеспечению национальной безопасности. В современных условиях возникает объективная необходимость разработки и внедрения принципов согласованного планирования развития различных территориальных образований в рамках общей стратегии пространственного развития страны</w:t>
      </w:r>
      <w:r w:rsidR="00EE4770" w:rsidRPr="00EE4770">
        <w:t xml:space="preserve"> [3]</w:t>
      </w:r>
      <w:r>
        <w:t xml:space="preserve">. </w:t>
      </w:r>
    </w:p>
    <w:p w:rsidR="00B362DA" w:rsidRDefault="00B362DA" w:rsidP="00F4119F">
      <w:r>
        <w:t>Целью данного исследования является выявление и анализ существующих дисбалансов и территориальных диспропорций в социально-экономическом развитии регионов России, а также подготовка предложений по формированию эффективных инструментов пространственного развития.</w:t>
      </w:r>
    </w:p>
    <w:p w:rsidR="00B362DA" w:rsidRDefault="00B362DA" w:rsidP="00B362DA">
      <w:r w:rsidRPr="00B362DA">
        <w:t>В связи с этим особое внимание заслуживает изучение понятий устойчивости, сбалансированного и устойчивого развития страны и регионов как базовых характеристик этого процесса. Существуют различные подходы к определению понятий «устойчивость», «устойчивое развитие», «сбалансированность» и т.д</w:t>
      </w:r>
      <w:r w:rsidR="00EE4770" w:rsidRPr="00EE4770">
        <w:t>. [4, 5]</w:t>
      </w:r>
      <w:r w:rsidRPr="00B362DA">
        <w:t>. В рамках социально-экономической географии под устойчивостью принято понимать способность региона сохранять своё функциональное и структурное состояние на протяжении определённого периода времени. Формирование устойчивости региона обусловлено характером его развития, существующими тенденциями социально-экономической динамики, а также спецификой сложившегося хозяйственного уклада</w:t>
      </w:r>
      <w:r w:rsidR="00EE4770" w:rsidRPr="00EE4770">
        <w:t xml:space="preserve"> [1]</w:t>
      </w:r>
      <w:r w:rsidRPr="00B362DA">
        <w:t>. Кроме того, важное значение имеет степень взаимосвязи и согласованности функционирования структурных компонентов региональной системы. Устойчивость системы в целом обеспечивается при условии сбалансированного развития её составляющих элементов</w:t>
      </w:r>
      <w:r w:rsidR="00EE4770" w:rsidRPr="00EE4770">
        <w:t xml:space="preserve"> [2</w:t>
      </w:r>
      <w:r w:rsidR="00EE4770" w:rsidRPr="00F501C5">
        <w:t>]</w:t>
      </w:r>
      <w:r w:rsidRPr="00B362DA">
        <w:t>.</w:t>
      </w:r>
    </w:p>
    <w:p w:rsidR="00B362DA" w:rsidRDefault="00B362DA" w:rsidP="00B362DA">
      <w:r>
        <w:t>Для проведения исследования авторами был</w:t>
      </w:r>
      <w:r w:rsidR="00035D66">
        <w:t>о</w:t>
      </w:r>
      <w:r>
        <w:t xml:space="preserve"> отобран</w:t>
      </w:r>
      <w:r w:rsidR="00035D66">
        <w:t>о</w:t>
      </w:r>
      <w:r>
        <w:t xml:space="preserve"> </w:t>
      </w:r>
      <w:r w:rsidR="00035D66" w:rsidRPr="00035D66">
        <w:t>25</w:t>
      </w:r>
      <w:r w:rsidR="00CC530D" w:rsidRPr="00CC530D">
        <w:t xml:space="preserve"> </w:t>
      </w:r>
      <w:r w:rsidRPr="00035D66">
        <w:t>показателей</w:t>
      </w:r>
      <w:r>
        <w:t xml:space="preserve"> по следующим тематическим группам:</w:t>
      </w:r>
    </w:p>
    <w:p w:rsidR="00B362DA" w:rsidRDefault="00B362DA" w:rsidP="00B362DA">
      <w:r>
        <w:t>•</w:t>
      </w:r>
      <w:r>
        <w:tab/>
        <w:t>Демографическое развитие и устойчивость системы расселения;</w:t>
      </w:r>
    </w:p>
    <w:p w:rsidR="00B362DA" w:rsidRDefault="00B362DA" w:rsidP="00B362DA">
      <w:r>
        <w:t>•</w:t>
      </w:r>
      <w:r>
        <w:tab/>
        <w:t>Производительные силы и уровень экономического развития;</w:t>
      </w:r>
    </w:p>
    <w:p w:rsidR="00B362DA" w:rsidRDefault="00B362DA" w:rsidP="00B362DA">
      <w:r>
        <w:t>•</w:t>
      </w:r>
      <w:r>
        <w:tab/>
        <w:t>Инфраструктурное развитие;</w:t>
      </w:r>
    </w:p>
    <w:p w:rsidR="00B362DA" w:rsidRDefault="00B362DA" w:rsidP="00B362DA">
      <w:r>
        <w:t>•</w:t>
      </w:r>
      <w:r>
        <w:tab/>
        <w:t>Экологическая безопасность.</w:t>
      </w:r>
    </w:p>
    <w:p w:rsidR="00B362DA" w:rsidRDefault="00B362DA" w:rsidP="00F4119F">
      <w:r>
        <w:t xml:space="preserve">Для подавляющего числа использованных в работе </w:t>
      </w:r>
      <w:r w:rsidR="00035D66" w:rsidRPr="00035D66">
        <w:t>метрик</w:t>
      </w:r>
      <w:r>
        <w:t xml:space="preserve"> источником являются открытые материалы из публикаций Федеральной службы государственной статистики (Росст</w:t>
      </w:r>
      <w:r w:rsidRPr="00EE4770">
        <w:t>ат). С</w:t>
      </w:r>
      <w:r>
        <w:t xml:space="preserve"> целью проведения интегрированной оценки сбалансированности пространственного развития регионов выведен комплексный показатель пространственной устойчивости региона по следующему алгоритму:</w:t>
      </w:r>
    </w:p>
    <w:p w:rsidR="00B362DA" w:rsidRDefault="00B362DA" w:rsidP="00F4119F">
      <w:pPr>
        <w:pStyle w:val="a4"/>
        <w:numPr>
          <w:ilvl w:val="0"/>
          <w:numId w:val="4"/>
        </w:numPr>
        <w:ind w:left="0" w:firstLine="709"/>
      </w:pPr>
      <w:r>
        <w:lastRenderedPageBreak/>
        <w:t xml:space="preserve">Нормирование каждого </w:t>
      </w:r>
      <w:r w:rsidRPr="00035D66">
        <w:t xml:space="preserve">ряда </w:t>
      </w:r>
      <w:r w:rsidR="00035D66" w:rsidRPr="00035D66">
        <w:t>значений показателя по регионам Российской Федерации</w:t>
      </w:r>
      <w:r w:rsidRPr="00035D66">
        <w:t xml:space="preserve"> по методу линейного масш</w:t>
      </w:r>
      <w:r>
        <w:t>табирования</w:t>
      </w:r>
      <w:r w:rsidRPr="001C19E7">
        <w:t>:</w:t>
      </w:r>
      <w:r>
        <w:t xml:space="preserve"> </w:t>
      </w:r>
    </w:p>
    <w:p w:rsidR="00B362DA" w:rsidRDefault="00B362DA" w:rsidP="00F4119F"/>
    <w:p w:rsidR="00B362DA" w:rsidRPr="001C19E7" w:rsidRDefault="00B362DA" w:rsidP="00F4119F">
      <w:pPr>
        <w:jc w:val="center"/>
      </w:pPr>
      <m:oMath>
        <m:r>
          <w:rPr>
            <w:rFonts w:ascii="Cambria Math" w:hAnsi="Cambria Math"/>
            <w:lang w:val="en-US"/>
          </w:rPr>
          <m:t>Ii</m:t>
        </m:r>
        <m:r>
          <w:rPr>
            <w:rFonts w:ascii="Cambria Math" w:hAnsi="Cambria Math"/>
          </w:rPr>
          <m:t>=</m:t>
        </m:r>
        <m:f>
          <m:fPr>
            <m:ctrlPr>
              <w:rPr>
                <w:rFonts w:ascii="Cambria Math" w:hAnsi="Cambria Math"/>
                <w:i/>
              </w:rPr>
            </m:ctrlPr>
          </m:fPr>
          <m:num>
            <m:r>
              <w:rPr>
                <w:rFonts w:ascii="Cambria Math" w:hAnsi="Cambria Math"/>
              </w:rPr>
              <m:t>(</m:t>
            </m:r>
            <m:r>
              <w:rPr>
                <w:rFonts w:ascii="Cambria Math" w:hAnsi="Cambria Math"/>
                <w:lang w:val="en-US"/>
              </w:rPr>
              <m:t>Xi</m:t>
            </m:r>
            <m:r>
              <w:rPr>
                <w:rFonts w:ascii="Cambria Math" w:hAnsi="Cambria Math"/>
              </w:rPr>
              <m:t>-</m:t>
            </m:r>
            <m:r>
              <w:rPr>
                <w:rFonts w:ascii="Cambria Math" w:hAnsi="Cambria Math"/>
                <w:lang w:val="en-US"/>
              </w:rPr>
              <m:t>Xmin</m:t>
            </m:r>
            <m:r>
              <w:rPr>
                <w:rFonts w:ascii="Cambria Math" w:hAnsi="Cambria Math"/>
              </w:rPr>
              <m:t>)</m:t>
            </m:r>
          </m:num>
          <m:den>
            <m:r>
              <w:rPr>
                <w:rFonts w:ascii="Cambria Math" w:hAnsi="Cambria Math"/>
              </w:rPr>
              <m:t>(</m:t>
            </m:r>
            <m:r>
              <w:rPr>
                <w:rFonts w:ascii="Cambria Math" w:hAnsi="Cambria Math"/>
                <w:lang w:val="en-US"/>
              </w:rPr>
              <m:t>Xmax</m:t>
            </m:r>
            <m:r>
              <w:rPr>
                <w:rFonts w:ascii="Cambria Math" w:hAnsi="Cambria Math"/>
              </w:rPr>
              <m:t>-</m:t>
            </m:r>
            <m:r>
              <w:rPr>
                <w:rFonts w:ascii="Cambria Math" w:hAnsi="Cambria Math"/>
                <w:lang w:val="en-US"/>
              </w:rPr>
              <m:t>Xmin</m:t>
            </m:r>
            <m:r>
              <w:rPr>
                <w:rFonts w:ascii="Cambria Math" w:hAnsi="Cambria Math"/>
              </w:rPr>
              <m:t xml:space="preserve"> )</m:t>
            </m:r>
          </m:den>
        </m:f>
      </m:oMath>
      <w:r w:rsidRPr="001C19E7">
        <w:t>,</w:t>
      </w:r>
    </w:p>
    <w:p w:rsidR="00B362DA" w:rsidRPr="001C19E7" w:rsidRDefault="00B362DA" w:rsidP="00F4119F"/>
    <w:p w:rsidR="00B362DA" w:rsidRDefault="00B362DA" w:rsidP="00F4119F">
      <w:pPr>
        <w:ind w:firstLine="0"/>
      </w:pPr>
      <w:r>
        <w:t xml:space="preserve">где </w:t>
      </w:r>
      <w:proofErr w:type="spellStart"/>
      <w:r>
        <w:t>I</w:t>
      </w:r>
      <w:r w:rsidRPr="001C19E7">
        <w:rPr>
          <w:vertAlign w:val="subscript"/>
        </w:rPr>
        <w:t>i</w:t>
      </w:r>
      <w:proofErr w:type="spellEnd"/>
      <w:r>
        <w:rPr>
          <w:lang w:val="en-US"/>
        </w:rPr>
        <w:t> </w:t>
      </w:r>
      <w:r w:rsidRPr="001C19E7">
        <w:t>—</w:t>
      </w:r>
      <w:r>
        <w:t xml:space="preserve"> индекс i-ого региона для заданного показателя</w:t>
      </w:r>
      <w:r w:rsidR="00CC530D">
        <w:t>;</w:t>
      </w:r>
    </w:p>
    <w:p w:rsidR="00B362DA" w:rsidRDefault="00B362DA" w:rsidP="00F4119F">
      <w:pPr>
        <w:ind w:firstLine="0"/>
      </w:pPr>
      <w:proofErr w:type="spellStart"/>
      <w:r>
        <w:t>X</w:t>
      </w:r>
      <w:r w:rsidRPr="001C19E7">
        <w:rPr>
          <w:vertAlign w:val="subscript"/>
        </w:rPr>
        <w:t>i</w:t>
      </w:r>
      <w:proofErr w:type="spellEnd"/>
      <w:r>
        <w:rPr>
          <w:lang w:val="en-US"/>
        </w:rPr>
        <w:t> </w:t>
      </w:r>
      <w:r w:rsidRPr="001C19E7">
        <w:t>—</w:t>
      </w:r>
      <w:r>
        <w:t xml:space="preserve"> значение показателя для i-ого региона</w:t>
      </w:r>
      <w:r w:rsidR="00CC530D">
        <w:t>;</w:t>
      </w:r>
    </w:p>
    <w:p w:rsidR="00B362DA" w:rsidRDefault="00B362DA" w:rsidP="00F4119F">
      <w:pPr>
        <w:ind w:firstLine="0"/>
      </w:pPr>
      <w:proofErr w:type="spellStart"/>
      <w:r>
        <w:t>X</w:t>
      </w:r>
      <w:r w:rsidRPr="001C19E7">
        <w:rPr>
          <w:vertAlign w:val="subscript"/>
        </w:rPr>
        <w:t>max</w:t>
      </w:r>
      <w:proofErr w:type="spellEnd"/>
      <w:r>
        <w:rPr>
          <w:lang w:val="en-US"/>
        </w:rPr>
        <w:t> </w:t>
      </w:r>
      <w:r w:rsidRPr="001C19E7">
        <w:t>—</w:t>
      </w:r>
      <w:r>
        <w:t xml:space="preserve"> максимальное значение показателя среди всех регионов</w:t>
      </w:r>
      <w:r w:rsidR="00CC530D">
        <w:t>;</w:t>
      </w:r>
    </w:p>
    <w:p w:rsidR="00B362DA" w:rsidRDefault="00B362DA" w:rsidP="00F4119F">
      <w:pPr>
        <w:ind w:firstLine="0"/>
      </w:pPr>
      <w:proofErr w:type="spellStart"/>
      <w:r>
        <w:t>X</w:t>
      </w:r>
      <w:r w:rsidRPr="001C19E7">
        <w:rPr>
          <w:vertAlign w:val="subscript"/>
        </w:rPr>
        <w:t>min</w:t>
      </w:r>
      <w:proofErr w:type="spellEnd"/>
      <w:r>
        <w:rPr>
          <w:lang w:val="en-US"/>
        </w:rPr>
        <w:t> </w:t>
      </w:r>
      <w:r w:rsidRPr="001C19E7">
        <w:t>—</w:t>
      </w:r>
      <w:r>
        <w:t xml:space="preserve"> минимальное значение показателя среди всех регионов;</w:t>
      </w:r>
    </w:p>
    <w:p w:rsidR="00B362DA" w:rsidRPr="006A580D" w:rsidRDefault="00B362DA" w:rsidP="00F4119F">
      <w:pPr>
        <w:pStyle w:val="a4"/>
        <w:numPr>
          <w:ilvl w:val="0"/>
          <w:numId w:val="4"/>
        </w:numPr>
        <w:ind w:left="0" w:firstLine="709"/>
      </w:pPr>
      <w:r w:rsidRPr="006A580D">
        <w:t>агрегирование нормированных значений в промежуточные групповые индексы (R) на основе среднего арифметического</w:t>
      </w:r>
      <w:r w:rsidR="006A580D" w:rsidRPr="006A580D">
        <w:t xml:space="preserve"> значения</w:t>
      </w:r>
      <w:r w:rsidRPr="006A580D">
        <w:t>;</w:t>
      </w:r>
    </w:p>
    <w:p w:rsidR="00B362DA" w:rsidRDefault="00B362DA" w:rsidP="00F4119F">
      <w:pPr>
        <w:pStyle w:val="a4"/>
        <w:numPr>
          <w:ilvl w:val="0"/>
          <w:numId w:val="4"/>
        </w:numPr>
        <w:ind w:left="0" w:firstLine="709"/>
      </w:pPr>
      <w:r>
        <w:t>расчет интегрального индекса (I) как суммы промежуточных групповых индексов с заданными относительно удельной доли вклада каждого элемента весовыми коэффициентами:</w:t>
      </w:r>
    </w:p>
    <w:p w:rsidR="00B362DA" w:rsidRPr="001C19E7" w:rsidRDefault="00B362DA" w:rsidP="00F4119F">
      <w:pPr>
        <w:jc w:val="center"/>
      </w:pPr>
      <m:oMath>
        <m:r>
          <w:rPr>
            <w:rFonts w:ascii="Cambria Math" w:hAnsi="Cambria Math"/>
            <w:lang w:val="en-US"/>
          </w:rPr>
          <m:t>I</m:t>
        </m:r>
        <m:r>
          <w:rPr>
            <w:rFonts w:ascii="Cambria Math" w:hAnsi="Cambria Math"/>
          </w:rPr>
          <m:t>=0,43</m:t>
        </m:r>
        <m:r>
          <w:rPr>
            <w:rFonts w:ascii="Cambria Math" w:hAnsi="Cambria Math"/>
            <w:lang w:val="en-US"/>
          </w:rPr>
          <m:t>Recon</m:t>
        </m:r>
        <m:r>
          <w:rPr>
            <w:rFonts w:ascii="Cambria Math" w:hAnsi="Cambria Math"/>
          </w:rPr>
          <m:t>+0,18</m:t>
        </m:r>
        <m:r>
          <w:rPr>
            <w:rFonts w:ascii="Cambria Math" w:hAnsi="Cambria Math"/>
            <w:lang w:val="en-US"/>
          </w:rPr>
          <m:t>Rdem</m:t>
        </m:r>
        <m:r>
          <w:rPr>
            <w:rFonts w:ascii="Cambria Math" w:hAnsi="Cambria Math"/>
          </w:rPr>
          <m:t>+0,25</m:t>
        </m:r>
        <m:r>
          <w:rPr>
            <w:rFonts w:ascii="Cambria Math" w:hAnsi="Cambria Math"/>
            <w:lang w:val="en-US"/>
          </w:rPr>
          <m:t>Rinf</m:t>
        </m:r>
        <m:r>
          <w:rPr>
            <w:rFonts w:ascii="Cambria Math" w:hAnsi="Cambria Math"/>
          </w:rPr>
          <m:t>+0,14</m:t>
        </m:r>
        <m:r>
          <w:rPr>
            <w:rFonts w:ascii="Cambria Math" w:hAnsi="Cambria Math"/>
            <w:lang w:val="en-US"/>
          </w:rPr>
          <m:t>R</m:t>
        </m:r>
        <m:r>
          <w:rPr>
            <w:rFonts w:ascii="Cambria Math" w:hAnsi="Cambria Math"/>
          </w:rPr>
          <m:t>e</m:t>
        </m:r>
        <m:r>
          <w:rPr>
            <w:rFonts w:ascii="Cambria Math" w:hAnsi="Cambria Math"/>
            <w:lang w:val="en-US"/>
          </w:rPr>
          <m:t>col</m:t>
        </m:r>
      </m:oMath>
      <w:r w:rsidRPr="001C19E7">
        <w:t>,</w:t>
      </w:r>
    </w:p>
    <w:p w:rsidR="00B362DA" w:rsidRDefault="00B362DA" w:rsidP="00F4119F">
      <w:pPr>
        <w:ind w:firstLine="0"/>
      </w:pPr>
      <w:r>
        <w:t xml:space="preserve">где </w:t>
      </w:r>
      <w:proofErr w:type="spellStart"/>
      <w:r>
        <w:t>R</w:t>
      </w:r>
      <w:r w:rsidRPr="001C19E7">
        <w:rPr>
          <w:vertAlign w:val="subscript"/>
        </w:rPr>
        <w:t>econ</w:t>
      </w:r>
      <w:proofErr w:type="spellEnd"/>
      <w:r>
        <w:t> — промежуточный экономический индекс</w:t>
      </w:r>
      <w:r w:rsidR="00CC530D">
        <w:t>;</w:t>
      </w:r>
    </w:p>
    <w:p w:rsidR="00B362DA" w:rsidRDefault="00B362DA" w:rsidP="00F4119F">
      <w:pPr>
        <w:ind w:firstLine="0"/>
      </w:pPr>
      <w:proofErr w:type="spellStart"/>
      <w:r>
        <w:t>R</w:t>
      </w:r>
      <w:r w:rsidRPr="001C19E7">
        <w:rPr>
          <w:vertAlign w:val="subscript"/>
        </w:rPr>
        <w:t>dem</w:t>
      </w:r>
      <w:proofErr w:type="spellEnd"/>
      <w:r>
        <w:t> — промежуточный демографический индекс</w:t>
      </w:r>
      <w:r w:rsidR="00CC530D">
        <w:t>;</w:t>
      </w:r>
    </w:p>
    <w:p w:rsidR="00B362DA" w:rsidRDefault="00B362DA" w:rsidP="00F4119F">
      <w:pPr>
        <w:ind w:firstLine="0"/>
      </w:pPr>
      <w:proofErr w:type="spellStart"/>
      <w:r>
        <w:t>R</w:t>
      </w:r>
      <w:r w:rsidRPr="001C19E7">
        <w:rPr>
          <w:vertAlign w:val="subscript"/>
        </w:rPr>
        <w:t>inf</w:t>
      </w:r>
      <w:proofErr w:type="spellEnd"/>
      <w:r>
        <w:t> — промежуточный инфраструктурный индекс</w:t>
      </w:r>
      <w:r w:rsidR="00CC530D">
        <w:t>;</w:t>
      </w:r>
    </w:p>
    <w:p w:rsidR="00B362DA" w:rsidRDefault="00B362DA" w:rsidP="00F4119F">
      <w:pPr>
        <w:ind w:firstLine="0"/>
      </w:pPr>
      <w:proofErr w:type="spellStart"/>
      <w:r>
        <w:t>R</w:t>
      </w:r>
      <w:r w:rsidRPr="001C19E7">
        <w:rPr>
          <w:vertAlign w:val="subscript"/>
        </w:rPr>
        <w:t>ecol</w:t>
      </w:r>
      <w:proofErr w:type="spellEnd"/>
      <w:r>
        <w:t> — промежуточный экологический индекс.</w:t>
      </w:r>
    </w:p>
    <w:p w:rsidR="00B362DA" w:rsidRPr="00035D66" w:rsidRDefault="00B362DA" w:rsidP="00F4119F">
      <w:r>
        <w:t xml:space="preserve">На основе полученных индексов пространственной </w:t>
      </w:r>
      <w:r w:rsidRPr="00035D66">
        <w:t xml:space="preserve">устойчивости регионы </w:t>
      </w:r>
      <w:proofErr w:type="spellStart"/>
      <w:r w:rsidRPr="00035D66">
        <w:t>проранжированы</w:t>
      </w:r>
      <w:proofErr w:type="spellEnd"/>
      <w:r w:rsidRPr="00035D66">
        <w:t xml:space="preserve"> по пяти группам в зависимости от отклонения от среднероссийского значения (рисунок 1):</w:t>
      </w:r>
    </w:p>
    <w:p w:rsidR="00B362DA" w:rsidRPr="00035D66" w:rsidRDefault="00B362DA" w:rsidP="00B362DA">
      <w:pPr>
        <w:keepNext/>
        <w:ind w:firstLine="0"/>
        <w:jc w:val="left"/>
        <w:rPr>
          <w:szCs w:val="24"/>
        </w:rPr>
      </w:pPr>
      <w:r w:rsidRPr="00035D66">
        <w:rPr>
          <w:noProof/>
          <w:szCs w:val="24"/>
        </w:rPr>
        <w:drawing>
          <wp:inline distT="0" distB="0" distL="0" distR="0" wp14:anchorId="47483CCA" wp14:editId="3950F0EB">
            <wp:extent cx="6102197" cy="4399280"/>
            <wp:effectExtent l="0" t="0" r="0" b="127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5" cstate="print">
                      <a:extLst>
                        <a:ext uri="{28A0092B-C50C-407E-A947-70E740481C1C}">
                          <a14:useLocalDpi xmlns:a14="http://schemas.microsoft.com/office/drawing/2010/main" val="0"/>
                        </a:ext>
                      </a:extLst>
                    </a:blip>
                    <a:srcRect l="3135" t="1313"/>
                    <a:stretch/>
                  </pic:blipFill>
                  <pic:spPr bwMode="auto">
                    <a:xfrm>
                      <a:off x="0" y="0"/>
                      <a:ext cx="6102936" cy="4399813"/>
                    </a:xfrm>
                    <a:prstGeom prst="rect">
                      <a:avLst/>
                    </a:prstGeom>
                    <a:noFill/>
                    <a:ln>
                      <a:noFill/>
                    </a:ln>
                    <a:extLst>
                      <a:ext uri="{53640926-AAD7-44D8-BBD7-CCE9431645EC}">
                        <a14:shadowObscured xmlns:a14="http://schemas.microsoft.com/office/drawing/2010/main"/>
                      </a:ext>
                    </a:extLst>
                  </pic:spPr>
                </pic:pic>
              </a:graphicData>
            </a:graphic>
          </wp:inline>
        </w:drawing>
      </w:r>
    </w:p>
    <w:p w:rsidR="00F4119F" w:rsidRPr="00CC530D" w:rsidRDefault="00B362DA" w:rsidP="00F4119F">
      <w:pPr>
        <w:pStyle w:val="a6"/>
        <w:ind w:firstLine="0"/>
        <w:jc w:val="left"/>
        <w:rPr>
          <w:sz w:val="18"/>
        </w:rPr>
      </w:pPr>
      <w:r w:rsidRPr="00CC530D">
        <w:rPr>
          <w:sz w:val="18"/>
        </w:rPr>
        <w:t>Источник: разработано авторами на основе данных Росстата</w:t>
      </w:r>
      <w:r w:rsidR="00F4119F" w:rsidRPr="00CC530D">
        <w:rPr>
          <w:sz w:val="18"/>
        </w:rPr>
        <w:t xml:space="preserve"> </w:t>
      </w:r>
    </w:p>
    <w:p w:rsidR="00B362DA" w:rsidRDefault="00F4119F" w:rsidP="00F4119F">
      <w:pPr>
        <w:pStyle w:val="a6"/>
        <w:ind w:firstLine="0"/>
        <w:jc w:val="center"/>
        <w:rPr>
          <w:szCs w:val="24"/>
        </w:rPr>
      </w:pPr>
      <w:r w:rsidRPr="00035D66">
        <w:rPr>
          <w:szCs w:val="24"/>
        </w:rPr>
        <w:t>Рисунок 1. Интегральный рейтинг пространственной устойчивости регионов</w:t>
      </w:r>
    </w:p>
    <w:p w:rsidR="002172FF" w:rsidRPr="002172FF" w:rsidRDefault="002172FF" w:rsidP="002172FF">
      <w:pPr>
        <w:rPr>
          <w:lang w:eastAsia="ru-RU"/>
        </w:rPr>
      </w:pPr>
    </w:p>
    <w:p w:rsidR="00F4119F" w:rsidRPr="00035D66" w:rsidRDefault="00F4119F" w:rsidP="00F4119F">
      <w:pPr>
        <w:pStyle w:val="a4"/>
        <w:numPr>
          <w:ilvl w:val="0"/>
          <w:numId w:val="5"/>
        </w:numPr>
        <w:ind w:left="0" w:firstLine="142"/>
      </w:pPr>
      <w:r w:rsidRPr="00035D66">
        <w:t>более 15 % – рейтинг А (</w:t>
      </w:r>
      <w:proofErr w:type="spellStart"/>
      <w:r w:rsidRPr="00035D66">
        <w:t>сверхустойчивые</w:t>
      </w:r>
      <w:proofErr w:type="spellEnd"/>
      <w:r w:rsidRPr="00035D66">
        <w:t>) – 13 регионов;</w:t>
      </w:r>
    </w:p>
    <w:p w:rsidR="00F4119F" w:rsidRPr="00035D66" w:rsidRDefault="00F4119F" w:rsidP="00F4119F">
      <w:pPr>
        <w:pStyle w:val="a4"/>
        <w:numPr>
          <w:ilvl w:val="0"/>
          <w:numId w:val="5"/>
        </w:numPr>
        <w:ind w:left="0" w:firstLine="142"/>
      </w:pPr>
      <w:r w:rsidRPr="00035D66">
        <w:t xml:space="preserve">от 5 до 15 % – рейтинг В (выше среднего) – 12 регионов; </w:t>
      </w:r>
    </w:p>
    <w:p w:rsidR="00F4119F" w:rsidRPr="00035D66" w:rsidRDefault="00F4119F" w:rsidP="00F4119F">
      <w:pPr>
        <w:pStyle w:val="a4"/>
        <w:numPr>
          <w:ilvl w:val="0"/>
          <w:numId w:val="5"/>
        </w:numPr>
        <w:ind w:left="0" w:firstLine="142"/>
      </w:pPr>
      <w:r w:rsidRPr="00035D66">
        <w:lastRenderedPageBreak/>
        <w:t>от -5 до 5 % – рейтинг С (средние) – 25 регионов;</w:t>
      </w:r>
    </w:p>
    <w:p w:rsidR="00F4119F" w:rsidRPr="00035D66" w:rsidRDefault="00F4119F" w:rsidP="00F4119F">
      <w:pPr>
        <w:pStyle w:val="a4"/>
        <w:numPr>
          <w:ilvl w:val="0"/>
          <w:numId w:val="5"/>
        </w:numPr>
        <w:ind w:left="0" w:firstLine="142"/>
      </w:pPr>
      <w:r w:rsidRPr="00035D66">
        <w:t>от -15 до -5 % – рейтинг D (ниже среднего) – 23 региона;</w:t>
      </w:r>
    </w:p>
    <w:p w:rsidR="00F4119F" w:rsidRPr="00035D66" w:rsidRDefault="00F4119F" w:rsidP="00F4119F">
      <w:pPr>
        <w:pStyle w:val="a4"/>
        <w:numPr>
          <w:ilvl w:val="0"/>
          <w:numId w:val="5"/>
        </w:numPr>
        <w:ind w:left="0" w:firstLine="142"/>
      </w:pPr>
      <w:r w:rsidRPr="00035D66">
        <w:t>более -15 % – рейтинг Е (</w:t>
      </w:r>
      <w:proofErr w:type="spellStart"/>
      <w:r w:rsidRPr="00035D66">
        <w:t>сверхнеустойчивые</w:t>
      </w:r>
      <w:proofErr w:type="spellEnd"/>
      <w:r w:rsidRPr="00035D66">
        <w:t>) – 12 регионов.</w:t>
      </w:r>
    </w:p>
    <w:p w:rsidR="00B362DA" w:rsidRPr="00B362DA" w:rsidRDefault="00B362DA" w:rsidP="00BC5716">
      <w:pPr>
        <w:rPr>
          <w:szCs w:val="24"/>
        </w:rPr>
      </w:pPr>
      <w:r w:rsidRPr="00035D66">
        <w:rPr>
          <w:szCs w:val="24"/>
        </w:rPr>
        <w:t xml:space="preserve">Таким образом, распределение регионов в рейтинге устойчивости оказывается смещено к низу: 35 регионов в группах </w:t>
      </w:r>
      <w:r w:rsidRPr="00035D66">
        <w:rPr>
          <w:szCs w:val="24"/>
          <w:lang w:val="en-US"/>
        </w:rPr>
        <w:t>D</w:t>
      </w:r>
      <w:r w:rsidRPr="00035D66">
        <w:rPr>
          <w:szCs w:val="24"/>
        </w:rPr>
        <w:t xml:space="preserve"> и </w:t>
      </w:r>
      <w:r w:rsidRPr="00035D66">
        <w:rPr>
          <w:szCs w:val="24"/>
          <w:lang w:val="en-US"/>
        </w:rPr>
        <w:t>E</w:t>
      </w:r>
      <w:r w:rsidRPr="00035D66">
        <w:rPr>
          <w:szCs w:val="24"/>
        </w:rPr>
        <w:t xml:space="preserve"> пр</w:t>
      </w:r>
      <w:r w:rsidRPr="00B362DA">
        <w:rPr>
          <w:szCs w:val="24"/>
        </w:rPr>
        <w:t xml:space="preserve">отив 25 в </w:t>
      </w:r>
      <w:r w:rsidRPr="00B362DA">
        <w:rPr>
          <w:szCs w:val="24"/>
          <w:lang w:val="en-US"/>
        </w:rPr>
        <w:t>A</w:t>
      </w:r>
      <w:r w:rsidRPr="00B362DA">
        <w:rPr>
          <w:szCs w:val="24"/>
        </w:rPr>
        <w:t xml:space="preserve"> и </w:t>
      </w:r>
      <w:r w:rsidRPr="00B362DA">
        <w:rPr>
          <w:szCs w:val="24"/>
          <w:lang w:val="en-US"/>
        </w:rPr>
        <w:t>B</w:t>
      </w:r>
      <w:r w:rsidRPr="00B362DA">
        <w:rPr>
          <w:szCs w:val="24"/>
        </w:rPr>
        <w:t>. На основании данного разброса можно сделать вывод</w:t>
      </w:r>
      <w:r w:rsidRPr="00B362DA">
        <w:rPr>
          <w:szCs w:val="24"/>
          <w:lang w:val="en-US"/>
        </w:rPr>
        <w:t> </w:t>
      </w:r>
      <w:r w:rsidRPr="00B362DA">
        <w:rPr>
          <w:szCs w:val="24"/>
        </w:rPr>
        <w:t xml:space="preserve">– значительная часть регионов имеют тенденции к более низкой динамике развития, </w:t>
      </w:r>
      <w:r w:rsidRPr="006A580D">
        <w:rPr>
          <w:szCs w:val="24"/>
        </w:rPr>
        <w:t xml:space="preserve">чем у лидеров, или к деградации вовсе. Разрыв </w:t>
      </w:r>
      <w:r w:rsidRPr="00B362DA">
        <w:rPr>
          <w:szCs w:val="24"/>
        </w:rPr>
        <w:t>между наиболее устойчивыми и неустойчивыми регионами по рассчитанным значениям индекса составляет почти два раза, что свидетельствует о высокой межрегиональной дифференциации СЭР регионов.</w:t>
      </w:r>
    </w:p>
    <w:p w:rsidR="00CC530D" w:rsidRPr="00CC530D" w:rsidRDefault="00B362DA" w:rsidP="00CC530D">
      <w:pPr>
        <w:keepNext/>
        <w:ind w:firstLine="0"/>
        <w:jc w:val="right"/>
        <w:rPr>
          <w:rFonts w:eastAsia="Calibri" w:cs="Times New Roman"/>
          <w:bCs/>
          <w:color w:val="000000"/>
          <w:szCs w:val="24"/>
          <w:lang w:eastAsia="ru-RU"/>
        </w:rPr>
      </w:pPr>
      <w:r w:rsidRPr="00CC530D">
        <w:rPr>
          <w:rFonts w:eastAsia="Calibri" w:cs="Times New Roman"/>
          <w:bCs/>
          <w:color w:val="000000"/>
          <w:szCs w:val="24"/>
          <w:lang w:eastAsia="ru-RU"/>
        </w:rPr>
        <w:t xml:space="preserve">Таблица </w:t>
      </w:r>
      <w:r w:rsidR="00CC12EF" w:rsidRPr="00CC530D">
        <w:rPr>
          <w:rFonts w:eastAsia="Calibri" w:cs="Times New Roman"/>
          <w:bCs/>
          <w:color w:val="000000"/>
          <w:szCs w:val="24"/>
          <w:lang w:eastAsia="ru-RU"/>
        </w:rPr>
        <w:t>1</w:t>
      </w:r>
    </w:p>
    <w:p w:rsidR="00B362DA" w:rsidRPr="00CC530D" w:rsidRDefault="00B362DA" w:rsidP="00CC530D">
      <w:pPr>
        <w:keepNext/>
        <w:ind w:firstLine="0"/>
        <w:jc w:val="center"/>
        <w:rPr>
          <w:rFonts w:eastAsia="Calibri" w:cs="Times New Roman"/>
          <w:bCs/>
          <w:color w:val="000000"/>
          <w:szCs w:val="24"/>
          <w:lang w:eastAsia="ru-RU"/>
        </w:rPr>
      </w:pPr>
      <w:r w:rsidRPr="00CC530D">
        <w:rPr>
          <w:rFonts w:eastAsia="Calibri" w:cs="Times New Roman"/>
          <w:bCs/>
          <w:color w:val="000000"/>
          <w:szCs w:val="24"/>
          <w:lang w:eastAsia="ru-RU"/>
        </w:rPr>
        <w:t>Наиболее устойчивые и неустойчивые регионы</w:t>
      </w:r>
    </w:p>
    <w:tbl>
      <w:tblPr>
        <w:tblStyle w:val="a3"/>
        <w:tblW w:w="0" w:type="auto"/>
        <w:tblLook w:val="04A0" w:firstRow="1" w:lastRow="0" w:firstColumn="1" w:lastColumn="0" w:noHBand="0" w:noVBand="1"/>
      </w:tblPr>
      <w:tblGrid>
        <w:gridCol w:w="3397"/>
        <w:gridCol w:w="1134"/>
        <w:gridCol w:w="1134"/>
        <w:gridCol w:w="993"/>
        <w:gridCol w:w="983"/>
        <w:gridCol w:w="1698"/>
      </w:tblGrid>
      <w:tr w:rsidR="00B362DA" w:rsidRPr="00FD5068" w:rsidTr="00FD5068">
        <w:tc>
          <w:tcPr>
            <w:tcW w:w="3397" w:type="dxa"/>
            <w:vAlign w:val="center"/>
          </w:tcPr>
          <w:p w:rsidR="00B362DA" w:rsidRPr="00FD5068" w:rsidRDefault="00B362DA" w:rsidP="00B362DA">
            <w:pPr>
              <w:ind w:firstLine="0"/>
              <w:jc w:val="center"/>
              <w:rPr>
                <w:rFonts w:cs="Times New Roman"/>
                <w:b/>
                <w:sz w:val="18"/>
                <w:szCs w:val="18"/>
              </w:rPr>
            </w:pPr>
            <w:r w:rsidRPr="00FD5068">
              <w:rPr>
                <w:rFonts w:cs="Times New Roman"/>
                <w:b/>
                <w:sz w:val="18"/>
                <w:szCs w:val="18"/>
              </w:rPr>
              <w:t>Регион</w:t>
            </w:r>
          </w:p>
        </w:tc>
        <w:tc>
          <w:tcPr>
            <w:tcW w:w="1134" w:type="dxa"/>
            <w:vAlign w:val="center"/>
          </w:tcPr>
          <w:p w:rsidR="00B362DA" w:rsidRPr="00FD5068" w:rsidRDefault="00B362DA" w:rsidP="00B362DA">
            <w:pPr>
              <w:ind w:firstLine="0"/>
              <w:jc w:val="center"/>
              <w:rPr>
                <w:rFonts w:cs="Times New Roman"/>
                <w:b/>
                <w:sz w:val="18"/>
                <w:szCs w:val="18"/>
                <w:lang w:val="en-US"/>
              </w:rPr>
            </w:pPr>
            <w:proofErr w:type="spellStart"/>
            <w:r w:rsidRPr="00FD5068">
              <w:rPr>
                <w:rFonts w:cs="Times New Roman"/>
                <w:b/>
                <w:sz w:val="18"/>
                <w:szCs w:val="18"/>
                <w:lang w:val="en-US"/>
              </w:rPr>
              <w:t>R</w:t>
            </w:r>
            <w:r w:rsidRPr="00FD5068">
              <w:rPr>
                <w:rFonts w:cs="Times New Roman"/>
                <w:b/>
                <w:sz w:val="18"/>
                <w:szCs w:val="18"/>
                <w:vertAlign w:val="subscript"/>
                <w:lang w:val="en-US"/>
              </w:rPr>
              <w:t>dem</w:t>
            </w:r>
            <w:proofErr w:type="spellEnd"/>
          </w:p>
        </w:tc>
        <w:tc>
          <w:tcPr>
            <w:tcW w:w="1134" w:type="dxa"/>
            <w:vAlign w:val="center"/>
          </w:tcPr>
          <w:p w:rsidR="00B362DA" w:rsidRPr="00FD5068" w:rsidRDefault="00B362DA" w:rsidP="00B362DA">
            <w:pPr>
              <w:ind w:firstLine="0"/>
              <w:jc w:val="center"/>
              <w:rPr>
                <w:rFonts w:cs="Times New Roman"/>
                <w:b/>
                <w:sz w:val="18"/>
                <w:szCs w:val="18"/>
                <w:lang w:val="en-US"/>
              </w:rPr>
            </w:pPr>
            <w:r w:rsidRPr="00FD5068">
              <w:rPr>
                <w:rFonts w:cs="Times New Roman"/>
                <w:b/>
                <w:sz w:val="18"/>
                <w:szCs w:val="18"/>
                <w:lang w:val="en-US"/>
              </w:rPr>
              <w:t>R</w:t>
            </w:r>
            <w:r w:rsidRPr="00FD5068">
              <w:rPr>
                <w:rFonts w:cs="Times New Roman"/>
                <w:b/>
                <w:sz w:val="18"/>
                <w:szCs w:val="18"/>
                <w:vertAlign w:val="subscript"/>
                <w:lang w:val="en-US"/>
              </w:rPr>
              <w:t>econ</w:t>
            </w:r>
          </w:p>
        </w:tc>
        <w:tc>
          <w:tcPr>
            <w:tcW w:w="993" w:type="dxa"/>
            <w:vAlign w:val="center"/>
          </w:tcPr>
          <w:p w:rsidR="00B362DA" w:rsidRPr="00FD5068" w:rsidRDefault="00B362DA" w:rsidP="00B362DA">
            <w:pPr>
              <w:ind w:firstLine="0"/>
              <w:jc w:val="center"/>
              <w:rPr>
                <w:rFonts w:cs="Times New Roman"/>
                <w:b/>
                <w:sz w:val="18"/>
                <w:szCs w:val="18"/>
                <w:lang w:val="en-US"/>
              </w:rPr>
            </w:pPr>
            <w:proofErr w:type="spellStart"/>
            <w:r w:rsidRPr="00FD5068">
              <w:rPr>
                <w:rFonts w:cs="Times New Roman"/>
                <w:b/>
                <w:sz w:val="18"/>
                <w:szCs w:val="18"/>
                <w:lang w:val="en-US"/>
              </w:rPr>
              <w:t>R</w:t>
            </w:r>
            <w:r w:rsidRPr="00FD5068">
              <w:rPr>
                <w:rFonts w:cs="Times New Roman"/>
                <w:b/>
                <w:sz w:val="18"/>
                <w:szCs w:val="18"/>
                <w:vertAlign w:val="subscript"/>
                <w:lang w:val="en-US"/>
              </w:rPr>
              <w:t>inf</w:t>
            </w:r>
            <w:proofErr w:type="spellEnd"/>
          </w:p>
        </w:tc>
        <w:tc>
          <w:tcPr>
            <w:tcW w:w="983" w:type="dxa"/>
            <w:vAlign w:val="center"/>
          </w:tcPr>
          <w:p w:rsidR="00B362DA" w:rsidRPr="00FD5068" w:rsidRDefault="00B362DA" w:rsidP="00B362DA">
            <w:pPr>
              <w:ind w:firstLine="0"/>
              <w:jc w:val="center"/>
              <w:rPr>
                <w:rFonts w:cs="Times New Roman"/>
                <w:b/>
                <w:sz w:val="18"/>
                <w:szCs w:val="18"/>
                <w:lang w:val="en-US"/>
              </w:rPr>
            </w:pPr>
            <w:proofErr w:type="spellStart"/>
            <w:r w:rsidRPr="00FD5068">
              <w:rPr>
                <w:rFonts w:cs="Times New Roman"/>
                <w:b/>
                <w:sz w:val="18"/>
                <w:szCs w:val="18"/>
                <w:lang w:val="en-US"/>
              </w:rPr>
              <w:t>R</w:t>
            </w:r>
            <w:r w:rsidRPr="00FD5068">
              <w:rPr>
                <w:rFonts w:cs="Times New Roman"/>
                <w:b/>
                <w:sz w:val="18"/>
                <w:szCs w:val="18"/>
                <w:vertAlign w:val="subscript"/>
                <w:lang w:val="en-US"/>
              </w:rPr>
              <w:t>ecol</w:t>
            </w:r>
            <w:proofErr w:type="spellEnd"/>
          </w:p>
        </w:tc>
        <w:tc>
          <w:tcPr>
            <w:tcW w:w="1698" w:type="dxa"/>
            <w:vAlign w:val="center"/>
          </w:tcPr>
          <w:p w:rsidR="00B362DA" w:rsidRPr="00FD5068" w:rsidRDefault="00B362DA" w:rsidP="00B362DA">
            <w:pPr>
              <w:ind w:firstLine="0"/>
              <w:jc w:val="center"/>
              <w:rPr>
                <w:rFonts w:cs="Times New Roman"/>
                <w:b/>
                <w:sz w:val="18"/>
                <w:szCs w:val="18"/>
              </w:rPr>
            </w:pPr>
            <w:r w:rsidRPr="00FD5068">
              <w:rPr>
                <w:rFonts w:cs="Times New Roman"/>
                <w:b/>
                <w:sz w:val="18"/>
                <w:szCs w:val="18"/>
              </w:rPr>
              <w:t>Интегральный</w:t>
            </w:r>
          </w:p>
          <w:p w:rsidR="00B362DA" w:rsidRPr="00FD5068" w:rsidRDefault="00B362DA" w:rsidP="00B362DA">
            <w:pPr>
              <w:ind w:firstLine="0"/>
              <w:jc w:val="center"/>
              <w:rPr>
                <w:rFonts w:cs="Times New Roman"/>
                <w:b/>
                <w:sz w:val="18"/>
                <w:szCs w:val="18"/>
              </w:rPr>
            </w:pPr>
            <w:r w:rsidRPr="00FD5068">
              <w:rPr>
                <w:rFonts w:cs="Times New Roman"/>
                <w:b/>
                <w:sz w:val="18"/>
                <w:szCs w:val="18"/>
              </w:rPr>
              <w:t>индекс</w:t>
            </w:r>
          </w:p>
        </w:tc>
      </w:tr>
      <w:tr w:rsidR="00B362DA" w:rsidRPr="00FD5068" w:rsidTr="00FD5068">
        <w:tc>
          <w:tcPr>
            <w:tcW w:w="3397" w:type="dxa"/>
            <w:vAlign w:val="center"/>
          </w:tcPr>
          <w:p w:rsidR="00B362DA" w:rsidRPr="00FD5068" w:rsidRDefault="00B362DA" w:rsidP="00B362DA">
            <w:pPr>
              <w:ind w:firstLine="0"/>
              <w:jc w:val="left"/>
              <w:rPr>
                <w:rFonts w:cs="Times New Roman"/>
                <w:sz w:val="18"/>
                <w:szCs w:val="18"/>
              </w:rPr>
            </w:pPr>
            <w:r w:rsidRPr="00FD5068">
              <w:rPr>
                <w:rFonts w:cs="Times New Roman"/>
                <w:sz w:val="18"/>
                <w:szCs w:val="18"/>
              </w:rPr>
              <w:t>г. Москва</w:t>
            </w:r>
          </w:p>
        </w:tc>
        <w:tc>
          <w:tcPr>
            <w:tcW w:w="1134"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0,508</w:t>
            </w:r>
          </w:p>
        </w:tc>
        <w:tc>
          <w:tcPr>
            <w:tcW w:w="1134"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0,710</w:t>
            </w:r>
          </w:p>
        </w:tc>
        <w:tc>
          <w:tcPr>
            <w:tcW w:w="993"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0,80</w:t>
            </w:r>
          </w:p>
        </w:tc>
        <w:tc>
          <w:tcPr>
            <w:tcW w:w="983"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0,360</w:t>
            </w:r>
          </w:p>
        </w:tc>
        <w:tc>
          <w:tcPr>
            <w:tcW w:w="1698"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0,659</w:t>
            </w:r>
          </w:p>
        </w:tc>
      </w:tr>
      <w:tr w:rsidR="00B362DA" w:rsidRPr="00FD5068" w:rsidTr="00FD5068">
        <w:tc>
          <w:tcPr>
            <w:tcW w:w="3397" w:type="dxa"/>
            <w:vAlign w:val="center"/>
          </w:tcPr>
          <w:p w:rsidR="00B362DA" w:rsidRPr="00FD5068" w:rsidRDefault="00B362DA" w:rsidP="00B362DA">
            <w:pPr>
              <w:ind w:firstLine="0"/>
              <w:jc w:val="left"/>
              <w:rPr>
                <w:rFonts w:cs="Times New Roman"/>
                <w:sz w:val="18"/>
                <w:szCs w:val="18"/>
              </w:rPr>
            </w:pPr>
            <w:r w:rsidRPr="00FD5068">
              <w:rPr>
                <w:rFonts w:cs="Times New Roman"/>
                <w:sz w:val="18"/>
                <w:szCs w:val="18"/>
              </w:rPr>
              <w:t>г. Санкт-Петербург</w:t>
            </w:r>
          </w:p>
        </w:tc>
        <w:tc>
          <w:tcPr>
            <w:tcW w:w="1134"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0,526</w:t>
            </w:r>
          </w:p>
        </w:tc>
        <w:tc>
          <w:tcPr>
            <w:tcW w:w="1134"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0,677</w:t>
            </w:r>
          </w:p>
        </w:tc>
        <w:tc>
          <w:tcPr>
            <w:tcW w:w="993"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0,796</w:t>
            </w:r>
          </w:p>
        </w:tc>
        <w:tc>
          <w:tcPr>
            <w:tcW w:w="983"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0,320</w:t>
            </w:r>
          </w:p>
        </w:tc>
        <w:tc>
          <w:tcPr>
            <w:tcW w:w="1698"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0,640</w:t>
            </w:r>
          </w:p>
        </w:tc>
      </w:tr>
      <w:tr w:rsidR="00B362DA" w:rsidRPr="00FD5068" w:rsidTr="00FD5068">
        <w:tc>
          <w:tcPr>
            <w:tcW w:w="3397" w:type="dxa"/>
            <w:vAlign w:val="center"/>
          </w:tcPr>
          <w:p w:rsidR="00B362DA" w:rsidRPr="00FD5068" w:rsidRDefault="00B362DA" w:rsidP="00B362DA">
            <w:pPr>
              <w:ind w:firstLine="0"/>
              <w:jc w:val="left"/>
              <w:rPr>
                <w:rFonts w:cs="Times New Roman"/>
                <w:sz w:val="18"/>
                <w:szCs w:val="18"/>
              </w:rPr>
            </w:pPr>
            <w:r w:rsidRPr="00FD5068">
              <w:rPr>
                <w:rFonts w:cs="Times New Roman"/>
                <w:sz w:val="18"/>
                <w:szCs w:val="18"/>
              </w:rPr>
              <w:t>Московская область</w:t>
            </w:r>
          </w:p>
        </w:tc>
        <w:tc>
          <w:tcPr>
            <w:tcW w:w="1134"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0,505</w:t>
            </w:r>
          </w:p>
        </w:tc>
        <w:tc>
          <w:tcPr>
            <w:tcW w:w="1134"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0,629</w:t>
            </w:r>
          </w:p>
        </w:tc>
        <w:tc>
          <w:tcPr>
            <w:tcW w:w="993"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0,899</w:t>
            </w:r>
          </w:p>
        </w:tc>
        <w:tc>
          <w:tcPr>
            <w:tcW w:w="983"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0,209</w:t>
            </w:r>
          </w:p>
        </w:tc>
        <w:tc>
          <w:tcPr>
            <w:tcW w:w="1698"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0,624</w:t>
            </w:r>
          </w:p>
        </w:tc>
      </w:tr>
      <w:tr w:rsidR="00B362DA" w:rsidRPr="00FD5068" w:rsidTr="00FD5068">
        <w:trPr>
          <w:trHeight w:val="50"/>
        </w:trPr>
        <w:tc>
          <w:tcPr>
            <w:tcW w:w="9339" w:type="dxa"/>
            <w:gridSpan w:val="6"/>
            <w:vAlign w:val="center"/>
          </w:tcPr>
          <w:p w:rsidR="00B362DA" w:rsidRPr="00FD5068" w:rsidRDefault="00B362DA" w:rsidP="00B362DA">
            <w:pPr>
              <w:ind w:firstLine="0"/>
              <w:rPr>
                <w:rFonts w:cs="Times New Roman"/>
                <w:sz w:val="18"/>
                <w:szCs w:val="18"/>
              </w:rPr>
            </w:pPr>
          </w:p>
        </w:tc>
      </w:tr>
      <w:tr w:rsidR="00B362DA" w:rsidRPr="00FD5068" w:rsidTr="00FD5068">
        <w:tc>
          <w:tcPr>
            <w:tcW w:w="3397" w:type="dxa"/>
            <w:vAlign w:val="center"/>
          </w:tcPr>
          <w:p w:rsidR="00B362DA" w:rsidRPr="00FD5068" w:rsidRDefault="00B362DA" w:rsidP="00B362DA">
            <w:pPr>
              <w:ind w:firstLine="0"/>
              <w:jc w:val="left"/>
              <w:rPr>
                <w:rFonts w:cs="Times New Roman"/>
                <w:sz w:val="18"/>
                <w:szCs w:val="18"/>
              </w:rPr>
            </w:pPr>
            <w:r w:rsidRPr="00FD5068">
              <w:rPr>
                <w:rFonts w:cs="Times New Roman"/>
                <w:sz w:val="18"/>
                <w:szCs w:val="18"/>
              </w:rPr>
              <w:t>Республика Карелия</w:t>
            </w:r>
          </w:p>
        </w:tc>
        <w:tc>
          <w:tcPr>
            <w:tcW w:w="1134"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0,247</w:t>
            </w:r>
          </w:p>
        </w:tc>
        <w:tc>
          <w:tcPr>
            <w:tcW w:w="1134"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0,322</w:t>
            </w:r>
          </w:p>
        </w:tc>
        <w:tc>
          <w:tcPr>
            <w:tcW w:w="993"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0,394</w:t>
            </w:r>
          </w:p>
        </w:tc>
        <w:tc>
          <w:tcPr>
            <w:tcW w:w="983"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0,373</w:t>
            </w:r>
          </w:p>
        </w:tc>
        <w:tc>
          <w:tcPr>
            <w:tcW w:w="1698"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0,336</w:t>
            </w:r>
          </w:p>
        </w:tc>
      </w:tr>
      <w:tr w:rsidR="00B362DA" w:rsidRPr="00FD5068" w:rsidTr="00FD5068">
        <w:tc>
          <w:tcPr>
            <w:tcW w:w="3397" w:type="dxa"/>
            <w:vAlign w:val="center"/>
          </w:tcPr>
          <w:p w:rsidR="00B362DA" w:rsidRPr="00FD5068" w:rsidRDefault="00B362DA" w:rsidP="00B362DA">
            <w:pPr>
              <w:ind w:firstLine="0"/>
              <w:jc w:val="left"/>
              <w:rPr>
                <w:rFonts w:cs="Times New Roman"/>
                <w:sz w:val="18"/>
                <w:szCs w:val="18"/>
              </w:rPr>
            </w:pPr>
            <w:r w:rsidRPr="00FD5068">
              <w:rPr>
                <w:rFonts w:cs="Times New Roman"/>
                <w:sz w:val="18"/>
                <w:szCs w:val="18"/>
              </w:rPr>
              <w:t>Республика Коми</w:t>
            </w:r>
          </w:p>
        </w:tc>
        <w:tc>
          <w:tcPr>
            <w:tcW w:w="1134"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0,171</w:t>
            </w:r>
          </w:p>
        </w:tc>
        <w:tc>
          <w:tcPr>
            <w:tcW w:w="1134"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0,289</w:t>
            </w:r>
          </w:p>
        </w:tc>
        <w:tc>
          <w:tcPr>
            <w:tcW w:w="993"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0,493</w:t>
            </w:r>
          </w:p>
        </w:tc>
        <w:tc>
          <w:tcPr>
            <w:tcW w:w="983"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0,404</w:t>
            </w:r>
          </w:p>
        </w:tc>
        <w:tc>
          <w:tcPr>
            <w:tcW w:w="1698"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0,336</w:t>
            </w:r>
          </w:p>
        </w:tc>
      </w:tr>
      <w:tr w:rsidR="00B362DA" w:rsidRPr="00FD5068" w:rsidTr="00FD5068">
        <w:tc>
          <w:tcPr>
            <w:tcW w:w="3397" w:type="dxa"/>
            <w:vAlign w:val="center"/>
          </w:tcPr>
          <w:p w:rsidR="00B362DA" w:rsidRPr="00FD5068" w:rsidRDefault="00B362DA" w:rsidP="00B362DA">
            <w:pPr>
              <w:ind w:firstLine="0"/>
              <w:jc w:val="left"/>
              <w:rPr>
                <w:rFonts w:cs="Times New Roman"/>
                <w:sz w:val="18"/>
                <w:szCs w:val="18"/>
              </w:rPr>
            </w:pPr>
            <w:r w:rsidRPr="00FD5068">
              <w:rPr>
                <w:rFonts w:cs="Times New Roman"/>
                <w:sz w:val="18"/>
                <w:szCs w:val="18"/>
              </w:rPr>
              <w:t>Еврейская АО</w:t>
            </w:r>
          </w:p>
        </w:tc>
        <w:tc>
          <w:tcPr>
            <w:tcW w:w="1134"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0,142</w:t>
            </w:r>
          </w:p>
        </w:tc>
        <w:tc>
          <w:tcPr>
            <w:tcW w:w="1134"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0,335</w:t>
            </w:r>
          </w:p>
        </w:tc>
        <w:tc>
          <w:tcPr>
            <w:tcW w:w="993"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0,490</w:t>
            </w:r>
          </w:p>
        </w:tc>
        <w:tc>
          <w:tcPr>
            <w:tcW w:w="983"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0,331</w:t>
            </w:r>
          </w:p>
        </w:tc>
        <w:tc>
          <w:tcPr>
            <w:tcW w:w="1698" w:type="dxa"/>
            <w:vAlign w:val="center"/>
          </w:tcPr>
          <w:p w:rsidR="00B362DA" w:rsidRPr="00FD5068" w:rsidRDefault="00B362DA" w:rsidP="00B362DA">
            <w:pPr>
              <w:ind w:firstLine="0"/>
              <w:jc w:val="center"/>
              <w:rPr>
                <w:rFonts w:cs="Times New Roman"/>
                <w:sz w:val="18"/>
                <w:szCs w:val="18"/>
              </w:rPr>
            </w:pPr>
            <w:r w:rsidRPr="00FD5068">
              <w:rPr>
                <w:rFonts w:cs="Times New Roman"/>
                <w:sz w:val="18"/>
                <w:szCs w:val="18"/>
              </w:rPr>
              <w:t>0,331</w:t>
            </w:r>
          </w:p>
        </w:tc>
      </w:tr>
    </w:tbl>
    <w:p w:rsidR="00B362DA" w:rsidRPr="00B362DA" w:rsidRDefault="00B362DA" w:rsidP="00B362DA">
      <w:pPr>
        <w:ind w:firstLine="0"/>
        <w:jc w:val="left"/>
        <w:rPr>
          <w:sz w:val="20"/>
          <w:szCs w:val="20"/>
        </w:rPr>
      </w:pPr>
      <w:r w:rsidRPr="00B362DA">
        <w:rPr>
          <w:sz w:val="20"/>
          <w:szCs w:val="20"/>
        </w:rPr>
        <w:t>Источник: составлено авторами по данным расчетов</w:t>
      </w:r>
    </w:p>
    <w:p w:rsidR="00B362DA" w:rsidRPr="00B362DA" w:rsidRDefault="00B362DA" w:rsidP="00B362DA">
      <w:pPr>
        <w:rPr>
          <w:szCs w:val="24"/>
        </w:rPr>
      </w:pPr>
      <w:r w:rsidRPr="00B362DA">
        <w:rPr>
          <w:szCs w:val="24"/>
        </w:rPr>
        <w:t xml:space="preserve">Вместе с этим </w:t>
      </w:r>
      <w:r w:rsidR="00CC12EF">
        <w:rPr>
          <w:szCs w:val="24"/>
        </w:rPr>
        <w:t>авторами</w:t>
      </w:r>
      <w:r w:rsidRPr="00B362DA">
        <w:rPr>
          <w:szCs w:val="24"/>
        </w:rPr>
        <w:t xml:space="preserve"> был проведен повторный анализ использованного ряда показателей с целью выявить наиболее важные из них для формирования (оценки) устойчивости как свойства территории. Для этого были рассчитаны коэффициенты корреляции каждого показателя относительно массива значений интегрального индекса пространственной устойчивости (</w:t>
      </w:r>
      <w:r w:rsidR="00CC12EF">
        <w:rPr>
          <w:szCs w:val="24"/>
        </w:rPr>
        <w:t>таблиц</w:t>
      </w:r>
      <w:r w:rsidR="00CC12EF" w:rsidRPr="00035D66">
        <w:rPr>
          <w:szCs w:val="24"/>
        </w:rPr>
        <w:t>а 2</w:t>
      </w:r>
      <w:r w:rsidRPr="00035D66">
        <w:rPr>
          <w:szCs w:val="24"/>
        </w:rPr>
        <w:t>).</w:t>
      </w:r>
      <w:r w:rsidRPr="00B362DA">
        <w:rPr>
          <w:szCs w:val="24"/>
        </w:rPr>
        <w:t xml:space="preserve"> </w:t>
      </w:r>
    </w:p>
    <w:p w:rsidR="00CC530D" w:rsidRPr="00CC530D" w:rsidRDefault="00B362DA" w:rsidP="00CC530D">
      <w:pPr>
        <w:keepNext/>
        <w:ind w:firstLine="0"/>
        <w:jc w:val="right"/>
        <w:rPr>
          <w:rFonts w:eastAsia="Calibri" w:cs="Times New Roman"/>
          <w:bCs/>
          <w:noProof/>
          <w:color w:val="000000"/>
          <w:szCs w:val="24"/>
          <w:lang w:eastAsia="ru-RU"/>
        </w:rPr>
      </w:pPr>
      <w:r w:rsidRPr="00CC530D">
        <w:rPr>
          <w:rFonts w:eastAsia="Calibri" w:cs="Times New Roman"/>
          <w:bCs/>
          <w:color w:val="000000"/>
          <w:szCs w:val="24"/>
          <w:lang w:eastAsia="ru-RU"/>
        </w:rPr>
        <w:t xml:space="preserve">Таблица </w:t>
      </w:r>
      <w:r w:rsidRPr="00CC530D">
        <w:rPr>
          <w:rFonts w:eastAsia="Calibri" w:cs="Times New Roman"/>
          <w:bCs/>
          <w:color w:val="000000"/>
          <w:szCs w:val="24"/>
          <w:lang w:eastAsia="ru-RU"/>
        </w:rPr>
        <w:fldChar w:fldCharType="begin"/>
      </w:r>
      <w:r w:rsidRPr="00CC530D">
        <w:rPr>
          <w:rFonts w:eastAsia="Calibri" w:cs="Times New Roman"/>
          <w:bCs/>
          <w:color w:val="000000"/>
          <w:szCs w:val="24"/>
          <w:lang w:eastAsia="ru-RU"/>
        </w:rPr>
        <w:instrText xml:space="preserve"> SEQ Таблица \* ARABIC </w:instrText>
      </w:r>
      <w:r w:rsidRPr="00CC530D">
        <w:rPr>
          <w:rFonts w:eastAsia="Calibri" w:cs="Times New Roman"/>
          <w:bCs/>
          <w:color w:val="000000"/>
          <w:szCs w:val="24"/>
          <w:lang w:eastAsia="ru-RU"/>
        </w:rPr>
        <w:fldChar w:fldCharType="separate"/>
      </w:r>
      <w:r w:rsidRPr="00CC530D">
        <w:rPr>
          <w:rFonts w:eastAsia="Calibri" w:cs="Times New Roman"/>
          <w:bCs/>
          <w:noProof/>
          <w:color w:val="000000"/>
          <w:szCs w:val="24"/>
          <w:lang w:eastAsia="ru-RU"/>
        </w:rPr>
        <w:t>2</w:t>
      </w:r>
      <w:r w:rsidRPr="00CC530D">
        <w:rPr>
          <w:rFonts w:eastAsia="Calibri" w:cs="Times New Roman"/>
          <w:bCs/>
          <w:noProof/>
          <w:color w:val="000000"/>
          <w:szCs w:val="24"/>
          <w:lang w:eastAsia="ru-RU"/>
        </w:rPr>
        <w:fldChar w:fldCharType="end"/>
      </w:r>
    </w:p>
    <w:p w:rsidR="00B362DA" w:rsidRPr="00CC530D" w:rsidRDefault="00B362DA" w:rsidP="00CC530D">
      <w:pPr>
        <w:keepNext/>
        <w:ind w:firstLine="0"/>
        <w:jc w:val="center"/>
        <w:rPr>
          <w:rFonts w:eastAsia="Calibri" w:cs="Times New Roman"/>
          <w:bCs/>
          <w:color w:val="000000"/>
          <w:szCs w:val="24"/>
          <w:lang w:eastAsia="ru-RU"/>
        </w:rPr>
      </w:pPr>
      <w:r w:rsidRPr="00CC530D">
        <w:rPr>
          <w:rFonts w:eastAsia="Calibri" w:cs="Times New Roman"/>
          <w:bCs/>
          <w:color w:val="000000"/>
          <w:szCs w:val="24"/>
          <w:lang w:eastAsia="ru-RU"/>
        </w:rPr>
        <w:t>Составляющие устойчивости территории</w:t>
      </w:r>
    </w:p>
    <w:tbl>
      <w:tblPr>
        <w:tblStyle w:val="a3"/>
        <w:tblW w:w="9351" w:type="dxa"/>
        <w:tblLook w:val="04A0" w:firstRow="1" w:lastRow="0" w:firstColumn="1" w:lastColumn="0" w:noHBand="0" w:noVBand="1"/>
      </w:tblPr>
      <w:tblGrid>
        <w:gridCol w:w="3114"/>
        <w:gridCol w:w="3260"/>
        <w:gridCol w:w="2977"/>
      </w:tblGrid>
      <w:tr w:rsidR="00B362DA" w:rsidRPr="00FD5068" w:rsidTr="008D63E2">
        <w:trPr>
          <w:trHeight w:val="300"/>
          <w:tblHeader/>
        </w:trPr>
        <w:tc>
          <w:tcPr>
            <w:tcW w:w="3114" w:type="dxa"/>
            <w:vAlign w:val="center"/>
          </w:tcPr>
          <w:p w:rsidR="00B362DA" w:rsidRPr="00FD5068" w:rsidRDefault="00B362DA" w:rsidP="00B362DA">
            <w:pPr>
              <w:ind w:firstLine="0"/>
              <w:jc w:val="center"/>
              <w:rPr>
                <w:rFonts w:cs="Times New Roman"/>
                <w:b/>
                <w:sz w:val="18"/>
                <w:szCs w:val="18"/>
              </w:rPr>
            </w:pPr>
            <w:r w:rsidRPr="00FD5068">
              <w:rPr>
                <w:rFonts w:cs="Times New Roman"/>
                <w:b/>
                <w:sz w:val="18"/>
                <w:szCs w:val="18"/>
              </w:rPr>
              <w:t>Показатель</w:t>
            </w:r>
          </w:p>
        </w:tc>
        <w:tc>
          <w:tcPr>
            <w:tcW w:w="3260" w:type="dxa"/>
            <w:noWrap/>
            <w:vAlign w:val="center"/>
          </w:tcPr>
          <w:p w:rsidR="00B362DA" w:rsidRPr="00FD5068" w:rsidRDefault="00B362DA" w:rsidP="00B362DA">
            <w:pPr>
              <w:ind w:firstLine="0"/>
              <w:jc w:val="center"/>
              <w:rPr>
                <w:rFonts w:cs="Times New Roman"/>
                <w:b/>
                <w:sz w:val="18"/>
                <w:szCs w:val="18"/>
              </w:rPr>
            </w:pPr>
            <w:r w:rsidRPr="00FD5068">
              <w:rPr>
                <w:rFonts w:cs="Times New Roman"/>
                <w:b/>
                <w:sz w:val="18"/>
                <w:szCs w:val="18"/>
              </w:rPr>
              <w:t>Тематическая группа</w:t>
            </w:r>
          </w:p>
        </w:tc>
        <w:tc>
          <w:tcPr>
            <w:tcW w:w="2977" w:type="dxa"/>
            <w:noWrap/>
            <w:vAlign w:val="center"/>
          </w:tcPr>
          <w:p w:rsidR="00B362DA" w:rsidRPr="00FD5068" w:rsidRDefault="00B362DA" w:rsidP="00B362DA">
            <w:pPr>
              <w:ind w:firstLine="0"/>
              <w:jc w:val="center"/>
              <w:rPr>
                <w:rFonts w:cs="Times New Roman"/>
                <w:b/>
                <w:sz w:val="18"/>
                <w:szCs w:val="18"/>
              </w:rPr>
            </w:pPr>
            <w:r w:rsidRPr="00FD5068">
              <w:rPr>
                <w:rFonts w:cs="Times New Roman"/>
                <w:b/>
                <w:sz w:val="18"/>
                <w:szCs w:val="18"/>
              </w:rPr>
              <w:t xml:space="preserve">Коэффициент корреляции с индексом устойчивости </w:t>
            </w:r>
          </w:p>
        </w:tc>
      </w:tr>
      <w:tr w:rsidR="00B362DA" w:rsidRPr="00FD5068" w:rsidTr="008D63E2">
        <w:trPr>
          <w:trHeight w:val="300"/>
        </w:trPr>
        <w:tc>
          <w:tcPr>
            <w:tcW w:w="3114" w:type="dxa"/>
            <w:vAlign w:val="center"/>
            <w:hideMark/>
          </w:tcPr>
          <w:p w:rsidR="00B362DA" w:rsidRPr="00FD5068" w:rsidRDefault="00B362DA" w:rsidP="00B362DA">
            <w:pPr>
              <w:ind w:firstLine="0"/>
              <w:jc w:val="left"/>
              <w:rPr>
                <w:rFonts w:cs="Times New Roman"/>
                <w:sz w:val="18"/>
                <w:szCs w:val="18"/>
              </w:rPr>
            </w:pPr>
            <w:r w:rsidRPr="00FD5068">
              <w:rPr>
                <w:rFonts w:cs="Times New Roman"/>
                <w:sz w:val="18"/>
                <w:szCs w:val="18"/>
              </w:rPr>
              <w:t>ВРП (абсолютные значения)</w:t>
            </w:r>
          </w:p>
        </w:tc>
        <w:tc>
          <w:tcPr>
            <w:tcW w:w="3260"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Экономическое развитие</w:t>
            </w:r>
          </w:p>
        </w:tc>
        <w:tc>
          <w:tcPr>
            <w:tcW w:w="2977"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0,619</w:t>
            </w:r>
          </w:p>
        </w:tc>
      </w:tr>
      <w:tr w:rsidR="00B362DA" w:rsidRPr="00FD5068" w:rsidTr="008D63E2">
        <w:trPr>
          <w:trHeight w:val="300"/>
        </w:trPr>
        <w:tc>
          <w:tcPr>
            <w:tcW w:w="3114" w:type="dxa"/>
            <w:vAlign w:val="center"/>
            <w:hideMark/>
          </w:tcPr>
          <w:p w:rsidR="00B362DA" w:rsidRPr="00FD5068" w:rsidRDefault="00B362DA" w:rsidP="00B362DA">
            <w:pPr>
              <w:ind w:firstLine="0"/>
              <w:jc w:val="left"/>
              <w:rPr>
                <w:rFonts w:cs="Times New Roman"/>
                <w:sz w:val="18"/>
                <w:szCs w:val="18"/>
              </w:rPr>
            </w:pPr>
            <w:r w:rsidRPr="00FD5068">
              <w:rPr>
                <w:rFonts w:cs="Times New Roman"/>
                <w:sz w:val="18"/>
                <w:szCs w:val="18"/>
              </w:rPr>
              <w:t>ВРП (</w:t>
            </w:r>
            <w:proofErr w:type="spellStart"/>
            <w:r w:rsidRPr="00FD5068">
              <w:rPr>
                <w:rFonts w:cs="Times New Roman"/>
                <w:sz w:val="18"/>
                <w:szCs w:val="18"/>
              </w:rPr>
              <w:t>подушевой</w:t>
            </w:r>
            <w:proofErr w:type="spellEnd"/>
            <w:r w:rsidRPr="00FD5068">
              <w:rPr>
                <w:rFonts w:cs="Times New Roman"/>
                <w:sz w:val="18"/>
                <w:szCs w:val="18"/>
              </w:rPr>
              <w:t>)</w:t>
            </w:r>
          </w:p>
        </w:tc>
        <w:tc>
          <w:tcPr>
            <w:tcW w:w="3260"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Экономическое развитие</w:t>
            </w:r>
          </w:p>
        </w:tc>
        <w:tc>
          <w:tcPr>
            <w:tcW w:w="2977"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0,618</w:t>
            </w:r>
          </w:p>
        </w:tc>
      </w:tr>
      <w:tr w:rsidR="00B362DA" w:rsidRPr="00FD5068" w:rsidTr="008D63E2">
        <w:trPr>
          <w:trHeight w:val="300"/>
        </w:trPr>
        <w:tc>
          <w:tcPr>
            <w:tcW w:w="3114" w:type="dxa"/>
            <w:vAlign w:val="center"/>
            <w:hideMark/>
          </w:tcPr>
          <w:p w:rsidR="00B362DA" w:rsidRPr="00FD5068" w:rsidRDefault="00B362DA" w:rsidP="00B362DA">
            <w:pPr>
              <w:ind w:firstLine="0"/>
              <w:jc w:val="left"/>
              <w:rPr>
                <w:rFonts w:cs="Times New Roman"/>
                <w:sz w:val="18"/>
                <w:szCs w:val="18"/>
              </w:rPr>
            </w:pPr>
            <w:r w:rsidRPr="00FD5068">
              <w:rPr>
                <w:rFonts w:cs="Times New Roman"/>
                <w:sz w:val="18"/>
                <w:szCs w:val="18"/>
              </w:rPr>
              <w:t>Миграционный прирост</w:t>
            </w:r>
          </w:p>
        </w:tc>
        <w:tc>
          <w:tcPr>
            <w:tcW w:w="3260"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Демографическое развитие</w:t>
            </w:r>
          </w:p>
        </w:tc>
        <w:tc>
          <w:tcPr>
            <w:tcW w:w="2977"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0,608</w:t>
            </w:r>
          </w:p>
        </w:tc>
      </w:tr>
      <w:tr w:rsidR="00B362DA" w:rsidRPr="00FD5068" w:rsidTr="008D63E2">
        <w:trPr>
          <w:trHeight w:val="300"/>
        </w:trPr>
        <w:tc>
          <w:tcPr>
            <w:tcW w:w="3114" w:type="dxa"/>
            <w:vAlign w:val="center"/>
            <w:hideMark/>
          </w:tcPr>
          <w:p w:rsidR="00B362DA" w:rsidRPr="00FD5068" w:rsidRDefault="00B362DA" w:rsidP="00B362DA">
            <w:pPr>
              <w:ind w:firstLine="0"/>
              <w:jc w:val="left"/>
              <w:rPr>
                <w:rFonts w:cs="Times New Roman"/>
                <w:sz w:val="18"/>
                <w:szCs w:val="18"/>
              </w:rPr>
            </w:pPr>
            <w:r w:rsidRPr="00FD5068">
              <w:rPr>
                <w:rFonts w:cs="Times New Roman"/>
                <w:sz w:val="18"/>
                <w:szCs w:val="18"/>
              </w:rPr>
              <w:t>Общая динамика населения</w:t>
            </w:r>
          </w:p>
        </w:tc>
        <w:tc>
          <w:tcPr>
            <w:tcW w:w="3260"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Демографическое развитие</w:t>
            </w:r>
          </w:p>
        </w:tc>
        <w:tc>
          <w:tcPr>
            <w:tcW w:w="2977"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0,566</w:t>
            </w:r>
          </w:p>
        </w:tc>
      </w:tr>
      <w:tr w:rsidR="00B362DA" w:rsidRPr="00FD5068" w:rsidTr="008D63E2">
        <w:trPr>
          <w:trHeight w:val="300"/>
        </w:trPr>
        <w:tc>
          <w:tcPr>
            <w:tcW w:w="3114" w:type="dxa"/>
            <w:vAlign w:val="center"/>
            <w:hideMark/>
          </w:tcPr>
          <w:p w:rsidR="00B362DA" w:rsidRPr="00FD5068" w:rsidRDefault="00B362DA" w:rsidP="00B362DA">
            <w:pPr>
              <w:ind w:firstLine="0"/>
              <w:jc w:val="left"/>
              <w:rPr>
                <w:rFonts w:cs="Times New Roman"/>
                <w:sz w:val="18"/>
                <w:szCs w:val="18"/>
              </w:rPr>
            </w:pPr>
            <w:r w:rsidRPr="00FD5068">
              <w:rPr>
                <w:rFonts w:cs="Times New Roman"/>
                <w:sz w:val="18"/>
                <w:szCs w:val="18"/>
              </w:rPr>
              <w:t>Трудовые ресурсы</w:t>
            </w:r>
          </w:p>
        </w:tc>
        <w:tc>
          <w:tcPr>
            <w:tcW w:w="3260"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Экономическое развитие</w:t>
            </w:r>
          </w:p>
        </w:tc>
        <w:tc>
          <w:tcPr>
            <w:tcW w:w="2977"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0,537</w:t>
            </w:r>
          </w:p>
        </w:tc>
      </w:tr>
      <w:tr w:rsidR="00B362DA" w:rsidRPr="00FD5068" w:rsidTr="008D63E2">
        <w:trPr>
          <w:trHeight w:val="300"/>
        </w:trPr>
        <w:tc>
          <w:tcPr>
            <w:tcW w:w="3114" w:type="dxa"/>
            <w:vAlign w:val="center"/>
            <w:hideMark/>
          </w:tcPr>
          <w:p w:rsidR="00B362DA" w:rsidRPr="00FD5068" w:rsidRDefault="00B362DA" w:rsidP="00B362DA">
            <w:pPr>
              <w:ind w:firstLine="0"/>
              <w:jc w:val="left"/>
              <w:rPr>
                <w:rFonts w:cs="Times New Roman"/>
                <w:sz w:val="18"/>
                <w:szCs w:val="18"/>
              </w:rPr>
            </w:pPr>
            <w:r w:rsidRPr="00FD5068">
              <w:rPr>
                <w:rFonts w:cs="Times New Roman"/>
                <w:sz w:val="18"/>
                <w:szCs w:val="18"/>
              </w:rPr>
              <w:t>Доходы населения</w:t>
            </w:r>
          </w:p>
        </w:tc>
        <w:tc>
          <w:tcPr>
            <w:tcW w:w="3260"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Экономическое развитие</w:t>
            </w:r>
          </w:p>
        </w:tc>
        <w:tc>
          <w:tcPr>
            <w:tcW w:w="2977"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0,535</w:t>
            </w:r>
          </w:p>
        </w:tc>
      </w:tr>
      <w:tr w:rsidR="00B362DA" w:rsidRPr="00FD5068" w:rsidTr="008D63E2">
        <w:trPr>
          <w:trHeight w:val="300"/>
        </w:trPr>
        <w:tc>
          <w:tcPr>
            <w:tcW w:w="3114" w:type="dxa"/>
            <w:vAlign w:val="center"/>
            <w:hideMark/>
          </w:tcPr>
          <w:p w:rsidR="00B362DA" w:rsidRPr="00FD5068" w:rsidRDefault="00B362DA" w:rsidP="00B362DA">
            <w:pPr>
              <w:ind w:firstLine="0"/>
              <w:jc w:val="left"/>
              <w:rPr>
                <w:rFonts w:cs="Times New Roman"/>
                <w:sz w:val="18"/>
                <w:szCs w:val="18"/>
              </w:rPr>
            </w:pPr>
            <w:r w:rsidRPr="00FD5068">
              <w:rPr>
                <w:rFonts w:cs="Times New Roman"/>
                <w:sz w:val="18"/>
                <w:szCs w:val="18"/>
              </w:rPr>
              <w:t>И</w:t>
            </w:r>
            <w:r w:rsidR="00035D66">
              <w:rPr>
                <w:rFonts w:cs="Times New Roman"/>
                <w:sz w:val="18"/>
                <w:szCs w:val="18"/>
              </w:rPr>
              <w:t xml:space="preserve">ндекс </w:t>
            </w:r>
            <w:proofErr w:type="spellStart"/>
            <w:r w:rsidR="00035D66">
              <w:rPr>
                <w:rFonts w:cs="Times New Roman"/>
                <w:sz w:val="18"/>
                <w:szCs w:val="18"/>
              </w:rPr>
              <w:t>постиндустриальности</w:t>
            </w:r>
            <w:proofErr w:type="spellEnd"/>
            <w:r w:rsidR="00035D66">
              <w:rPr>
                <w:rFonts w:cs="Times New Roman"/>
                <w:sz w:val="18"/>
                <w:szCs w:val="18"/>
              </w:rPr>
              <w:t xml:space="preserve"> экономики</w:t>
            </w:r>
          </w:p>
        </w:tc>
        <w:tc>
          <w:tcPr>
            <w:tcW w:w="3260"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Экономическое развитие</w:t>
            </w:r>
          </w:p>
        </w:tc>
        <w:tc>
          <w:tcPr>
            <w:tcW w:w="2977"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0,524</w:t>
            </w:r>
          </w:p>
        </w:tc>
      </w:tr>
      <w:tr w:rsidR="00B362DA" w:rsidRPr="00FD5068" w:rsidTr="008D63E2">
        <w:trPr>
          <w:trHeight w:val="300"/>
        </w:trPr>
        <w:tc>
          <w:tcPr>
            <w:tcW w:w="3114" w:type="dxa"/>
            <w:vAlign w:val="center"/>
            <w:hideMark/>
          </w:tcPr>
          <w:p w:rsidR="00B362DA" w:rsidRPr="00FD5068" w:rsidRDefault="00B362DA" w:rsidP="00B362DA">
            <w:pPr>
              <w:ind w:firstLine="0"/>
              <w:jc w:val="left"/>
              <w:rPr>
                <w:rFonts w:cs="Times New Roman"/>
                <w:sz w:val="18"/>
                <w:szCs w:val="18"/>
              </w:rPr>
            </w:pPr>
            <w:proofErr w:type="spellStart"/>
            <w:r w:rsidRPr="00FD5068">
              <w:rPr>
                <w:rFonts w:cs="Times New Roman"/>
                <w:sz w:val="18"/>
                <w:szCs w:val="18"/>
              </w:rPr>
              <w:t>Транспортоемкость</w:t>
            </w:r>
            <w:proofErr w:type="spellEnd"/>
            <w:r w:rsidRPr="00FD5068">
              <w:rPr>
                <w:rFonts w:cs="Times New Roman"/>
                <w:sz w:val="18"/>
                <w:szCs w:val="18"/>
              </w:rPr>
              <w:t xml:space="preserve"> экономики</w:t>
            </w:r>
          </w:p>
        </w:tc>
        <w:tc>
          <w:tcPr>
            <w:tcW w:w="3260"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Инфраструктурное развитие</w:t>
            </w:r>
          </w:p>
        </w:tc>
        <w:tc>
          <w:tcPr>
            <w:tcW w:w="2977"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0,496</w:t>
            </w:r>
          </w:p>
        </w:tc>
      </w:tr>
      <w:tr w:rsidR="00B362DA" w:rsidRPr="00FD5068" w:rsidTr="008D63E2">
        <w:trPr>
          <w:trHeight w:val="300"/>
        </w:trPr>
        <w:tc>
          <w:tcPr>
            <w:tcW w:w="3114" w:type="dxa"/>
            <w:vAlign w:val="center"/>
            <w:hideMark/>
          </w:tcPr>
          <w:p w:rsidR="00B362DA" w:rsidRPr="00FD5068" w:rsidRDefault="00B362DA" w:rsidP="00B362DA">
            <w:pPr>
              <w:ind w:firstLine="0"/>
              <w:jc w:val="left"/>
              <w:rPr>
                <w:rFonts w:cs="Times New Roman"/>
                <w:sz w:val="18"/>
                <w:szCs w:val="18"/>
              </w:rPr>
            </w:pPr>
            <w:r w:rsidRPr="00FD5068">
              <w:rPr>
                <w:rFonts w:cs="Times New Roman"/>
                <w:sz w:val="18"/>
                <w:szCs w:val="18"/>
              </w:rPr>
              <w:t>Энергоемкость экономики</w:t>
            </w:r>
          </w:p>
        </w:tc>
        <w:tc>
          <w:tcPr>
            <w:tcW w:w="3260"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Инфраструктурное развитие</w:t>
            </w:r>
          </w:p>
        </w:tc>
        <w:tc>
          <w:tcPr>
            <w:tcW w:w="2977"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0,445</w:t>
            </w:r>
          </w:p>
        </w:tc>
      </w:tr>
      <w:tr w:rsidR="00B362DA" w:rsidRPr="00FD5068" w:rsidTr="008D63E2">
        <w:trPr>
          <w:trHeight w:val="300"/>
        </w:trPr>
        <w:tc>
          <w:tcPr>
            <w:tcW w:w="3114" w:type="dxa"/>
            <w:vAlign w:val="center"/>
            <w:hideMark/>
          </w:tcPr>
          <w:p w:rsidR="00B362DA" w:rsidRPr="00FD5068" w:rsidRDefault="00B362DA" w:rsidP="00B362DA">
            <w:pPr>
              <w:ind w:firstLine="0"/>
              <w:jc w:val="left"/>
              <w:rPr>
                <w:rFonts w:cs="Times New Roman"/>
                <w:sz w:val="18"/>
                <w:szCs w:val="18"/>
              </w:rPr>
            </w:pPr>
            <w:r w:rsidRPr="00FD5068">
              <w:rPr>
                <w:rFonts w:cs="Times New Roman"/>
                <w:sz w:val="18"/>
                <w:szCs w:val="18"/>
              </w:rPr>
              <w:t>Износ фондов</w:t>
            </w:r>
          </w:p>
        </w:tc>
        <w:tc>
          <w:tcPr>
            <w:tcW w:w="3260"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Экономическое развитие</w:t>
            </w:r>
          </w:p>
        </w:tc>
        <w:tc>
          <w:tcPr>
            <w:tcW w:w="2977"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0,407</w:t>
            </w:r>
          </w:p>
        </w:tc>
      </w:tr>
      <w:tr w:rsidR="00B362DA" w:rsidRPr="00FD5068" w:rsidTr="008D63E2">
        <w:trPr>
          <w:trHeight w:val="300"/>
        </w:trPr>
        <w:tc>
          <w:tcPr>
            <w:tcW w:w="3114" w:type="dxa"/>
            <w:vAlign w:val="center"/>
            <w:hideMark/>
          </w:tcPr>
          <w:p w:rsidR="00B362DA" w:rsidRPr="00FD5068" w:rsidRDefault="00B362DA" w:rsidP="00B362DA">
            <w:pPr>
              <w:ind w:firstLine="0"/>
              <w:jc w:val="left"/>
              <w:rPr>
                <w:rFonts w:cs="Times New Roman"/>
                <w:sz w:val="18"/>
                <w:szCs w:val="18"/>
              </w:rPr>
            </w:pPr>
            <w:r w:rsidRPr="00FD5068">
              <w:rPr>
                <w:rFonts w:cs="Times New Roman"/>
                <w:sz w:val="18"/>
                <w:szCs w:val="18"/>
              </w:rPr>
              <w:t>Ввод жилья</w:t>
            </w:r>
          </w:p>
        </w:tc>
        <w:tc>
          <w:tcPr>
            <w:tcW w:w="3260"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Инфраструктурное развитие</w:t>
            </w:r>
          </w:p>
        </w:tc>
        <w:tc>
          <w:tcPr>
            <w:tcW w:w="2977"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0,406</w:t>
            </w:r>
          </w:p>
        </w:tc>
      </w:tr>
      <w:tr w:rsidR="00B362DA" w:rsidRPr="00FD5068" w:rsidTr="008D63E2">
        <w:trPr>
          <w:trHeight w:val="300"/>
        </w:trPr>
        <w:tc>
          <w:tcPr>
            <w:tcW w:w="3114" w:type="dxa"/>
            <w:vAlign w:val="center"/>
            <w:hideMark/>
          </w:tcPr>
          <w:p w:rsidR="00B362DA" w:rsidRPr="00FD5068" w:rsidRDefault="00B362DA" w:rsidP="00B362DA">
            <w:pPr>
              <w:ind w:firstLine="0"/>
              <w:jc w:val="left"/>
              <w:rPr>
                <w:rFonts w:cs="Times New Roman"/>
                <w:sz w:val="18"/>
                <w:szCs w:val="18"/>
              </w:rPr>
            </w:pPr>
            <w:r w:rsidRPr="00FD5068">
              <w:rPr>
                <w:rFonts w:cs="Times New Roman"/>
                <w:sz w:val="18"/>
                <w:szCs w:val="18"/>
              </w:rPr>
              <w:t>Подвижность населения</w:t>
            </w:r>
          </w:p>
        </w:tc>
        <w:tc>
          <w:tcPr>
            <w:tcW w:w="3260"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Инфраструктурное развитие</w:t>
            </w:r>
          </w:p>
        </w:tc>
        <w:tc>
          <w:tcPr>
            <w:tcW w:w="2977"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0,401</w:t>
            </w:r>
          </w:p>
        </w:tc>
      </w:tr>
      <w:tr w:rsidR="00B362DA" w:rsidRPr="00FD5068" w:rsidTr="008D63E2">
        <w:trPr>
          <w:trHeight w:val="300"/>
        </w:trPr>
        <w:tc>
          <w:tcPr>
            <w:tcW w:w="3114" w:type="dxa"/>
            <w:vAlign w:val="center"/>
            <w:hideMark/>
          </w:tcPr>
          <w:p w:rsidR="00B362DA" w:rsidRPr="00FD5068" w:rsidRDefault="00B362DA" w:rsidP="00B362DA">
            <w:pPr>
              <w:ind w:firstLine="0"/>
              <w:jc w:val="left"/>
              <w:rPr>
                <w:rFonts w:cs="Times New Roman"/>
                <w:sz w:val="18"/>
                <w:szCs w:val="18"/>
              </w:rPr>
            </w:pPr>
            <w:r w:rsidRPr="00FD5068">
              <w:rPr>
                <w:rFonts w:cs="Times New Roman"/>
                <w:sz w:val="18"/>
                <w:szCs w:val="18"/>
              </w:rPr>
              <w:t>Демографическая нагрузка</w:t>
            </w:r>
          </w:p>
        </w:tc>
        <w:tc>
          <w:tcPr>
            <w:tcW w:w="3260"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Демографическое развитие</w:t>
            </w:r>
          </w:p>
        </w:tc>
        <w:tc>
          <w:tcPr>
            <w:tcW w:w="2977"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0,277</w:t>
            </w:r>
          </w:p>
        </w:tc>
      </w:tr>
      <w:tr w:rsidR="00B362DA" w:rsidRPr="00FD5068" w:rsidTr="008D63E2">
        <w:trPr>
          <w:trHeight w:val="300"/>
        </w:trPr>
        <w:tc>
          <w:tcPr>
            <w:tcW w:w="3114" w:type="dxa"/>
            <w:vAlign w:val="center"/>
            <w:hideMark/>
          </w:tcPr>
          <w:p w:rsidR="00B362DA" w:rsidRPr="00FD5068" w:rsidRDefault="00B362DA" w:rsidP="00B362DA">
            <w:pPr>
              <w:ind w:firstLine="0"/>
              <w:jc w:val="left"/>
              <w:rPr>
                <w:rFonts w:cs="Times New Roman"/>
                <w:sz w:val="18"/>
                <w:szCs w:val="18"/>
              </w:rPr>
            </w:pPr>
            <w:r w:rsidRPr="00FD5068">
              <w:rPr>
                <w:rFonts w:cs="Times New Roman"/>
                <w:sz w:val="18"/>
                <w:szCs w:val="18"/>
              </w:rPr>
              <w:t>Безработица</w:t>
            </w:r>
          </w:p>
        </w:tc>
        <w:tc>
          <w:tcPr>
            <w:tcW w:w="3260"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Экономическое развитие</w:t>
            </w:r>
          </w:p>
        </w:tc>
        <w:tc>
          <w:tcPr>
            <w:tcW w:w="2977"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0,253</w:t>
            </w:r>
          </w:p>
        </w:tc>
      </w:tr>
      <w:tr w:rsidR="00B362DA" w:rsidRPr="00FD5068" w:rsidTr="008D63E2">
        <w:trPr>
          <w:trHeight w:val="300"/>
        </w:trPr>
        <w:tc>
          <w:tcPr>
            <w:tcW w:w="3114" w:type="dxa"/>
            <w:vAlign w:val="center"/>
            <w:hideMark/>
          </w:tcPr>
          <w:p w:rsidR="00B362DA" w:rsidRPr="00FD5068" w:rsidRDefault="00B362DA" w:rsidP="00B362DA">
            <w:pPr>
              <w:ind w:firstLine="0"/>
              <w:jc w:val="left"/>
              <w:rPr>
                <w:rFonts w:cs="Times New Roman"/>
                <w:sz w:val="18"/>
                <w:szCs w:val="18"/>
              </w:rPr>
            </w:pPr>
            <w:r w:rsidRPr="00FD5068">
              <w:rPr>
                <w:rFonts w:cs="Times New Roman"/>
                <w:sz w:val="18"/>
                <w:szCs w:val="18"/>
              </w:rPr>
              <w:t>Выпуск бакалавров, магистров и специалистов</w:t>
            </w:r>
          </w:p>
        </w:tc>
        <w:tc>
          <w:tcPr>
            <w:tcW w:w="3260"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Демографическое развитие</w:t>
            </w:r>
          </w:p>
        </w:tc>
        <w:tc>
          <w:tcPr>
            <w:tcW w:w="2977"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0,176</w:t>
            </w:r>
          </w:p>
        </w:tc>
      </w:tr>
      <w:tr w:rsidR="00B362DA" w:rsidRPr="00FD5068" w:rsidTr="008D63E2">
        <w:trPr>
          <w:trHeight w:val="300"/>
        </w:trPr>
        <w:tc>
          <w:tcPr>
            <w:tcW w:w="3114" w:type="dxa"/>
            <w:vAlign w:val="center"/>
            <w:hideMark/>
          </w:tcPr>
          <w:p w:rsidR="00B362DA" w:rsidRPr="00FD5068" w:rsidRDefault="00B362DA" w:rsidP="00B362DA">
            <w:pPr>
              <w:ind w:firstLine="0"/>
              <w:jc w:val="left"/>
              <w:rPr>
                <w:rFonts w:cs="Times New Roman"/>
                <w:sz w:val="18"/>
                <w:szCs w:val="18"/>
              </w:rPr>
            </w:pPr>
            <w:r w:rsidRPr="00FD5068">
              <w:rPr>
                <w:rFonts w:cs="Times New Roman"/>
                <w:sz w:val="18"/>
                <w:szCs w:val="18"/>
              </w:rPr>
              <w:t>Индекс физического объема ВРП</w:t>
            </w:r>
          </w:p>
        </w:tc>
        <w:tc>
          <w:tcPr>
            <w:tcW w:w="3260"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Экономическое развитие</w:t>
            </w:r>
          </w:p>
        </w:tc>
        <w:tc>
          <w:tcPr>
            <w:tcW w:w="2977"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0,151</w:t>
            </w:r>
          </w:p>
        </w:tc>
      </w:tr>
      <w:tr w:rsidR="00B362DA" w:rsidRPr="00FD5068" w:rsidTr="008D63E2">
        <w:trPr>
          <w:trHeight w:val="300"/>
        </w:trPr>
        <w:tc>
          <w:tcPr>
            <w:tcW w:w="3114" w:type="dxa"/>
            <w:vAlign w:val="center"/>
            <w:hideMark/>
          </w:tcPr>
          <w:p w:rsidR="00B362DA" w:rsidRPr="00FD5068" w:rsidRDefault="00B362DA" w:rsidP="00B362DA">
            <w:pPr>
              <w:ind w:firstLine="0"/>
              <w:jc w:val="left"/>
              <w:rPr>
                <w:rFonts w:cs="Times New Roman"/>
                <w:sz w:val="18"/>
                <w:szCs w:val="18"/>
              </w:rPr>
            </w:pPr>
            <w:r w:rsidRPr="00FD5068">
              <w:rPr>
                <w:rFonts w:cs="Times New Roman"/>
                <w:sz w:val="18"/>
                <w:szCs w:val="18"/>
              </w:rPr>
              <w:t>Качество окружающей среды</w:t>
            </w:r>
          </w:p>
        </w:tc>
        <w:tc>
          <w:tcPr>
            <w:tcW w:w="3260"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Экологическая ситуация</w:t>
            </w:r>
          </w:p>
        </w:tc>
        <w:tc>
          <w:tcPr>
            <w:tcW w:w="2977"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0,087</w:t>
            </w:r>
          </w:p>
        </w:tc>
      </w:tr>
      <w:tr w:rsidR="00B362DA" w:rsidRPr="00FD5068" w:rsidTr="008D63E2">
        <w:trPr>
          <w:trHeight w:val="300"/>
        </w:trPr>
        <w:tc>
          <w:tcPr>
            <w:tcW w:w="3114" w:type="dxa"/>
            <w:vAlign w:val="center"/>
            <w:hideMark/>
          </w:tcPr>
          <w:p w:rsidR="00B362DA" w:rsidRPr="00FD5068" w:rsidRDefault="00B362DA" w:rsidP="00B362DA">
            <w:pPr>
              <w:ind w:firstLine="0"/>
              <w:jc w:val="left"/>
              <w:rPr>
                <w:rFonts w:cs="Times New Roman"/>
                <w:sz w:val="18"/>
                <w:szCs w:val="18"/>
              </w:rPr>
            </w:pPr>
            <w:r w:rsidRPr="00FD5068">
              <w:rPr>
                <w:rFonts w:cs="Times New Roman"/>
                <w:sz w:val="18"/>
                <w:szCs w:val="18"/>
              </w:rPr>
              <w:t>Фондоотдача</w:t>
            </w:r>
          </w:p>
        </w:tc>
        <w:tc>
          <w:tcPr>
            <w:tcW w:w="3260"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Экономическое развитие</w:t>
            </w:r>
          </w:p>
        </w:tc>
        <w:tc>
          <w:tcPr>
            <w:tcW w:w="2977"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0,067</w:t>
            </w:r>
          </w:p>
        </w:tc>
      </w:tr>
      <w:tr w:rsidR="00B362DA" w:rsidRPr="00FD5068" w:rsidTr="008D63E2">
        <w:trPr>
          <w:trHeight w:val="300"/>
        </w:trPr>
        <w:tc>
          <w:tcPr>
            <w:tcW w:w="3114" w:type="dxa"/>
            <w:vAlign w:val="center"/>
            <w:hideMark/>
          </w:tcPr>
          <w:p w:rsidR="00B362DA" w:rsidRPr="00FD5068" w:rsidRDefault="00B362DA" w:rsidP="00B362DA">
            <w:pPr>
              <w:ind w:firstLine="0"/>
              <w:jc w:val="left"/>
              <w:rPr>
                <w:rFonts w:cs="Times New Roman"/>
                <w:sz w:val="18"/>
                <w:szCs w:val="18"/>
              </w:rPr>
            </w:pPr>
            <w:proofErr w:type="spellStart"/>
            <w:r w:rsidRPr="00FD5068">
              <w:rPr>
                <w:rFonts w:cs="Times New Roman"/>
                <w:sz w:val="18"/>
                <w:szCs w:val="18"/>
              </w:rPr>
              <w:t>Наукоемкость</w:t>
            </w:r>
            <w:proofErr w:type="spellEnd"/>
            <w:r w:rsidRPr="00FD5068">
              <w:rPr>
                <w:rFonts w:cs="Times New Roman"/>
                <w:sz w:val="18"/>
                <w:szCs w:val="18"/>
              </w:rPr>
              <w:t xml:space="preserve"> экономики</w:t>
            </w:r>
          </w:p>
        </w:tc>
        <w:tc>
          <w:tcPr>
            <w:tcW w:w="3260"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Экономическое развитие</w:t>
            </w:r>
          </w:p>
        </w:tc>
        <w:tc>
          <w:tcPr>
            <w:tcW w:w="2977"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-0,027</w:t>
            </w:r>
          </w:p>
        </w:tc>
      </w:tr>
      <w:tr w:rsidR="00B362DA" w:rsidRPr="00FD5068" w:rsidTr="008D63E2">
        <w:trPr>
          <w:trHeight w:val="300"/>
        </w:trPr>
        <w:tc>
          <w:tcPr>
            <w:tcW w:w="3114" w:type="dxa"/>
            <w:vAlign w:val="center"/>
            <w:hideMark/>
          </w:tcPr>
          <w:p w:rsidR="00B362DA" w:rsidRPr="00FD5068" w:rsidRDefault="00B362DA" w:rsidP="00B362DA">
            <w:pPr>
              <w:ind w:firstLine="0"/>
              <w:jc w:val="left"/>
              <w:rPr>
                <w:rFonts w:cs="Times New Roman"/>
                <w:sz w:val="18"/>
                <w:szCs w:val="18"/>
              </w:rPr>
            </w:pPr>
            <w:r w:rsidRPr="00FD5068">
              <w:rPr>
                <w:rFonts w:cs="Times New Roman"/>
                <w:sz w:val="18"/>
                <w:szCs w:val="18"/>
              </w:rPr>
              <w:t>Уровень затрат на экологию</w:t>
            </w:r>
          </w:p>
        </w:tc>
        <w:tc>
          <w:tcPr>
            <w:tcW w:w="3260"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Экологическая ситуация</w:t>
            </w:r>
          </w:p>
        </w:tc>
        <w:tc>
          <w:tcPr>
            <w:tcW w:w="2977"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-0,043</w:t>
            </w:r>
          </w:p>
        </w:tc>
      </w:tr>
      <w:tr w:rsidR="00B362DA" w:rsidRPr="00FD5068" w:rsidTr="008D63E2">
        <w:trPr>
          <w:trHeight w:val="300"/>
        </w:trPr>
        <w:tc>
          <w:tcPr>
            <w:tcW w:w="3114" w:type="dxa"/>
            <w:vAlign w:val="center"/>
            <w:hideMark/>
          </w:tcPr>
          <w:p w:rsidR="00B362DA" w:rsidRPr="00FD5068" w:rsidRDefault="00B362DA" w:rsidP="00B362DA">
            <w:pPr>
              <w:ind w:firstLine="0"/>
              <w:jc w:val="left"/>
              <w:rPr>
                <w:rFonts w:cs="Times New Roman"/>
                <w:sz w:val="18"/>
                <w:szCs w:val="18"/>
              </w:rPr>
            </w:pPr>
            <w:r w:rsidRPr="00FD5068">
              <w:rPr>
                <w:rFonts w:cs="Times New Roman"/>
                <w:sz w:val="18"/>
                <w:szCs w:val="18"/>
              </w:rPr>
              <w:lastRenderedPageBreak/>
              <w:t>Состояние окружающей среды</w:t>
            </w:r>
          </w:p>
        </w:tc>
        <w:tc>
          <w:tcPr>
            <w:tcW w:w="3260"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Экологическая ситуация</w:t>
            </w:r>
          </w:p>
        </w:tc>
        <w:tc>
          <w:tcPr>
            <w:tcW w:w="2977" w:type="dxa"/>
            <w:noWrap/>
            <w:vAlign w:val="center"/>
            <w:hideMark/>
          </w:tcPr>
          <w:p w:rsidR="00B362DA" w:rsidRPr="00FD5068" w:rsidRDefault="00B362DA" w:rsidP="00B362DA">
            <w:pPr>
              <w:ind w:firstLine="0"/>
              <w:jc w:val="center"/>
              <w:rPr>
                <w:rFonts w:cs="Times New Roman"/>
                <w:sz w:val="18"/>
                <w:szCs w:val="18"/>
              </w:rPr>
            </w:pPr>
            <w:r w:rsidRPr="00FD5068">
              <w:rPr>
                <w:rFonts w:cs="Times New Roman"/>
                <w:sz w:val="18"/>
                <w:szCs w:val="18"/>
              </w:rPr>
              <w:t>-0,053</w:t>
            </w:r>
          </w:p>
        </w:tc>
      </w:tr>
    </w:tbl>
    <w:p w:rsidR="00B362DA" w:rsidRPr="00B362DA" w:rsidRDefault="00B362DA" w:rsidP="00B362DA">
      <w:pPr>
        <w:ind w:firstLine="0"/>
        <w:jc w:val="left"/>
        <w:rPr>
          <w:sz w:val="20"/>
          <w:szCs w:val="20"/>
        </w:rPr>
      </w:pPr>
      <w:r w:rsidRPr="00B362DA">
        <w:rPr>
          <w:sz w:val="20"/>
          <w:szCs w:val="20"/>
        </w:rPr>
        <w:t>Источник: составлено авторами по данным расчетов</w:t>
      </w:r>
      <w:r w:rsidR="00CC12EF">
        <w:rPr>
          <w:sz w:val="20"/>
          <w:szCs w:val="20"/>
        </w:rPr>
        <w:t>.</w:t>
      </w:r>
    </w:p>
    <w:p w:rsidR="00CC12EF" w:rsidRDefault="00B362DA" w:rsidP="00CC12EF">
      <w:pPr>
        <w:rPr>
          <w:szCs w:val="24"/>
        </w:rPr>
      </w:pPr>
      <w:r w:rsidRPr="00B362DA">
        <w:rPr>
          <w:szCs w:val="24"/>
        </w:rPr>
        <w:t xml:space="preserve">Как показывают результаты анализа, наибольшую взаимосвязь с интегральной пространственной устойчивостью имеют показатели, характеризующие общее состояние экономики и системы расселения, в частности, значения ВРП, динамики населения и среднедушевых доходов. Таким образом, можно сделать вывод о том, что на начальных этапах устойчивость региона в первую очередь определяется его общей социально-экономической привлекательностью – развитая экономика и перспективы высокой оплаты труда привлекают активное население, что в свою очередь порождает позитивную обратную связь – положительно влияя друг на друга, </w:t>
      </w:r>
      <w:r w:rsidRPr="006A580D">
        <w:rPr>
          <w:szCs w:val="24"/>
        </w:rPr>
        <w:t xml:space="preserve">экономика и население региона генерируют его устойчивость к негативным факторам внешней среды и гравитационному влиянию других частей страны. Также высокую роль в формировании устойчивости вносит и постиндустриальный характер </w:t>
      </w:r>
      <w:r w:rsidRPr="00B362DA">
        <w:rPr>
          <w:szCs w:val="24"/>
        </w:rPr>
        <w:t xml:space="preserve">экономики – инновационный характер развития способствует резкому росту конкурентоспособности и жизнестойкости регионов. Наименьшую </w:t>
      </w:r>
      <w:r w:rsidRPr="006A580D">
        <w:rPr>
          <w:szCs w:val="24"/>
        </w:rPr>
        <w:t>же корреляцию с</w:t>
      </w:r>
      <w:r w:rsidRPr="00B362DA">
        <w:rPr>
          <w:szCs w:val="24"/>
        </w:rPr>
        <w:t xml:space="preserve"> устойчивостью имеют показатели экологической группы, что позволяет сделать вывод о невысоком влиянии экологической ситуации в регионе на его привлекательность для людей, а значит, и на пространственную устойчивость в целом.</w:t>
      </w:r>
    </w:p>
    <w:p w:rsidR="00FD5068" w:rsidRPr="00FD5068" w:rsidRDefault="00CC12EF" w:rsidP="00FD5068">
      <w:pPr>
        <w:rPr>
          <w:szCs w:val="24"/>
        </w:rPr>
      </w:pPr>
      <w:r>
        <w:rPr>
          <w:szCs w:val="24"/>
        </w:rPr>
        <w:t xml:space="preserve">Также </w:t>
      </w:r>
      <w:r w:rsidRPr="00035D66">
        <w:rPr>
          <w:szCs w:val="24"/>
        </w:rPr>
        <w:t>автор</w:t>
      </w:r>
      <w:r w:rsidR="004C4861" w:rsidRPr="00035D66">
        <w:rPr>
          <w:szCs w:val="24"/>
        </w:rPr>
        <w:t>ами</w:t>
      </w:r>
      <w:r w:rsidRPr="00035D66">
        <w:rPr>
          <w:szCs w:val="24"/>
        </w:rPr>
        <w:t xml:space="preserve"> был</w:t>
      </w:r>
      <w:r w:rsidRPr="00F822F8">
        <w:rPr>
          <w:szCs w:val="24"/>
        </w:rPr>
        <w:t xml:space="preserve"> провед</w:t>
      </w:r>
      <w:r>
        <w:rPr>
          <w:szCs w:val="24"/>
        </w:rPr>
        <w:t>ё</w:t>
      </w:r>
      <w:r w:rsidRPr="00F822F8">
        <w:rPr>
          <w:szCs w:val="24"/>
        </w:rPr>
        <w:t xml:space="preserve">н анализ значений рассчитанных индексов и распределения по рейтингу регионов Крайнего Севера и приравненных к нему территорий (далее – Крайний Север), так как в данный перечень входят многие малоосвоенные территории России. За такие регионы принимались все субъекты, имеющие в </w:t>
      </w:r>
      <w:r w:rsidRPr="00FD5068">
        <w:rPr>
          <w:szCs w:val="24"/>
        </w:rPr>
        <w:t>своем составе территории, причисленные к данному статусу (таблица 3).</w:t>
      </w:r>
    </w:p>
    <w:p w:rsidR="00F501C5" w:rsidRDefault="00CC12EF" w:rsidP="00F501C5">
      <w:pPr>
        <w:pStyle w:val="a6"/>
        <w:keepNext/>
        <w:ind w:firstLine="0"/>
        <w:jc w:val="right"/>
        <w:rPr>
          <w:szCs w:val="24"/>
        </w:rPr>
      </w:pPr>
      <w:r w:rsidRPr="00E36688">
        <w:rPr>
          <w:szCs w:val="24"/>
        </w:rPr>
        <w:t xml:space="preserve">Таблица </w:t>
      </w:r>
      <w:r w:rsidR="004C4861" w:rsidRPr="00E36688">
        <w:rPr>
          <w:szCs w:val="24"/>
        </w:rPr>
        <w:t>3</w:t>
      </w:r>
    </w:p>
    <w:p w:rsidR="00CC12EF" w:rsidRPr="00E36688" w:rsidRDefault="00CC12EF" w:rsidP="00F501C5">
      <w:pPr>
        <w:pStyle w:val="a6"/>
        <w:keepNext/>
        <w:ind w:firstLine="0"/>
        <w:jc w:val="center"/>
        <w:rPr>
          <w:szCs w:val="24"/>
        </w:rPr>
      </w:pPr>
      <w:r w:rsidRPr="00E36688">
        <w:rPr>
          <w:szCs w:val="24"/>
        </w:rPr>
        <w:t>Метрики устойчивости регионов</w:t>
      </w:r>
    </w:p>
    <w:tbl>
      <w:tblPr>
        <w:tblW w:w="9209" w:type="dxa"/>
        <w:tblLook w:val="04A0" w:firstRow="1" w:lastRow="0" w:firstColumn="1" w:lastColumn="0" w:noHBand="0" w:noVBand="1"/>
      </w:tblPr>
      <w:tblGrid>
        <w:gridCol w:w="2957"/>
        <w:gridCol w:w="1219"/>
        <w:gridCol w:w="1218"/>
        <w:gridCol w:w="1219"/>
        <w:gridCol w:w="1219"/>
        <w:gridCol w:w="1507"/>
      </w:tblGrid>
      <w:tr w:rsidR="00CC12EF" w:rsidRPr="004C4861" w:rsidTr="00F501C5">
        <w:trPr>
          <w:trHeight w:val="90"/>
        </w:trPr>
        <w:tc>
          <w:tcPr>
            <w:tcW w:w="311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b/>
                <w:color w:val="000000"/>
                <w:sz w:val="20"/>
                <w:szCs w:val="20"/>
                <w:lang w:eastAsia="ru-RU"/>
              </w:rPr>
            </w:pPr>
            <w:r w:rsidRPr="004C4861">
              <w:rPr>
                <w:rFonts w:eastAsia="Times New Roman" w:cs="Times New Roman"/>
                <w:b/>
                <w:color w:val="000000"/>
                <w:sz w:val="20"/>
                <w:szCs w:val="20"/>
                <w:lang w:eastAsia="ru-RU"/>
              </w:rPr>
              <w:t>Типы регионов</w:t>
            </w:r>
          </w:p>
        </w:tc>
        <w:tc>
          <w:tcPr>
            <w:tcW w:w="6095" w:type="dxa"/>
            <w:gridSpan w:val="5"/>
            <w:tcBorders>
              <w:top w:val="single" w:sz="4" w:space="0" w:color="auto"/>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b/>
                <w:color w:val="000000"/>
                <w:sz w:val="20"/>
                <w:szCs w:val="20"/>
                <w:lang w:eastAsia="ru-RU"/>
              </w:rPr>
            </w:pPr>
            <w:r w:rsidRPr="004C4861">
              <w:rPr>
                <w:rFonts w:eastAsia="Times New Roman" w:cs="Times New Roman"/>
                <w:b/>
                <w:color w:val="000000"/>
                <w:sz w:val="20"/>
                <w:szCs w:val="20"/>
                <w:lang w:eastAsia="ru-RU"/>
              </w:rPr>
              <w:t>Средние значения</w:t>
            </w:r>
          </w:p>
        </w:tc>
      </w:tr>
      <w:tr w:rsidR="00CC12EF" w:rsidRPr="004C4861" w:rsidTr="00F501C5">
        <w:trPr>
          <w:trHeight w:val="310"/>
        </w:trPr>
        <w:tc>
          <w:tcPr>
            <w:tcW w:w="3114" w:type="dxa"/>
            <w:vMerge/>
            <w:tcBorders>
              <w:top w:val="single" w:sz="4" w:space="0" w:color="auto"/>
              <w:left w:val="single" w:sz="4" w:space="0" w:color="auto"/>
              <w:bottom w:val="single" w:sz="4" w:space="0" w:color="000000"/>
              <w:right w:val="single" w:sz="4" w:space="0" w:color="auto"/>
            </w:tcBorders>
            <w:vAlign w:val="center"/>
            <w:hideMark/>
          </w:tcPr>
          <w:p w:rsidR="00CC12EF" w:rsidRPr="004C4861" w:rsidRDefault="00CC12EF" w:rsidP="008D63E2">
            <w:pPr>
              <w:ind w:firstLine="0"/>
              <w:jc w:val="left"/>
              <w:rPr>
                <w:rFonts w:eastAsia="Times New Roman" w:cs="Times New Roman"/>
                <w:b/>
                <w:color w:val="000000"/>
                <w:sz w:val="20"/>
                <w:szCs w:val="20"/>
                <w:lang w:eastAsia="ru-RU"/>
              </w:rPr>
            </w:pPr>
          </w:p>
        </w:tc>
        <w:tc>
          <w:tcPr>
            <w:tcW w:w="1276" w:type="dxa"/>
            <w:tcBorders>
              <w:top w:val="nil"/>
              <w:left w:val="nil"/>
              <w:bottom w:val="single" w:sz="4" w:space="0" w:color="auto"/>
              <w:right w:val="single" w:sz="4" w:space="0" w:color="auto"/>
            </w:tcBorders>
            <w:shd w:val="clear" w:color="auto" w:fill="auto"/>
            <w:vAlign w:val="center"/>
            <w:hideMark/>
          </w:tcPr>
          <w:p w:rsidR="00CC12EF" w:rsidRPr="004C4861" w:rsidRDefault="00CC12EF" w:rsidP="008D63E2">
            <w:pPr>
              <w:ind w:firstLine="0"/>
              <w:jc w:val="center"/>
              <w:rPr>
                <w:b/>
                <w:sz w:val="20"/>
                <w:szCs w:val="20"/>
                <w:lang w:val="en-US"/>
              </w:rPr>
            </w:pPr>
            <w:proofErr w:type="spellStart"/>
            <w:r w:rsidRPr="004C4861">
              <w:rPr>
                <w:b/>
                <w:sz w:val="20"/>
                <w:szCs w:val="20"/>
                <w:lang w:val="en-US"/>
              </w:rPr>
              <w:t>R</w:t>
            </w:r>
            <w:r w:rsidRPr="004C4861">
              <w:rPr>
                <w:b/>
                <w:sz w:val="20"/>
                <w:szCs w:val="20"/>
                <w:vertAlign w:val="subscript"/>
                <w:lang w:val="en-US"/>
              </w:rPr>
              <w:t>dem</w:t>
            </w:r>
            <w:proofErr w:type="spellEnd"/>
          </w:p>
        </w:tc>
        <w:tc>
          <w:tcPr>
            <w:tcW w:w="1275" w:type="dxa"/>
            <w:tcBorders>
              <w:top w:val="nil"/>
              <w:left w:val="nil"/>
              <w:bottom w:val="single" w:sz="4" w:space="0" w:color="auto"/>
              <w:right w:val="single" w:sz="4" w:space="0" w:color="auto"/>
            </w:tcBorders>
            <w:shd w:val="clear" w:color="auto" w:fill="auto"/>
            <w:vAlign w:val="center"/>
            <w:hideMark/>
          </w:tcPr>
          <w:p w:rsidR="00CC12EF" w:rsidRPr="004C4861" w:rsidRDefault="00CC12EF" w:rsidP="008D63E2">
            <w:pPr>
              <w:ind w:firstLine="0"/>
              <w:jc w:val="center"/>
              <w:rPr>
                <w:b/>
                <w:sz w:val="20"/>
                <w:szCs w:val="20"/>
                <w:lang w:val="en-US"/>
              </w:rPr>
            </w:pPr>
            <w:r w:rsidRPr="004C4861">
              <w:rPr>
                <w:b/>
                <w:sz w:val="20"/>
                <w:szCs w:val="20"/>
                <w:lang w:val="en-US"/>
              </w:rPr>
              <w:t>R</w:t>
            </w:r>
            <w:r w:rsidRPr="004C4861">
              <w:rPr>
                <w:b/>
                <w:sz w:val="20"/>
                <w:szCs w:val="20"/>
                <w:vertAlign w:val="subscript"/>
                <w:lang w:val="en-US"/>
              </w:rPr>
              <w:t>econ</w:t>
            </w:r>
          </w:p>
        </w:tc>
        <w:tc>
          <w:tcPr>
            <w:tcW w:w="1276" w:type="dxa"/>
            <w:tcBorders>
              <w:top w:val="nil"/>
              <w:left w:val="nil"/>
              <w:bottom w:val="single" w:sz="4" w:space="0" w:color="auto"/>
              <w:right w:val="single" w:sz="4" w:space="0" w:color="auto"/>
            </w:tcBorders>
            <w:shd w:val="clear" w:color="auto" w:fill="auto"/>
            <w:vAlign w:val="center"/>
            <w:hideMark/>
          </w:tcPr>
          <w:p w:rsidR="00CC12EF" w:rsidRPr="004C4861" w:rsidRDefault="00CC12EF" w:rsidP="008D63E2">
            <w:pPr>
              <w:ind w:firstLine="0"/>
              <w:jc w:val="center"/>
              <w:rPr>
                <w:b/>
                <w:sz w:val="20"/>
                <w:szCs w:val="20"/>
                <w:lang w:val="en-US"/>
              </w:rPr>
            </w:pPr>
            <w:proofErr w:type="spellStart"/>
            <w:r w:rsidRPr="004C4861">
              <w:rPr>
                <w:b/>
                <w:sz w:val="20"/>
                <w:szCs w:val="20"/>
                <w:lang w:val="en-US"/>
              </w:rPr>
              <w:t>R</w:t>
            </w:r>
            <w:r w:rsidRPr="004C4861">
              <w:rPr>
                <w:b/>
                <w:sz w:val="20"/>
                <w:szCs w:val="20"/>
                <w:vertAlign w:val="subscript"/>
                <w:lang w:val="en-US"/>
              </w:rPr>
              <w:t>inf</w:t>
            </w:r>
            <w:proofErr w:type="spellEnd"/>
          </w:p>
        </w:tc>
        <w:tc>
          <w:tcPr>
            <w:tcW w:w="1276" w:type="dxa"/>
            <w:tcBorders>
              <w:top w:val="nil"/>
              <w:left w:val="nil"/>
              <w:bottom w:val="single" w:sz="4" w:space="0" w:color="auto"/>
              <w:right w:val="single" w:sz="4" w:space="0" w:color="auto"/>
            </w:tcBorders>
            <w:shd w:val="clear" w:color="auto" w:fill="auto"/>
            <w:vAlign w:val="center"/>
            <w:hideMark/>
          </w:tcPr>
          <w:p w:rsidR="00CC12EF" w:rsidRPr="004C4861" w:rsidRDefault="00CC12EF" w:rsidP="008D63E2">
            <w:pPr>
              <w:ind w:firstLine="0"/>
              <w:jc w:val="center"/>
              <w:rPr>
                <w:b/>
                <w:sz w:val="20"/>
                <w:szCs w:val="20"/>
                <w:lang w:val="en-US"/>
              </w:rPr>
            </w:pPr>
            <w:proofErr w:type="spellStart"/>
            <w:r w:rsidRPr="004C4861">
              <w:rPr>
                <w:b/>
                <w:sz w:val="20"/>
                <w:szCs w:val="20"/>
                <w:lang w:val="en-US"/>
              </w:rPr>
              <w:t>R</w:t>
            </w:r>
            <w:r w:rsidRPr="004C4861">
              <w:rPr>
                <w:b/>
                <w:sz w:val="20"/>
                <w:szCs w:val="20"/>
                <w:vertAlign w:val="subscript"/>
                <w:lang w:val="en-US"/>
              </w:rPr>
              <w:t>ecol</w:t>
            </w:r>
            <w:proofErr w:type="spellEnd"/>
          </w:p>
        </w:tc>
        <w:tc>
          <w:tcPr>
            <w:tcW w:w="992" w:type="dxa"/>
            <w:tcBorders>
              <w:top w:val="nil"/>
              <w:left w:val="nil"/>
              <w:bottom w:val="single" w:sz="4" w:space="0" w:color="auto"/>
              <w:right w:val="single" w:sz="4" w:space="0" w:color="auto"/>
            </w:tcBorders>
            <w:shd w:val="clear" w:color="auto" w:fill="auto"/>
            <w:vAlign w:val="center"/>
            <w:hideMark/>
          </w:tcPr>
          <w:p w:rsidR="00CC12EF" w:rsidRPr="004C4861" w:rsidRDefault="00CC12EF" w:rsidP="008D63E2">
            <w:pPr>
              <w:ind w:firstLine="0"/>
              <w:jc w:val="center"/>
              <w:rPr>
                <w:rFonts w:eastAsia="Times New Roman" w:cs="Times New Roman"/>
                <w:b/>
                <w:color w:val="000000"/>
                <w:sz w:val="20"/>
                <w:szCs w:val="20"/>
                <w:lang w:eastAsia="ru-RU"/>
              </w:rPr>
            </w:pPr>
            <w:r w:rsidRPr="004C4861">
              <w:rPr>
                <w:rFonts w:eastAsia="Times New Roman" w:cs="Times New Roman"/>
                <w:b/>
                <w:color w:val="000000"/>
                <w:sz w:val="20"/>
                <w:szCs w:val="20"/>
                <w:lang w:eastAsia="ru-RU"/>
              </w:rPr>
              <w:t xml:space="preserve">Интегральный </w:t>
            </w:r>
            <w:r w:rsidRPr="004C4861">
              <w:rPr>
                <w:b/>
                <w:sz w:val="20"/>
                <w:szCs w:val="20"/>
              </w:rPr>
              <w:t>индекс</w:t>
            </w:r>
          </w:p>
        </w:tc>
      </w:tr>
      <w:tr w:rsidR="00CC12EF" w:rsidRPr="004C4861" w:rsidTr="00F501C5">
        <w:trPr>
          <w:trHeight w:val="511"/>
        </w:trPr>
        <w:tc>
          <w:tcPr>
            <w:tcW w:w="3114" w:type="dxa"/>
            <w:tcBorders>
              <w:top w:val="nil"/>
              <w:left w:val="single" w:sz="4" w:space="0" w:color="auto"/>
              <w:bottom w:val="single" w:sz="4" w:space="0" w:color="auto"/>
              <w:right w:val="single" w:sz="4" w:space="0" w:color="auto"/>
            </w:tcBorders>
            <w:shd w:val="clear" w:color="auto" w:fill="auto"/>
            <w:vAlign w:val="center"/>
            <w:hideMark/>
          </w:tcPr>
          <w:p w:rsidR="00CC12EF" w:rsidRPr="004C4861" w:rsidRDefault="00CC12EF" w:rsidP="008D63E2">
            <w:pPr>
              <w:ind w:firstLine="0"/>
              <w:jc w:val="left"/>
              <w:rPr>
                <w:rFonts w:eastAsia="Times New Roman" w:cs="Times New Roman"/>
                <w:color w:val="000000"/>
                <w:sz w:val="20"/>
                <w:szCs w:val="20"/>
                <w:lang w:eastAsia="ru-RU"/>
              </w:rPr>
            </w:pPr>
            <w:r w:rsidRPr="004C4861">
              <w:rPr>
                <w:rFonts w:eastAsia="Times New Roman" w:cs="Times New Roman"/>
                <w:color w:val="000000"/>
                <w:sz w:val="20"/>
                <w:szCs w:val="20"/>
                <w:lang w:eastAsia="ru-RU"/>
              </w:rPr>
              <w:t>Регионы Крайнего Севера (или приравненные к ним)</w:t>
            </w:r>
          </w:p>
        </w:tc>
        <w:tc>
          <w:tcPr>
            <w:tcW w:w="1276"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color w:val="000000"/>
                <w:sz w:val="20"/>
                <w:szCs w:val="20"/>
                <w:lang w:eastAsia="ru-RU"/>
              </w:rPr>
            </w:pPr>
            <w:r w:rsidRPr="004C4861">
              <w:rPr>
                <w:rFonts w:eastAsia="Times New Roman" w:cs="Times New Roman"/>
                <w:color w:val="000000"/>
                <w:sz w:val="20"/>
                <w:szCs w:val="20"/>
                <w:lang w:eastAsia="ru-RU"/>
              </w:rPr>
              <w:t>0,394</w:t>
            </w:r>
          </w:p>
        </w:tc>
        <w:tc>
          <w:tcPr>
            <w:tcW w:w="1275"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color w:val="000000"/>
                <w:sz w:val="20"/>
                <w:szCs w:val="20"/>
                <w:lang w:eastAsia="ru-RU"/>
              </w:rPr>
            </w:pPr>
            <w:r w:rsidRPr="004C4861">
              <w:rPr>
                <w:rFonts w:eastAsia="Times New Roman" w:cs="Times New Roman"/>
                <w:color w:val="000000"/>
                <w:sz w:val="20"/>
                <w:szCs w:val="20"/>
                <w:lang w:eastAsia="ru-RU"/>
              </w:rPr>
              <w:t>0,455</w:t>
            </w:r>
          </w:p>
        </w:tc>
        <w:tc>
          <w:tcPr>
            <w:tcW w:w="1276"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color w:val="000000"/>
                <w:sz w:val="20"/>
                <w:szCs w:val="20"/>
                <w:lang w:eastAsia="ru-RU"/>
              </w:rPr>
            </w:pPr>
            <w:r w:rsidRPr="004C4861">
              <w:rPr>
                <w:rFonts w:eastAsia="Times New Roman" w:cs="Times New Roman"/>
                <w:color w:val="000000"/>
                <w:sz w:val="20"/>
                <w:szCs w:val="20"/>
                <w:lang w:eastAsia="ru-RU"/>
              </w:rPr>
              <w:t>0,547</w:t>
            </w:r>
          </w:p>
        </w:tc>
        <w:tc>
          <w:tcPr>
            <w:tcW w:w="1276"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color w:val="000000"/>
                <w:sz w:val="20"/>
                <w:szCs w:val="20"/>
                <w:lang w:eastAsia="ru-RU"/>
              </w:rPr>
            </w:pPr>
            <w:r w:rsidRPr="004C4861">
              <w:rPr>
                <w:rFonts w:eastAsia="Times New Roman" w:cs="Times New Roman"/>
                <w:color w:val="000000"/>
                <w:sz w:val="20"/>
                <w:szCs w:val="20"/>
                <w:lang w:eastAsia="ru-RU"/>
              </w:rPr>
              <w:t>0,397</w:t>
            </w:r>
          </w:p>
        </w:tc>
        <w:tc>
          <w:tcPr>
            <w:tcW w:w="992"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color w:val="000000"/>
                <w:sz w:val="20"/>
                <w:szCs w:val="20"/>
                <w:lang w:eastAsia="ru-RU"/>
              </w:rPr>
            </w:pPr>
            <w:r w:rsidRPr="004C4861">
              <w:rPr>
                <w:rFonts w:eastAsia="Times New Roman" w:cs="Times New Roman"/>
                <w:color w:val="000000"/>
                <w:sz w:val="20"/>
                <w:szCs w:val="20"/>
                <w:lang w:eastAsia="ru-RU"/>
              </w:rPr>
              <w:t>0,464</w:t>
            </w:r>
          </w:p>
        </w:tc>
      </w:tr>
      <w:tr w:rsidR="00CC12EF" w:rsidRPr="004C4861" w:rsidTr="00F501C5">
        <w:trPr>
          <w:trHeight w:val="238"/>
        </w:trPr>
        <w:tc>
          <w:tcPr>
            <w:tcW w:w="3114" w:type="dxa"/>
            <w:tcBorders>
              <w:top w:val="nil"/>
              <w:left w:val="single" w:sz="4" w:space="0" w:color="auto"/>
              <w:bottom w:val="single" w:sz="4" w:space="0" w:color="auto"/>
              <w:right w:val="single" w:sz="4" w:space="0" w:color="auto"/>
            </w:tcBorders>
            <w:shd w:val="clear" w:color="auto" w:fill="auto"/>
            <w:noWrap/>
            <w:vAlign w:val="center"/>
            <w:hideMark/>
          </w:tcPr>
          <w:p w:rsidR="00CC12EF" w:rsidRPr="004C4861" w:rsidRDefault="00CC12EF" w:rsidP="008D63E2">
            <w:pPr>
              <w:ind w:firstLine="0"/>
              <w:jc w:val="left"/>
              <w:rPr>
                <w:rFonts w:eastAsia="Times New Roman" w:cs="Times New Roman"/>
                <w:color w:val="000000"/>
                <w:sz w:val="20"/>
                <w:szCs w:val="20"/>
                <w:lang w:eastAsia="ru-RU"/>
              </w:rPr>
            </w:pPr>
            <w:r w:rsidRPr="004C4861">
              <w:rPr>
                <w:rFonts w:eastAsia="Times New Roman" w:cs="Times New Roman"/>
                <w:color w:val="000000"/>
                <w:sz w:val="20"/>
                <w:szCs w:val="20"/>
                <w:lang w:eastAsia="ru-RU"/>
              </w:rPr>
              <w:t>Прочие регионы</w:t>
            </w:r>
          </w:p>
        </w:tc>
        <w:tc>
          <w:tcPr>
            <w:tcW w:w="1276"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color w:val="000000"/>
                <w:sz w:val="20"/>
                <w:szCs w:val="20"/>
                <w:lang w:eastAsia="ru-RU"/>
              </w:rPr>
            </w:pPr>
            <w:r w:rsidRPr="004C4861">
              <w:rPr>
                <w:rFonts w:eastAsia="Times New Roman" w:cs="Times New Roman"/>
                <w:color w:val="000000"/>
                <w:sz w:val="20"/>
                <w:szCs w:val="20"/>
                <w:lang w:eastAsia="ru-RU"/>
              </w:rPr>
              <w:t>0,374</w:t>
            </w:r>
          </w:p>
        </w:tc>
        <w:tc>
          <w:tcPr>
            <w:tcW w:w="1275"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color w:val="000000"/>
                <w:sz w:val="20"/>
                <w:szCs w:val="20"/>
                <w:lang w:eastAsia="ru-RU"/>
              </w:rPr>
            </w:pPr>
            <w:r w:rsidRPr="004C4861">
              <w:rPr>
                <w:rFonts w:eastAsia="Times New Roman" w:cs="Times New Roman"/>
                <w:color w:val="000000"/>
                <w:sz w:val="20"/>
                <w:szCs w:val="20"/>
                <w:lang w:eastAsia="ru-RU"/>
              </w:rPr>
              <w:t>0,413</w:t>
            </w:r>
          </w:p>
        </w:tc>
        <w:tc>
          <w:tcPr>
            <w:tcW w:w="1276"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color w:val="000000"/>
                <w:sz w:val="20"/>
                <w:szCs w:val="20"/>
                <w:lang w:eastAsia="ru-RU"/>
              </w:rPr>
            </w:pPr>
            <w:r w:rsidRPr="004C4861">
              <w:rPr>
                <w:rFonts w:eastAsia="Times New Roman" w:cs="Times New Roman"/>
                <w:color w:val="000000"/>
                <w:sz w:val="20"/>
                <w:szCs w:val="20"/>
                <w:lang w:eastAsia="ru-RU"/>
              </w:rPr>
              <w:t>0,540</w:t>
            </w:r>
          </w:p>
        </w:tc>
        <w:tc>
          <w:tcPr>
            <w:tcW w:w="1276"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color w:val="000000"/>
                <w:sz w:val="20"/>
                <w:szCs w:val="20"/>
                <w:lang w:eastAsia="ru-RU"/>
              </w:rPr>
            </w:pPr>
            <w:r w:rsidRPr="004C4861">
              <w:rPr>
                <w:rFonts w:eastAsia="Times New Roman" w:cs="Times New Roman"/>
                <w:color w:val="000000"/>
                <w:sz w:val="20"/>
                <w:szCs w:val="20"/>
                <w:lang w:eastAsia="ru-RU"/>
              </w:rPr>
              <w:t>0,391</w:t>
            </w:r>
          </w:p>
        </w:tc>
        <w:tc>
          <w:tcPr>
            <w:tcW w:w="992"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color w:val="000000"/>
                <w:sz w:val="20"/>
                <w:szCs w:val="20"/>
                <w:lang w:eastAsia="ru-RU"/>
              </w:rPr>
            </w:pPr>
            <w:r w:rsidRPr="004C4861">
              <w:rPr>
                <w:rFonts w:eastAsia="Times New Roman" w:cs="Times New Roman"/>
                <w:color w:val="000000"/>
                <w:sz w:val="20"/>
                <w:szCs w:val="20"/>
                <w:lang w:eastAsia="ru-RU"/>
              </w:rPr>
              <w:t>0,438</w:t>
            </w:r>
          </w:p>
        </w:tc>
      </w:tr>
      <w:tr w:rsidR="00CC12EF" w:rsidRPr="004C4861" w:rsidTr="00F501C5">
        <w:trPr>
          <w:trHeight w:val="128"/>
        </w:trPr>
        <w:tc>
          <w:tcPr>
            <w:tcW w:w="9209"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b/>
                <w:color w:val="000000"/>
                <w:sz w:val="20"/>
                <w:szCs w:val="20"/>
                <w:lang w:eastAsia="ru-RU"/>
              </w:rPr>
            </w:pPr>
            <w:r w:rsidRPr="004C4861">
              <w:rPr>
                <w:rFonts w:eastAsia="Times New Roman" w:cs="Times New Roman"/>
                <w:b/>
                <w:color w:val="000000"/>
                <w:sz w:val="20"/>
                <w:szCs w:val="20"/>
                <w:lang w:eastAsia="ru-RU"/>
              </w:rPr>
              <w:t>Доля регионов каждого ранга устойчивости в структуре типа</w:t>
            </w:r>
          </w:p>
        </w:tc>
      </w:tr>
      <w:tr w:rsidR="00CC12EF" w:rsidRPr="004C4861" w:rsidTr="00F501C5">
        <w:trPr>
          <w:trHeight w:val="315"/>
        </w:trPr>
        <w:tc>
          <w:tcPr>
            <w:tcW w:w="3114" w:type="dxa"/>
            <w:tcBorders>
              <w:top w:val="nil"/>
              <w:left w:val="single" w:sz="4" w:space="0" w:color="auto"/>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b/>
                <w:color w:val="000000"/>
                <w:sz w:val="20"/>
                <w:szCs w:val="20"/>
                <w:lang w:eastAsia="ru-RU"/>
              </w:rPr>
            </w:pPr>
            <w:r w:rsidRPr="004C4861">
              <w:rPr>
                <w:rFonts w:eastAsia="Times New Roman" w:cs="Times New Roman"/>
                <w:b/>
                <w:color w:val="000000"/>
                <w:sz w:val="20"/>
                <w:szCs w:val="20"/>
                <w:lang w:eastAsia="ru-RU"/>
              </w:rPr>
              <w:t>Типы регионов</w:t>
            </w:r>
          </w:p>
        </w:tc>
        <w:tc>
          <w:tcPr>
            <w:tcW w:w="1276"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b/>
                <w:color w:val="000000"/>
                <w:sz w:val="20"/>
                <w:szCs w:val="20"/>
                <w:lang w:eastAsia="ru-RU"/>
              </w:rPr>
            </w:pPr>
            <w:r w:rsidRPr="004C4861">
              <w:rPr>
                <w:rFonts w:eastAsia="Times New Roman" w:cs="Times New Roman"/>
                <w:b/>
                <w:color w:val="000000"/>
                <w:sz w:val="20"/>
                <w:szCs w:val="20"/>
                <w:lang w:eastAsia="ru-RU"/>
              </w:rPr>
              <w:t>Рейтинг А</w:t>
            </w:r>
          </w:p>
        </w:tc>
        <w:tc>
          <w:tcPr>
            <w:tcW w:w="1275"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b/>
                <w:color w:val="000000"/>
                <w:sz w:val="20"/>
                <w:szCs w:val="20"/>
                <w:lang w:eastAsia="ru-RU"/>
              </w:rPr>
            </w:pPr>
            <w:proofErr w:type="gramStart"/>
            <w:r w:rsidRPr="004C4861">
              <w:rPr>
                <w:rFonts w:eastAsia="Times New Roman" w:cs="Times New Roman"/>
                <w:b/>
                <w:color w:val="000000"/>
                <w:sz w:val="20"/>
                <w:szCs w:val="20"/>
                <w:lang w:eastAsia="ru-RU"/>
              </w:rPr>
              <w:t>Рейтинг В</w:t>
            </w:r>
            <w:proofErr w:type="gramEnd"/>
          </w:p>
        </w:tc>
        <w:tc>
          <w:tcPr>
            <w:tcW w:w="1276"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b/>
                <w:color w:val="000000"/>
                <w:sz w:val="20"/>
                <w:szCs w:val="20"/>
                <w:lang w:eastAsia="ru-RU"/>
              </w:rPr>
            </w:pPr>
            <w:proofErr w:type="gramStart"/>
            <w:r w:rsidRPr="004C4861">
              <w:rPr>
                <w:rFonts w:eastAsia="Times New Roman" w:cs="Times New Roman"/>
                <w:b/>
                <w:color w:val="000000"/>
                <w:sz w:val="20"/>
                <w:szCs w:val="20"/>
                <w:lang w:eastAsia="ru-RU"/>
              </w:rPr>
              <w:t>Рейтинг С</w:t>
            </w:r>
            <w:proofErr w:type="gramEnd"/>
          </w:p>
        </w:tc>
        <w:tc>
          <w:tcPr>
            <w:tcW w:w="1276"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b/>
                <w:color w:val="000000"/>
                <w:sz w:val="20"/>
                <w:szCs w:val="20"/>
                <w:lang w:eastAsia="ru-RU"/>
              </w:rPr>
            </w:pPr>
            <w:r w:rsidRPr="004C4861">
              <w:rPr>
                <w:rFonts w:eastAsia="Times New Roman" w:cs="Times New Roman"/>
                <w:b/>
                <w:color w:val="000000"/>
                <w:sz w:val="20"/>
                <w:szCs w:val="20"/>
                <w:lang w:eastAsia="ru-RU"/>
              </w:rPr>
              <w:t>Рейтинг D</w:t>
            </w:r>
          </w:p>
        </w:tc>
        <w:tc>
          <w:tcPr>
            <w:tcW w:w="992"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b/>
                <w:color w:val="000000"/>
                <w:sz w:val="20"/>
                <w:szCs w:val="20"/>
                <w:lang w:eastAsia="ru-RU"/>
              </w:rPr>
            </w:pPr>
            <w:r w:rsidRPr="004C4861">
              <w:rPr>
                <w:rFonts w:eastAsia="Times New Roman" w:cs="Times New Roman"/>
                <w:b/>
                <w:color w:val="000000"/>
                <w:sz w:val="20"/>
                <w:szCs w:val="20"/>
                <w:lang w:eastAsia="ru-RU"/>
              </w:rPr>
              <w:t>Рейтинг Е</w:t>
            </w:r>
          </w:p>
        </w:tc>
      </w:tr>
      <w:tr w:rsidR="00CC12EF" w:rsidRPr="004C4861" w:rsidTr="00F501C5">
        <w:trPr>
          <w:trHeight w:val="563"/>
        </w:trPr>
        <w:tc>
          <w:tcPr>
            <w:tcW w:w="3114" w:type="dxa"/>
            <w:tcBorders>
              <w:top w:val="nil"/>
              <w:left w:val="single" w:sz="4" w:space="0" w:color="auto"/>
              <w:bottom w:val="single" w:sz="4" w:space="0" w:color="auto"/>
              <w:right w:val="single" w:sz="4" w:space="0" w:color="auto"/>
            </w:tcBorders>
            <w:shd w:val="clear" w:color="auto" w:fill="auto"/>
            <w:vAlign w:val="center"/>
            <w:hideMark/>
          </w:tcPr>
          <w:p w:rsidR="00CC12EF" w:rsidRPr="004C4861" w:rsidRDefault="00CC12EF" w:rsidP="008D63E2">
            <w:pPr>
              <w:ind w:firstLine="0"/>
              <w:jc w:val="left"/>
              <w:rPr>
                <w:rFonts w:eastAsia="Times New Roman" w:cs="Times New Roman"/>
                <w:color w:val="000000"/>
                <w:sz w:val="20"/>
                <w:szCs w:val="20"/>
                <w:lang w:eastAsia="ru-RU"/>
              </w:rPr>
            </w:pPr>
            <w:r w:rsidRPr="004C4861">
              <w:rPr>
                <w:rFonts w:eastAsia="Times New Roman" w:cs="Times New Roman"/>
                <w:color w:val="000000"/>
                <w:sz w:val="20"/>
                <w:szCs w:val="20"/>
                <w:lang w:eastAsia="ru-RU"/>
              </w:rPr>
              <w:t>Регионы Крайнего Севера (или приравненные к ним)</w:t>
            </w:r>
          </w:p>
        </w:tc>
        <w:tc>
          <w:tcPr>
            <w:tcW w:w="1276"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color w:val="000000"/>
                <w:sz w:val="20"/>
                <w:szCs w:val="20"/>
                <w:lang w:eastAsia="ru-RU"/>
              </w:rPr>
            </w:pPr>
            <w:r w:rsidRPr="004C4861">
              <w:rPr>
                <w:rFonts w:eastAsia="Times New Roman" w:cs="Times New Roman"/>
                <w:color w:val="000000"/>
                <w:sz w:val="20"/>
                <w:szCs w:val="20"/>
                <w:lang w:eastAsia="ru-RU"/>
              </w:rPr>
              <w:t>21%</w:t>
            </w:r>
          </w:p>
        </w:tc>
        <w:tc>
          <w:tcPr>
            <w:tcW w:w="1275"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color w:val="000000"/>
                <w:sz w:val="20"/>
                <w:szCs w:val="20"/>
                <w:lang w:eastAsia="ru-RU"/>
              </w:rPr>
            </w:pPr>
            <w:r w:rsidRPr="004C4861">
              <w:rPr>
                <w:rFonts w:eastAsia="Times New Roman" w:cs="Times New Roman"/>
                <w:color w:val="000000"/>
                <w:sz w:val="20"/>
                <w:szCs w:val="20"/>
                <w:lang w:eastAsia="ru-RU"/>
              </w:rPr>
              <w:t>25%</w:t>
            </w:r>
          </w:p>
        </w:tc>
        <w:tc>
          <w:tcPr>
            <w:tcW w:w="1276"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color w:val="000000"/>
                <w:sz w:val="20"/>
                <w:szCs w:val="20"/>
                <w:lang w:eastAsia="ru-RU"/>
              </w:rPr>
            </w:pPr>
            <w:r w:rsidRPr="004C4861">
              <w:rPr>
                <w:rFonts w:eastAsia="Times New Roman" w:cs="Times New Roman"/>
                <w:color w:val="000000"/>
                <w:sz w:val="20"/>
                <w:szCs w:val="20"/>
                <w:lang w:eastAsia="ru-RU"/>
              </w:rPr>
              <w:t>33%</w:t>
            </w:r>
          </w:p>
        </w:tc>
        <w:tc>
          <w:tcPr>
            <w:tcW w:w="1276"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color w:val="000000"/>
                <w:sz w:val="20"/>
                <w:szCs w:val="20"/>
                <w:lang w:eastAsia="ru-RU"/>
              </w:rPr>
            </w:pPr>
            <w:r w:rsidRPr="004C4861">
              <w:rPr>
                <w:rFonts w:eastAsia="Times New Roman" w:cs="Times New Roman"/>
                <w:color w:val="000000"/>
                <w:sz w:val="20"/>
                <w:szCs w:val="20"/>
                <w:lang w:eastAsia="ru-RU"/>
              </w:rPr>
              <w:t>8%</w:t>
            </w:r>
          </w:p>
        </w:tc>
        <w:tc>
          <w:tcPr>
            <w:tcW w:w="992"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color w:val="000000"/>
                <w:sz w:val="20"/>
                <w:szCs w:val="20"/>
                <w:lang w:eastAsia="ru-RU"/>
              </w:rPr>
            </w:pPr>
            <w:r w:rsidRPr="004C4861">
              <w:rPr>
                <w:rFonts w:eastAsia="Times New Roman" w:cs="Times New Roman"/>
                <w:color w:val="000000"/>
                <w:sz w:val="20"/>
                <w:szCs w:val="20"/>
                <w:lang w:eastAsia="ru-RU"/>
              </w:rPr>
              <w:t>13%</w:t>
            </w:r>
          </w:p>
        </w:tc>
      </w:tr>
      <w:tr w:rsidR="00CC12EF" w:rsidRPr="004C4861" w:rsidTr="00F501C5">
        <w:trPr>
          <w:trHeight w:val="147"/>
        </w:trPr>
        <w:tc>
          <w:tcPr>
            <w:tcW w:w="3114" w:type="dxa"/>
            <w:tcBorders>
              <w:top w:val="nil"/>
              <w:left w:val="single" w:sz="4" w:space="0" w:color="auto"/>
              <w:bottom w:val="single" w:sz="4" w:space="0" w:color="auto"/>
              <w:right w:val="single" w:sz="4" w:space="0" w:color="auto"/>
            </w:tcBorders>
            <w:shd w:val="clear" w:color="auto" w:fill="auto"/>
            <w:noWrap/>
            <w:vAlign w:val="center"/>
            <w:hideMark/>
          </w:tcPr>
          <w:p w:rsidR="00CC12EF" w:rsidRPr="004C4861" w:rsidRDefault="00CC12EF" w:rsidP="008D63E2">
            <w:pPr>
              <w:ind w:firstLine="0"/>
              <w:jc w:val="left"/>
              <w:rPr>
                <w:rFonts w:eastAsia="Times New Roman" w:cs="Times New Roman"/>
                <w:color w:val="000000"/>
                <w:sz w:val="20"/>
                <w:szCs w:val="20"/>
                <w:lang w:eastAsia="ru-RU"/>
              </w:rPr>
            </w:pPr>
            <w:r w:rsidRPr="004C4861">
              <w:rPr>
                <w:rFonts w:eastAsia="Times New Roman" w:cs="Times New Roman"/>
                <w:color w:val="000000"/>
                <w:sz w:val="20"/>
                <w:szCs w:val="20"/>
                <w:lang w:eastAsia="ru-RU"/>
              </w:rPr>
              <w:t>Прочие регионы</w:t>
            </w:r>
          </w:p>
        </w:tc>
        <w:tc>
          <w:tcPr>
            <w:tcW w:w="1276"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color w:val="000000"/>
                <w:sz w:val="20"/>
                <w:szCs w:val="20"/>
                <w:lang w:eastAsia="ru-RU"/>
              </w:rPr>
            </w:pPr>
            <w:r w:rsidRPr="004C4861">
              <w:rPr>
                <w:rFonts w:eastAsia="Times New Roman" w:cs="Times New Roman"/>
                <w:color w:val="000000"/>
                <w:sz w:val="20"/>
                <w:szCs w:val="20"/>
                <w:lang w:eastAsia="ru-RU"/>
              </w:rPr>
              <w:t>13%</w:t>
            </w:r>
          </w:p>
        </w:tc>
        <w:tc>
          <w:tcPr>
            <w:tcW w:w="1275"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color w:val="000000"/>
                <w:sz w:val="20"/>
                <w:szCs w:val="20"/>
                <w:lang w:eastAsia="ru-RU"/>
              </w:rPr>
            </w:pPr>
            <w:r w:rsidRPr="004C4861">
              <w:rPr>
                <w:rFonts w:eastAsia="Times New Roman" w:cs="Times New Roman"/>
                <w:color w:val="000000"/>
                <w:sz w:val="20"/>
                <w:szCs w:val="20"/>
                <w:lang w:eastAsia="ru-RU"/>
              </w:rPr>
              <w:t>10%</w:t>
            </w:r>
          </w:p>
        </w:tc>
        <w:tc>
          <w:tcPr>
            <w:tcW w:w="1276"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color w:val="000000"/>
                <w:sz w:val="20"/>
                <w:szCs w:val="20"/>
                <w:lang w:eastAsia="ru-RU"/>
              </w:rPr>
            </w:pPr>
            <w:r w:rsidRPr="004C4861">
              <w:rPr>
                <w:rFonts w:eastAsia="Times New Roman" w:cs="Times New Roman"/>
                <w:color w:val="000000"/>
                <w:sz w:val="20"/>
                <w:szCs w:val="20"/>
                <w:lang w:eastAsia="ru-RU"/>
              </w:rPr>
              <w:t>28%</w:t>
            </w:r>
          </w:p>
        </w:tc>
        <w:tc>
          <w:tcPr>
            <w:tcW w:w="1276"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color w:val="000000"/>
                <w:sz w:val="20"/>
                <w:szCs w:val="20"/>
                <w:lang w:eastAsia="ru-RU"/>
              </w:rPr>
            </w:pPr>
            <w:r w:rsidRPr="004C4861">
              <w:rPr>
                <w:rFonts w:eastAsia="Times New Roman" w:cs="Times New Roman"/>
                <w:color w:val="000000"/>
                <w:sz w:val="20"/>
                <w:szCs w:val="20"/>
                <w:lang w:eastAsia="ru-RU"/>
              </w:rPr>
              <w:t>34%</w:t>
            </w:r>
          </w:p>
        </w:tc>
        <w:tc>
          <w:tcPr>
            <w:tcW w:w="992" w:type="dxa"/>
            <w:tcBorders>
              <w:top w:val="nil"/>
              <w:left w:val="nil"/>
              <w:bottom w:val="single" w:sz="4" w:space="0" w:color="auto"/>
              <w:right w:val="single" w:sz="4" w:space="0" w:color="auto"/>
            </w:tcBorders>
            <w:shd w:val="clear" w:color="auto" w:fill="auto"/>
            <w:noWrap/>
            <w:vAlign w:val="center"/>
            <w:hideMark/>
          </w:tcPr>
          <w:p w:rsidR="00CC12EF" w:rsidRPr="004C4861" w:rsidRDefault="00CC12EF" w:rsidP="008D63E2">
            <w:pPr>
              <w:ind w:firstLine="0"/>
              <w:jc w:val="center"/>
              <w:rPr>
                <w:rFonts w:eastAsia="Times New Roman" w:cs="Times New Roman"/>
                <w:color w:val="000000"/>
                <w:sz w:val="20"/>
                <w:szCs w:val="20"/>
                <w:lang w:eastAsia="ru-RU"/>
              </w:rPr>
            </w:pPr>
            <w:r w:rsidRPr="004C4861">
              <w:rPr>
                <w:rFonts w:eastAsia="Times New Roman" w:cs="Times New Roman"/>
                <w:color w:val="000000"/>
                <w:sz w:val="20"/>
                <w:szCs w:val="20"/>
                <w:lang w:eastAsia="ru-RU"/>
              </w:rPr>
              <w:t>15%</w:t>
            </w:r>
          </w:p>
        </w:tc>
      </w:tr>
    </w:tbl>
    <w:p w:rsidR="00CC12EF" w:rsidRPr="00CC12EF" w:rsidRDefault="00CC12EF" w:rsidP="00F425D9">
      <w:pPr>
        <w:ind w:firstLine="0"/>
        <w:jc w:val="left"/>
        <w:rPr>
          <w:rFonts w:cs="Times New Roman"/>
          <w:sz w:val="20"/>
          <w:szCs w:val="20"/>
        </w:rPr>
      </w:pPr>
      <w:r w:rsidRPr="00CC12EF">
        <w:rPr>
          <w:rFonts w:cs="Times New Roman"/>
          <w:sz w:val="20"/>
          <w:szCs w:val="20"/>
        </w:rPr>
        <w:t>Источник: составлено на основе расчетов автор</w:t>
      </w:r>
      <w:r>
        <w:rPr>
          <w:rFonts w:cs="Times New Roman"/>
          <w:sz w:val="20"/>
          <w:szCs w:val="20"/>
        </w:rPr>
        <w:t>ов</w:t>
      </w:r>
    </w:p>
    <w:p w:rsidR="00CC12EF" w:rsidRPr="00F822F8" w:rsidRDefault="00CC12EF" w:rsidP="00F425D9">
      <w:pPr>
        <w:rPr>
          <w:szCs w:val="24"/>
        </w:rPr>
      </w:pPr>
      <w:r w:rsidRPr="00F822F8">
        <w:rPr>
          <w:szCs w:val="24"/>
        </w:rPr>
        <w:t>Регионы Крайнего Севера по своей сути являются более устойчивыми, чем прочие субъекты страны: средние значения по всем четырем промежуточным и одному интегральному индексам для них выше, чем для остальных регионов России. Это же подтверждают и доли регионов каждого ранга устойчивости в структуре типов – 46</w:t>
      </w:r>
      <w:r>
        <w:rPr>
          <w:szCs w:val="24"/>
        </w:rPr>
        <w:t> </w:t>
      </w:r>
      <w:r w:rsidRPr="00F822F8">
        <w:rPr>
          <w:szCs w:val="24"/>
        </w:rPr>
        <w:t xml:space="preserve">% регионов Крайнего Севера принадлежат к устойчивой </w:t>
      </w:r>
      <w:proofErr w:type="spellStart"/>
      <w:r w:rsidRPr="00F822F8">
        <w:rPr>
          <w:szCs w:val="24"/>
        </w:rPr>
        <w:t>макрогруппе</w:t>
      </w:r>
      <w:proofErr w:type="spellEnd"/>
      <w:r w:rsidRPr="00F822F8">
        <w:rPr>
          <w:szCs w:val="24"/>
        </w:rPr>
        <w:t xml:space="preserve"> (рейтинги А и В), а к неустойчивой (рейтинги </w:t>
      </w:r>
      <w:r w:rsidRPr="00F822F8">
        <w:rPr>
          <w:szCs w:val="24"/>
          <w:lang w:val="en-US"/>
        </w:rPr>
        <w:t>D </w:t>
      </w:r>
      <w:r w:rsidRPr="00F822F8">
        <w:rPr>
          <w:szCs w:val="24"/>
        </w:rPr>
        <w:t>и </w:t>
      </w:r>
      <w:r w:rsidRPr="00F822F8">
        <w:rPr>
          <w:szCs w:val="24"/>
          <w:lang w:val="en-US"/>
        </w:rPr>
        <w:t>E</w:t>
      </w:r>
      <w:r w:rsidRPr="00F822F8">
        <w:rPr>
          <w:szCs w:val="24"/>
        </w:rPr>
        <w:t>)</w:t>
      </w:r>
      <w:r w:rsidRPr="00F822F8">
        <w:rPr>
          <w:szCs w:val="24"/>
          <w:lang w:val="en-US"/>
        </w:rPr>
        <w:t> </w:t>
      </w:r>
      <w:r w:rsidRPr="00F822F8">
        <w:rPr>
          <w:szCs w:val="24"/>
        </w:rPr>
        <w:t>– 21 %; для остальной части страны это соотношение представляется, как 23 % на 49 % соответственно</w:t>
      </w:r>
      <w:r>
        <w:rPr>
          <w:szCs w:val="24"/>
        </w:rPr>
        <w:t>.</w:t>
      </w:r>
    </w:p>
    <w:p w:rsidR="00CC12EF" w:rsidRPr="00F822F8" w:rsidRDefault="00CC12EF" w:rsidP="00CC12EF">
      <w:pPr>
        <w:rPr>
          <w:szCs w:val="24"/>
        </w:rPr>
      </w:pPr>
      <w:r w:rsidRPr="00F822F8">
        <w:rPr>
          <w:szCs w:val="24"/>
        </w:rPr>
        <w:t xml:space="preserve">В наибольшую группу риска роста неустойчивости входят регионы центральной России: именно для </w:t>
      </w:r>
      <w:r w:rsidR="004C4861">
        <w:rPr>
          <w:szCs w:val="24"/>
        </w:rPr>
        <w:t xml:space="preserve">Центрального федерального </w:t>
      </w:r>
      <w:r w:rsidR="004C4861" w:rsidRPr="004C4861">
        <w:rPr>
          <w:szCs w:val="24"/>
        </w:rPr>
        <w:t>округа (</w:t>
      </w:r>
      <w:r w:rsidRPr="004C4861">
        <w:rPr>
          <w:szCs w:val="24"/>
        </w:rPr>
        <w:t>ЦФО</w:t>
      </w:r>
      <w:r w:rsidR="004C4861" w:rsidRPr="004C4861">
        <w:rPr>
          <w:szCs w:val="24"/>
        </w:rPr>
        <w:t>)</w:t>
      </w:r>
      <w:r w:rsidRPr="004C4861">
        <w:rPr>
          <w:szCs w:val="24"/>
        </w:rPr>
        <w:t xml:space="preserve">, как показывает карта </w:t>
      </w:r>
      <w:r w:rsidR="00E36688">
        <w:rPr>
          <w:szCs w:val="24"/>
        </w:rPr>
        <w:t>(</w:t>
      </w:r>
      <w:r w:rsidRPr="004C4861">
        <w:rPr>
          <w:szCs w:val="24"/>
        </w:rPr>
        <w:t>рисун</w:t>
      </w:r>
      <w:r w:rsidR="00E36688">
        <w:rPr>
          <w:szCs w:val="24"/>
        </w:rPr>
        <w:t>ок</w:t>
      </w:r>
      <w:r w:rsidRPr="004C4861">
        <w:rPr>
          <w:szCs w:val="24"/>
        </w:rPr>
        <w:t xml:space="preserve"> </w:t>
      </w:r>
      <w:r w:rsidR="004C4861" w:rsidRPr="004C4861">
        <w:rPr>
          <w:szCs w:val="24"/>
        </w:rPr>
        <w:t>1</w:t>
      </w:r>
      <w:r w:rsidR="00E36688">
        <w:rPr>
          <w:szCs w:val="24"/>
        </w:rPr>
        <w:t>)</w:t>
      </w:r>
      <w:r w:rsidRPr="004C4861">
        <w:rPr>
          <w:szCs w:val="24"/>
        </w:rPr>
        <w:t>, характерны наибольшие диспропорции в зн</w:t>
      </w:r>
      <w:r w:rsidRPr="00F822F8">
        <w:rPr>
          <w:szCs w:val="24"/>
        </w:rPr>
        <w:t>ачениях показателей и положения в интегральном рейтинге пространственной устойчивости, что обусловлено гравитационным влиянием Московской агломерации, которое само по себе является мощным фактором снижения устойчивости близлежащих регионов и перетягивания их существующих ресурсов, в т. ч. трудовых.</w:t>
      </w:r>
    </w:p>
    <w:p w:rsidR="00CC12EF" w:rsidRPr="00F822F8" w:rsidRDefault="00CC12EF" w:rsidP="00CC12EF">
      <w:pPr>
        <w:rPr>
          <w:szCs w:val="24"/>
        </w:rPr>
      </w:pPr>
      <w:r w:rsidRPr="00F822F8">
        <w:rPr>
          <w:szCs w:val="24"/>
        </w:rPr>
        <w:t xml:space="preserve">В некоторой степени тот же эффект характерен и для других частей страны, где можно наблюдать явные полюса роста – при более устойчивых регионах часто существуют </w:t>
      </w:r>
      <w:r w:rsidRPr="00F822F8">
        <w:rPr>
          <w:szCs w:val="24"/>
        </w:rPr>
        <w:lastRenderedPageBreak/>
        <w:t xml:space="preserve">менее устойчивые по соседству. Сохранение данной дифференциации приводит к еще более сильному разрыву между устойчивыми и неустойчивыми регионами. </w:t>
      </w:r>
    </w:p>
    <w:p w:rsidR="00CC12EF" w:rsidRPr="00F822F8" w:rsidRDefault="00CC12EF" w:rsidP="00CC12EF">
      <w:pPr>
        <w:contextualSpacing/>
        <w:rPr>
          <w:rFonts w:eastAsia="Times New Roman" w:cs="Times New Roman"/>
          <w:szCs w:val="24"/>
          <w:lang w:eastAsia="ru-RU"/>
        </w:rPr>
      </w:pPr>
      <w:r w:rsidRPr="00F822F8">
        <w:rPr>
          <w:rFonts w:eastAsia="Times New Roman" w:cs="Times New Roman"/>
          <w:szCs w:val="24"/>
          <w:lang w:eastAsia="ru-RU"/>
        </w:rPr>
        <w:t>Государственная градостроительная политика — это целенаправленная деятельность государства по формированию благоприятной среды жизнедеятельности населения, устойчивого развития систем расселения, городов и иных поселений в соответствии с долгосрочными целями социально-экономического и пространственного развития страны с учетом исторически сложившегося расселения, природных, национально-этнических и иных местных особенностей. Деятельность государственных органов в</w:t>
      </w:r>
      <w:r w:rsidRPr="00F822F8">
        <w:rPr>
          <w:rFonts w:eastAsia="Times New Roman" w:cs="Times New Roman"/>
          <w:szCs w:val="24"/>
          <w:lang w:val="en-US" w:eastAsia="ru-RU"/>
        </w:rPr>
        <w:t> </w:t>
      </w:r>
      <w:r w:rsidRPr="00F822F8">
        <w:rPr>
          <w:rFonts w:eastAsia="Times New Roman" w:cs="Times New Roman"/>
          <w:szCs w:val="24"/>
          <w:lang w:eastAsia="ru-RU"/>
        </w:rPr>
        <w:t>этой сфере содержит систему правовых, финансовых, экономических, организационно-управленческих и иных мер, направленных на решение актуальных проблем и стратегических задач градостроительства.</w:t>
      </w:r>
    </w:p>
    <w:p w:rsidR="00CC12EF" w:rsidRPr="00F822F8" w:rsidRDefault="00CC12EF" w:rsidP="00CC12EF">
      <w:pPr>
        <w:rPr>
          <w:szCs w:val="24"/>
        </w:rPr>
      </w:pPr>
      <w:r w:rsidRPr="00F822F8">
        <w:rPr>
          <w:szCs w:val="24"/>
        </w:rPr>
        <w:t>Основываясь на анализе пространственной устойчивости регионов России, перспективные меры градостроительной политики в стране с учетом существующих дисбалансов в развитии ее разных частей, должны строиться на следующих основных принципах:</w:t>
      </w:r>
    </w:p>
    <w:p w:rsidR="00CC12EF" w:rsidRPr="00F822F8" w:rsidRDefault="00CC12EF" w:rsidP="00CC12EF">
      <w:pPr>
        <w:pStyle w:val="a4"/>
        <w:numPr>
          <w:ilvl w:val="0"/>
          <w:numId w:val="2"/>
        </w:numPr>
        <w:ind w:left="0" w:firstLine="709"/>
      </w:pPr>
      <w:r w:rsidRPr="00F822F8">
        <w:t>повышение общей привлекательности регионов как драйвера их развития в качестве стабильных социально-экономических систем;</w:t>
      </w:r>
    </w:p>
    <w:p w:rsidR="00CC12EF" w:rsidRPr="00F822F8" w:rsidRDefault="00CC12EF" w:rsidP="00CC12EF">
      <w:pPr>
        <w:pStyle w:val="a4"/>
        <w:numPr>
          <w:ilvl w:val="0"/>
          <w:numId w:val="2"/>
        </w:numPr>
        <w:ind w:left="0" w:firstLine="709"/>
      </w:pPr>
      <w:r w:rsidRPr="00F822F8">
        <w:t>принцип достижения сбалансированного регионального развития, продвижение значений устойчивости наиболее проблемных регионов к среднероссийским уровням, выравнивание межрегиональных диспропорций за счет стимулирующих мер по отношению к более «слабым» субъектам;</w:t>
      </w:r>
    </w:p>
    <w:p w:rsidR="00CC12EF" w:rsidRPr="00F822F8" w:rsidRDefault="00CC12EF" w:rsidP="00CC12EF">
      <w:pPr>
        <w:pStyle w:val="a4"/>
        <w:numPr>
          <w:ilvl w:val="0"/>
          <w:numId w:val="2"/>
        </w:numPr>
        <w:ind w:left="0" w:firstLine="709"/>
      </w:pPr>
      <w:r w:rsidRPr="00F822F8">
        <w:t>поощрение экономического развития на основе обрабатывающей промышленности и инновационной экономики;</w:t>
      </w:r>
    </w:p>
    <w:p w:rsidR="00CC12EF" w:rsidRPr="00F822F8" w:rsidRDefault="00CC12EF" w:rsidP="00CC12EF">
      <w:pPr>
        <w:pStyle w:val="a4"/>
        <w:numPr>
          <w:ilvl w:val="0"/>
          <w:numId w:val="2"/>
        </w:numPr>
        <w:ind w:left="0" w:firstLine="709"/>
      </w:pPr>
      <w:r w:rsidRPr="00F822F8">
        <w:t>принцип сохранения баланса между четырьмя слагающими элементами устойчивости: демографическим, экономическим, инфраструктурным и экологическим развитием;</w:t>
      </w:r>
    </w:p>
    <w:p w:rsidR="00CC12EF" w:rsidRPr="00F822F8" w:rsidRDefault="00CC12EF" w:rsidP="006A580D">
      <w:pPr>
        <w:pStyle w:val="a4"/>
        <w:numPr>
          <w:ilvl w:val="0"/>
          <w:numId w:val="2"/>
        </w:numPr>
        <w:ind w:left="0" w:firstLine="709"/>
      </w:pPr>
      <w:r w:rsidRPr="00F822F8">
        <w:t>стабилизация региональных систем расселения для увеличения их сопротивления внешним и внутренним негативным факторам;</w:t>
      </w:r>
    </w:p>
    <w:p w:rsidR="00FD5068" w:rsidRDefault="00CC12EF" w:rsidP="006A580D">
      <w:pPr>
        <w:pStyle w:val="a4"/>
        <w:numPr>
          <w:ilvl w:val="0"/>
          <w:numId w:val="2"/>
        </w:numPr>
        <w:spacing w:after="360"/>
        <w:ind w:left="0" w:firstLine="709"/>
      </w:pPr>
      <w:r w:rsidRPr="00F822F8">
        <w:t>поиск и реализация особых решений, направленных на геостратегически важные пространства – территории Севера, Дальнего Востока и приграничья.</w:t>
      </w:r>
    </w:p>
    <w:p w:rsidR="00F501C5" w:rsidRPr="006A580D" w:rsidRDefault="00F501C5" w:rsidP="00F501C5">
      <w:pPr>
        <w:pStyle w:val="a4"/>
        <w:spacing w:after="360"/>
        <w:ind w:left="709" w:firstLine="0"/>
      </w:pPr>
    </w:p>
    <w:p w:rsidR="00FD5068" w:rsidRPr="00F822F8" w:rsidRDefault="00FD5068" w:rsidP="00F501C5">
      <w:pPr>
        <w:pStyle w:val="a4"/>
        <w:spacing w:before="240"/>
        <w:ind w:left="284" w:firstLine="0"/>
        <w:jc w:val="center"/>
      </w:pPr>
      <w:r w:rsidRPr="002E1784">
        <w:rPr>
          <w:b/>
        </w:rPr>
        <w:t>Библиографический список</w:t>
      </w:r>
    </w:p>
    <w:p w:rsidR="00EE4770" w:rsidRPr="00EE4770" w:rsidRDefault="00EE4770" w:rsidP="00F501C5">
      <w:pPr>
        <w:pStyle w:val="a4"/>
        <w:numPr>
          <w:ilvl w:val="0"/>
          <w:numId w:val="6"/>
        </w:numPr>
        <w:ind w:left="0" w:firstLine="709"/>
      </w:pPr>
      <w:r w:rsidRPr="00EE4770">
        <w:t xml:space="preserve">Гордеев С.С. Оценка устойчивости пространственного социо-эколого-экономического развития в среде геоинформатики // Вестник </w:t>
      </w:r>
      <w:proofErr w:type="spellStart"/>
      <w:r w:rsidRPr="00EE4770">
        <w:t>ЧелГУ</w:t>
      </w:r>
      <w:proofErr w:type="spellEnd"/>
      <w:r w:rsidRPr="00EE4770">
        <w:t>. - 2016. - №11(393). - URL: https://cyberleninka.ru/article/n/otsenka-ustoychivosti-prostranstvennogo-sotsio-ekologo-ekonomicheskogo-razvitiya-v-srede-geoinformatiki (дата обращения: 10.09.2024).</w:t>
      </w:r>
    </w:p>
    <w:p w:rsidR="00EE4770" w:rsidRPr="00EE4770" w:rsidRDefault="00EE4770" w:rsidP="00F501C5">
      <w:pPr>
        <w:pStyle w:val="a4"/>
        <w:numPr>
          <w:ilvl w:val="0"/>
          <w:numId w:val="6"/>
        </w:numPr>
        <w:ind w:left="0" w:firstLine="709"/>
      </w:pPr>
      <w:r w:rsidRPr="00EE4770">
        <w:t>Косолапов О. В., Игнатьева М. Н. Устойчивость как одна из основных характеристик системы // Известия УГГУ. – 2013. – №4 (32). – URL: https://cyberleninka.ru/article/n/ustoychivost-kak-odna-iz-osnovnyh-harakteristik-sistemy (дата обращения: 24.09.2024).</w:t>
      </w:r>
    </w:p>
    <w:p w:rsidR="00EE4770" w:rsidRPr="00E442FA" w:rsidRDefault="00EE4770" w:rsidP="00F501C5">
      <w:pPr>
        <w:pStyle w:val="a4"/>
        <w:numPr>
          <w:ilvl w:val="0"/>
          <w:numId w:val="6"/>
        </w:numPr>
        <w:ind w:left="0" w:firstLine="709"/>
      </w:pPr>
      <w:r w:rsidRPr="004F22A4">
        <w:t xml:space="preserve">Распоряжение Правительства РФ от 28.12.2024 N 4146-р </w:t>
      </w:r>
      <w:r>
        <w:t>«</w:t>
      </w:r>
      <w:r w:rsidRPr="004F22A4">
        <w:t>Об утверждении Стратегии пространственного развития Российской Федерации на период до 2030 года с прогнозом до 2036 года</w:t>
      </w:r>
      <w:r>
        <w:t xml:space="preserve">» </w:t>
      </w:r>
      <w:r w:rsidRPr="00E442FA">
        <w:t>Источник: СПС «Консультант Плюс»</w:t>
      </w:r>
      <w:r>
        <w:t>.</w:t>
      </w:r>
    </w:p>
    <w:p w:rsidR="00B362DA" w:rsidRDefault="00EE4770" w:rsidP="00F501C5">
      <w:pPr>
        <w:pStyle w:val="a4"/>
        <w:numPr>
          <w:ilvl w:val="0"/>
          <w:numId w:val="6"/>
        </w:numPr>
        <w:ind w:left="0" w:firstLine="709"/>
      </w:pPr>
      <w:r w:rsidRPr="00EE4770">
        <w:rPr>
          <w:lang w:val="en-US"/>
        </w:rPr>
        <w:t xml:space="preserve">Allen C. R. et al. Quantifying spatial resilience //Journal of Applied Ecology. – 2016. – </w:t>
      </w:r>
      <w:r w:rsidRPr="00EE4770">
        <w:t>Т</w:t>
      </w:r>
      <w:r w:rsidRPr="00EE4770">
        <w:rPr>
          <w:lang w:val="en-US"/>
        </w:rPr>
        <w:t xml:space="preserve">. 53. – №. </w:t>
      </w:r>
      <w:r w:rsidRPr="00EE4770">
        <w:t>3. – С. 625-635.</w:t>
      </w:r>
    </w:p>
    <w:p w:rsidR="00EE4770" w:rsidRDefault="00EE4770" w:rsidP="00F501C5">
      <w:pPr>
        <w:pStyle w:val="a4"/>
        <w:numPr>
          <w:ilvl w:val="0"/>
          <w:numId w:val="6"/>
        </w:numPr>
        <w:ind w:left="0" w:firstLine="709"/>
        <w:rPr>
          <w:lang w:val="en-US"/>
        </w:rPr>
      </w:pPr>
      <w:r w:rsidRPr="00EE4770">
        <w:rPr>
          <w:lang w:val="en-US"/>
        </w:rPr>
        <w:t xml:space="preserve">Barnes A., Nel V. Putting spatial resilience into practice //Urban Forum. – Springer Netherlands, 2017. – </w:t>
      </w:r>
      <w:r w:rsidRPr="00EE4770">
        <w:t>Т</w:t>
      </w:r>
      <w:r w:rsidRPr="00EE4770">
        <w:rPr>
          <w:lang w:val="en-US"/>
        </w:rPr>
        <w:t xml:space="preserve">. 28. – </w:t>
      </w:r>
      <w:r w:rsidRPr="00EE4770">
        <w:t>С</w:t>
      </w:r>
      <w:r w:rsidRPr="00EE4770">
        <w:rPr>
          <w:lang w:val="en-US"/>
        </w:rPr>
        <w:t>. 219-232.</w:t>
      </w:r>
    </w:p>
    <w:p w:rsidR="00F501C5" w:rsidRPr="00D460A5" w:rsidRDefault="00F501C5" w:rsidP="00F501C5">
      <w:pPr>
        <w:pStyle w:val="a4"/>
        <w:ind w:left="709" w:firstLine="0"/>
        <w:rPr>
          <w:rFonts w:eastAsia="Calibri"/>
          <w:b/>
          <w:lang w:val="en-US"/>
        </w:rPr>
      </w:pPr>
    </w:p>
    <w:p w:rsidR="00F501C5" w:rsidRDefault="00F501C5" w:rsidP="00D460A5">
      <w:pPr>
        <w:pStyle w:val="a4"/>
        <w:ind w:left="0" w:firstLine="0"/>
        <w:jc w:val="center"/>
        <w:rPr>
          <w:rFonts w:eastAsia="Calibri"/>
          <w:b/>
        </w:rPr>
      </w:pPr>
      <w:r w:rsidRPr="002E1784">
        <w:rPr>
          <w:rFonts w:eastAsia="Calibri"/>
          <w:b/>
        </w:rPr>
        <w:t>Информация об авторах на русском языке</w:t>
      </w:r>
    </w:p>
    <w:p w:rsidR="004C32A5" w:rsidRDefault="004C32A5" w:rsidP="004C32A5">
      <w:pPr>
        <w:rPr>
          <w:rFonts w:eastAsia="Calibri" w:cs="Times New Roman"/>
          <w:bCs/>
          <w:szCs w:val="24"/>
        </w:rPr>
      </w:pPr>
      <w:r w:rsidRPr="00D33407">
        <w:rPr>
          <w:rFonts w:eastAsia="Calibri" w:cs="Times New Roman"/>
          <w:bCs/>
          <w:szCs w:val="24"/>
        </w:rPr>
        <w:t xml:space="preserve">Косторниченко С.А., к. э. н., ФАУ «Единый институт пространственного планирования РФ», Руководитель группы Научно-методического отдела. </w:t>
      </w:r>
      <w:r w:rsidRPr="00D33407">
        <w:rPr>
          <w:rFonts w:eastAsia="Calibri" w:cs="Times New Roman"/>
          <w:bCs/>
          <w:szCs w:val="24"/>
          <w:lang w:val="en-US"/>
        </w:rPr>
        <w:t>Email</w:t>
      </w:r>
      <w:r w:rsidRPr="00D33407">
        <w:rPr>
          <w:rFonts w:eastAsia="Calibri" w:cs="Times New Roman"/>
          <w:bCs/>
          <w:szCs w:val="24"/>
        </w:rPr>
        <w:t xml:space="preserve">: </w:t>
      </w:r>
      <w:hyperlink r:id="rId6" w:history="1">
        <w:r w:rsidRPr="00D33407">
          <w:rPr>
            <w:rStyle w:val="a9"/>
            <w:rFonts w:eastAsia="Calibri" w:cs="Times New Roman"/>
            <w:bCs/>
            <w:szCs w:val="24"/>
            <w:lang w:val="en-US"/>
          </w:rPr>
          <w:t>KostornichenkoSA</w:t>
        </w:r>
        <w:r w:rsidRPr="00D33407">
          <w:rPr>
            <w:rStyle w:val="a9"/>
            <w:rFonts w:eastAsia="Calibri" w:cs="Times New Roman"/>
            <w:bCs/>
            <w:szCs w:val="24"/>
          </w:rPr>
          <w:t>@</w:t>
        </w:r>
        <w:r w:rsidRPr="00D33407">
          <w:rPr>
            <w:rStyle w:val="a9"/>
            <w:rFonts w:eastAsia="Calibri" w:cs="Times New Roman"/>
            <w:bCs/>
            <w:szCs w:val="24"/>
            <w:lang w:val="en-US"/>
          </w:rPr>
          <w:t>str</w:t>
        </w:r>
        <w:r w:rsidRPr="00D33407">
          <w:rPr>
            <w:rStyle w:val="a9"/>
            <w:rFonts w:eastAsia="Calibri" w:cs="Times New Roman"/>
            <w:bCs/>
            <w:szCs w:val="24"/>
          </w:rPr>
          <w:t>.</w:t>
        </w:r>
        <w:r w:rsidRPr="00D33407">
          <w:rPr>
            <w:rStyle w:val="a9"/>
            <w:rFonts w:eastAsia="Calibri" w:cs="Times New Roman"/>
            <w:bCs/>
            <w:szCs w:val="24"/>
            <w:lang w:val="en-US"/>
          </w:rPr>
          <w:t>mos</w:t>
        </w:r>
        <w:r w:rsidRPr="00D33407">
          <w:rPr>
            <w:rStyle w:val="a9"/>
            <w:rFonts w:eastAsia="Calibri" w:cs="Times New Roman"/>
            <w:bCs/>
            <w:szCs w:val="24"/>
          </w:rPr>
          <w:t>.</w:t>
        </w:r>
        <w:proofErr w:type="spellStart"/>
        <w:r w:rsidRPr="00D33407">
          <w:rPr>
            <w:rStyle w:val="a9"/>
            <w:rFonts w:eastAsia="Calibri" w:cs="Times New Roman"/>
            <w:bCs/>
            <w:szCs w:val="24"/>
            <w:lang w:val="en-US"/>
          </w:rPr>
          <w:t>ru</w:t>
        </w:r>
        <w:proofErr w:type="spellEnd"/>
      </w:hyperlink>
      <w:r w:rsidRPr="00D33407">
        <w:rPr>
          <w:rFonts w:eastAsia="Calibri" w:cs="Times New Roman"/>
          <w:bCs/>
          <w:szCs w:val="24"/>
        </w:rPr>
        <w:t xml:space="preserve"> Тел: (495) 276-23-50 доб. 689</w:t>
      </w:r>
    </w:p>
    <w:p w:rsidR="004C32A5" w:rsidRPr="00D33407" w:rsidRDefault="004C32A5" w:rsidP="004C32A5">
      <w:pPr>
        <w:rPr>
          <w:rFonts w:eastAsia="Calibri" w:cs="Times New Roman"/>
          <w:bCs/>
          <w:szCs w:val="24"/>
        </w:rPr>
      </w:pPr>
    </w:p>
    <w:p w:rsidR="004C32A5" w:rsidRPr="00D33407" w:rsidRDefault="004C32A5" w:rsidP="004C32A5">
      <w:pPr>
        <w:rPr>
          <w:rFonts w:eastAsia="Calibri" w:cs="Times New Roman"/>
          <w:bCs/>
          <w:szCs w:val="24"/>
        </w:rPr>
      </w:pPr>
      <w:r w:rsidRPr="00D33407">
        <w:rPr>
          <w:rFonts w:eastAsia="Calibri" w:cs="Times New Roman"/>
          <w:bCs/>
          <w:szCs w:val="24"/>
        </w:rPr>
        <w:t xml:space="preserve">Лысенко В.Н., ФАУ «Единый институт пространственного планирования РФ», Младший научный сотрудник Научно-методического отдела. </w:t>
      </w:r>
      <w:r w:rsidRPr="00D33407">
        <w:rPr>
          <w:rFonts w:eastAsia="Calibri" w:cs="Times New Roman"/>
          <w:bCs/>
          <w:szCs w:val="24"/>
          <w:lang w:val="en-US"/>
        </w:rPr>
        <w:t>Email</w:t>
      </w:r>
      <w:r w:rsidRPr="00D33407">
        <w:rPr>
          <w:rFonts w:eastAsia="Calibri" w:cs="Times New Roman"/>
          <w:bCs/>
          <w:szCs w:val="24"/>
        </w:rPr>
        <w:t xml:space="preserve">: </w:t>
      </w:r>
      <w:hyperlink r:id="rId7" w:history="1">
        <w:r w:rsidRPr="00D33407">
          <w:rPr>
            <w:rStyle w:val="a9"/>
            <w:rFonts w:eastAsia="Calibri" w:cs="Times New Roman"/>
            <w:bCs/>
            <w:szCs w:val="24"/>
            <w:lang w:val="en-US"/>
          </w:rPr>
          <w:t>LysenkoVN</w:t>
        </w:r>
        <w:r w:rsidRPr="00D33407">
          <w:rPr>
            <w:rStyle w:val="a9"/>
            <w:rFonts w:eastAsia="Calibri" w:cs="Times New Roman"/>
            <w:bCs/>
            <w:szCs w:val="24"/>
          </w:rPr>
          <w:t>@</w:t>
        </w:r>
        <w:r w:rsidRPr="00D33407">
          <w:rPr>
            <w:rStyle w:val="a9"/>
            <w:rFonts w:eastAsia="Calibri" w:cs="Times New Roman"/>
            <w:bCs/>
            <w:szCs w:val="24"/>
            <w:lang w:val="en-US"/>
          </w:rPr>
          <w:t>str</w:t>
        </w:r>
        <w:r w:rsidRPr="00D33407">
          <w:rPr>
            <w:rStyle w:val="a9"/>
            <w:rFonts w:eastAsia="Calibri" w:cs="Times New Roman"/>
            <w:bCs/>
            <w:szCs w:val="24"/>
          </w:rPr>
          <w:t>.</w:t>
        </w:r>
        <w:r w:rsidRPr="00D33407">
          <w:rPr>
            <w:rStyle w:val="a9"/>
            <w:rFonts w:eastAsia="Calibri" w:cs="Times New Roman"/>
            <w:bCs/>
            <w:szCs w:val="24"/>
            <w:lang w:val="en-US"/>
          </w:rPr>
          <w:t>mos</w:t>
        </w:r>
        <w:r w:rsidRPr="00D33407">
          <w:rPr>
            <w:rStyle w:val="a9"/>
            <w:rFonts w:eastAsia="Calibri" w:cs="Times New Roman"/>
            <w:bCs/>
            <w:szCs w:val="24"/>
          </w:rPr>
          <w:t>.</w:t>
        </w:r>
        <w:proofErr w:type="spellStart"/>
        <w:r w:rsidRPr="00D33407">
          <w:rPr>
            <w:rStyle w:val="a9"/>
            <w:rFonts w:eastAsia="Calibri" w:cs="Times New Roman"/>
            <w:bCs/>
            <w:szCs w:val="24"/>
            <w:lang w:val="en-US"/>
          </w:rPr>
          <w:t>ru</w:t>
        </w:r>
        <w:proofErr w:type="spellEnd"/>
      </w:hyperlink>
      <w:r w:rsidRPr="00D33407">
        <w:rPr>
          <w:rFonts w:eastAsia="Calibri" w:cs="Times New Roman"/>
          <w:bCs/>
          <w:szCs w:val="24"/>
        </w:rPr>
        <w:t xml:space="preserve"> Тел: (495) 276-23-50 доб. 628</w:t>
      </w:r>
    </w:p>
    <w:p w:rsidR="00D460A5" w:rsidRDefault="00D460A5" w:rsidP="00D460A5">
      <w:pPr>
        <w:pStyle w:val="a4"/>
        <w:ind w:left="0" w:firstLine="0"/>
        <w:jc w:val="center"/>
      </w:pPr>
    </w:p>
    <w:p w:rsidR="00436DE4" w:rsidRDefault="00436DE4" w:rsidP="00D460A5">
      <w:pPr>
        <w:pStyle w:val="a4"/>
        <w:ind w:left="0" w:firstLine="0"/>
        <w:jc w:val="center"/>
      </w:pPr>
    </w:p>
    <w:p w:rsidR="00436DE4" w:rsidRPr="00436DE4" w:rsidRDefault="00436DE4" w:rsidP="00436DE4">
      <w:pPr>
        <w:pStyle w:val="a4"/>
        <w:ind w:left="0" w:firstLine="0"/>
        <w:jc w:val="right"/>
        <w:rPr>
          <w:b/>
          <w:lang w:val="en-US"/>
        </w:rPr>
      </w:pPr>
      <w:proofErr w:type="spellStart"/>
      <w:r w:rsidRPr="00436DE4">
        <w:rPr>
          <w:b/>
          <w:lang w:val="en-US"/>
        </w:rPr>
        <w:t>Kostornichenko</w:t>
      </w:r>
      <w:proofErr w:type="spellEnd"/>
      <w:r w:rsidRPr="00436DE4">
        <w:rPr>
          <w:b/>
          <w:lang w:val="en-US"/>
        </w:rPr>
        <w:t xml:space="preserve"> S.A.</w:t>
      </w:r>
    </w:p>
    <w:p w:rsidR="00436DE4" w:rsidRPr="00436DE4" w:rsidRDefault="00436DE4" w:rsidP="00436DE4">
      <w:pPr>
        <w:pStyle w:val="a4"/>
        <w:ind w:left="0" w:firstLine="0"/>
        <w:jc w:val="right"/>
        <w:rPr>
          <w:b/>
          <w:lang w:val="en-US"/>
        </w:rPr>
      </w:pPr>
      <w:r w:rsidRPr="00436DE4">
        <w:rPr>
          <w:b/>
          <w:lang w:val="en-US"/>
        </w:rPr>
        <w:t>Lysenko V.N.</w:t>
      </w:r>
    </w:p>
    <w:p w:rsidR="00436DE4" w:rsidRPr="00436DE4" w:rsidRDefault="00436DE4" w:rsidP="00436DE4">
      <w:pPr>
        <w:ind w:firstLine="0"/>
        <w:jc w:val="center"/>
        <w:rPr>
          <w:b/>
          <w:lang w:val="en-US"/>
        </w:rPr>
      </w:pPr>
      <w:r w:rsidRPr="00436DE4">
        <w:rPr>
          <w:b/>
          <w:lang w:val="en-US"/>
        </w:rPr>
        <w:t>APPROACHES TO ASSESSING THE BALANCED REGIONAL DEVELOPMENT FOR SUSTAINABLE SPATIAL OF THE COUNTRY DEVELOPMENT</w:t>
      </w:r>
    </w:p>
    <w:p w:rsidR="00D460A5" w:rsidRPr="00436DE4" w:rsidRDefault="00D460A5" w:rsidP="00D460A5">
      <w:pPr>
        <w:pStyle w:val="a4"/>
        <w:ind w:left="0" w:firstLine="0"/>
        <w:jc w:val="center"/>
        <w:rPr>
          <w:lang w:val="en-US"/>
        </w:rPr>
      </w:pPr>
    </w:p>
    <w:p w:rsidR="00D460A5" w:rsidRDefault="00D460A5" w:rsidP="00D460A5">
      <w:pPr>
        <w:rPr>
          <w:rFonts w:eastAsia="Calibri" w:cs="Times New Roman"/>
          <w:bCs/>
          <w:szCs w:val="24"/>
          <w:lang w:val="en-US"/>
        </w:rPr>
      </w:pPr>
      <w:proofErr w:type="spellStart"/>
      <w:r>
        <w:rPr>
          <w:rFonts w:eastAsia="Calibri" w:cs="Times New Roman"/>
          <w:b/>
          <w:bCs/>
          <w:szCs w:val="24"/>
          <w:lang w:val="en-US"/>
        </w:rPr>
        <w:t>Abtract</w:t>
      </w:r>
      <w:proofErr w:type="spellEnd"/>
      <w:r>
        <w:rPr>
          <w:rFonts w:eastAsia="Calibri" w:cs="Times New Roman"/>
          <w:b/>
          <w:bCs/>
          <w:szCs w:val="24"/>
          <w:lang w:val="en-US"/>
        </w:rPr>
        <w:t xml:space="preserve">: </w:t>
      </w:r>
      <w:r w:rsidR="004C32A5" w:rsidRPr="004E0A0E">
        <w:rPr>
          <w:rFonts w:eastAsia="Calibri" w:cs="Times New Roman"/>
          <w:bCs/>
          <w:szCs w:val="24"/>
          <w:lang w:val="en-US"/>
        </w:rPr>
        <w:t>The present research is aimed at developing a mathematical framework for evaluating spatial sustainability and regional development balance in Russia. The objective is to elaborate a robust methodology that supports the actualization and implementation of enhanced regulatory and incentive-based policy instruments</w:t>
      </w:r>
    </w:p>
    <w:p w:rsidR="00D460A5" w:rsidRDefault="00D460A5" w:rsidP="00D460A5">
      <w:pPr>
        <w:rPr>
          <w:rFonts w:eastAsia="Calibri" w:cs="Times New Roman"/>
          <w:bCs/>
          <w:szCs w:val="24"/>
          <w:lang w:val="en-US"/>
        </w:rPr>
      </w:pPr>
      <w:r w:rsidRPr="004E0A0E">
        <w:rPr>
          <w:rFonts w:eastAsia="Calibri" w:cs="Times New Roman"/>
          <w:b/>
          <w:bCs/>
          <w:szCs w:val="24"/>
          <w:lang w:val="en-US"/>
        </w:rPr>
        <w:t>Keywords:</w:t>
      </w:r>
      <w:r>
        <w:rPr>
          <w:rFonts w:eastAsia="Calibri" w:cs="Times New Roman"/>
          <w:bCs/>
          <w:szCs w:val="24"/>
          <w:lang w:val="en-US"/>
        </w:rPr>
        <w:t xml:space="preserve"> </w:t>
      </w:r>
      <w:r w:rsidRPr="004E0A0E">
        <w:rPr>
          <w:rFonts w:eastAsia="Calibri" w:cs="Times New Roman"/>
          <w:bCs/>
          <w:szCs w:val="24"/>
          <w:lang w:val="en-US"/>
        </w:rPr>
        <w:t>Spatial balance, sustainability, typology of regions, spatial development.</w:t>
      </w:r>
    </w:p>
    <w:p w:rsidR="004C32A5" w:rsidRDefault="004C32A5" w:rsidP="00D460A5">
      <w:pPr>
        <w:rPr>
          <w:rFonts w:eastAsia="Calibri" w:cs="Times New Roman"/>
          <w:bCs/>
          <w:szCs w:val="24"/>
          <w:lang w:val="en-US"/>
        </w:rPr>
      </w:pPr>
    </w:p>
    <w:p w:rsidR="004C32A5" w:rsidRPr="00D33407" w:rsidRDefault="004C32A5" w:rsidP="004C32A5">
      <w:pPr>
        <w:rPr>
          <w:lang w:val="en-US"/>
        </w:rPr>
      </w:pPr>
      <w:proofErr w:type="spellStart"/>
      <w:r w:rsidRPr="00D33407">
        <w:rPr>
          <w:lang w:val="en-US"/>
        </w:rPr>
        <w:t>Kostornichenko</w:t>
      </w:r>
      <w:proofErr w:type="spellEnd"/>
      <w:r w:rsidRPr="00D33407">
        <w:rPr>
          <w:lang w:val="en-US"/>
        </w:rPr>
        <w:t xml:space="preserve"> S.A., Ph.D. (Economics), </w:t>
      </w:r>
      <w:r w:rsidRPr="004C32A5">
        <w:rPr>
          <w:lang w:val="en-US"/>
        </w:rPr>
        <w:t>State Research and Design Institute for Spatial Planning of Russian Federation</w:t>
      </w:r>
      <w:r w:rsidRPr="00D33407">
        <w:rPr>
          <w:lang w:val="en-US"/>
        </w:rPr>
        <w:t>, Head of the Group, Department of Scientific and Methodological Support.</w:t>
      </w:r>
      <w:r w:rsidRPr="004C32A5">
        <w:rPr>
          <w:lang w:val="en-US"/>
        </w:rPr>
        <w:t xml:space="preserve"> </w:t>
      </w:r>
      <w:r w:rsidRPr="00D33407">
        <w:rPr>
          <w:lang w:val="en-US"/>
        </w:rPr>
        <w:t xml:space="preserve">Email: </w:t>
      </w:r>
      <w:hyperlink r:id="rId8" w:history="1">
        <w:r w:rsidRPr="00182007">
          <w:rPr>
            <w:rStyle w:val="a9"/>
            <w:lang w:val="en-US"/>
          </w:rPr>
          <w:t>KostornichenkoSA@str.mos.ru</w:t>
        </w:r>
      </w:hyperlink>
      <w:r w:rsidRPr="004C32A5">
        <w:rPr>
          <w:lang w:val="en-US"/>
        </w:rPr>
        <w:t xml:space="preserve">. </w:t>
      </w:r>
      <w:r w:rsidRPr="00D33407">
        <w:rPr>
          <w:lang w:val="en-US"/>
        </w:rPr>
        <w:t>Phone: +7 (495) 276-23-50 ext. 689</w:t>
      </w:r>
    </w:p>
    <w:p w:rsidR="004C32A5" w:rsidRPr="00D33407" w:rsidRDefault="004C32A5" w:rsidP="004C32A5">
      <w:pPr>
        <w:rPr>
          <w:lang w:val="en-US"/>
        </w:rPr>
      </w:pPr>
    </w:p>
    <w:p w:rsidR="004C32A5" w:rsidRPr="004E0A0E" w:rsidRDefault="004C32A5" w:rsidP="004C32A5">
      <w:pPr>
        <w:rPr>
          <w:rFonts w:eastAsia="Calibri" w:cs="Times New Roman"/>
          <w:bCs/>
          <w:szCs w:val="24"/>
          <w:lang w:val="en-US"/>
        </w:rPr>
      </w:pPr>
      <w:r w:rsidRPr="00D33407">
        <w:rPr>
          <w:lang w:val="en-US"/>
        </w:rPr>
        <w:t xml:space="preserve">Lysenko V.N., </w:t>
      </w:r>
      <w:r w:rsidRPr="004C32A5">
        <w:rPr>
          <w:lang w:val="en-US"/>
        </w:rPr>
        <w:t>State Research and Design Institute for Spatial Planning of Russian Federation</w:t>
      </w:r>
      <w:r w:rsidRPr="00D33407">
        <w:rPr>
          <w:lang w:val="en-US"/>
        </w:rPr>
        <w:t>, Junior Researcher, Department of Scientific and Methodological Support.</w:t>
      </w:r>
      <w:r w:rsidRPr="004C32A5">
        <w:rPr>
          <w:lang w:val="en-US"/>
        </w:rPr>
        <w:t xml:space="preserve"> </w:t>
      </w:r>
      <w:r w:rsidRPr="00D33407">
        <w:rPr>
          <w:lang w:val="en-US"/>
        </w:rPr>
        <w:t xml:space="preserve">Email: </w:t>
      </w:r>
      <w:hyperlink r:id="rId9" w:history="1">
        <w:r w:rsidRPr="00182007">
          <w:rPr>
            <w:rStyle w:val="a9"/>
            <w:lang w:val="en-US"/>
          </w:rPr>
          <w:t>LysenkoVN@str.mos.ru</w:t>
        </w:r>
      </w:hyperlink>
      <w:r w:rsidRPr="004C32A5">
        <w:rPr>
          <w:lang w:val="en-US"/>
        </w:rPr>
        <w:t xml:space="preserve"> </w:t>
      </w:r>
      <w:r w:rsidRPr="00D33407">
        <w:rPr>
          <w:lang w:val="en-US"/>
        </w:rPr>
        <w:t>Phone: +7 (495) 276-23-50 ext. 628</w:t>
      </w:r>
    </w:p>
    <w:p w:rsidR="00D460A5" w:rsidRDefault="00D460A5" w:rsidP="00D460A5">
      <w:pPr>
        <w:rPr>
          <w:rFonts w:eastAsia="Calibri" w:cs="Times New Roman"/>
          <w:bCs/>
          <w:szCs w:val="24"/>
          <w:lang w:val="en-US"/>
        </w:rPr>
      </w:pPr>
    </w:p>
    <w:p w:rsidR="004C32A5" w:rsidRPr="00054D24" w:rsidRDefault="004C32A5" w:rsidP="004C32A5">
      <w:pPr>
        <w:rPr>
          <w:lang w:val="en-US"/>
        </w:rPr>
      </w:pPr>
      <w:r>
        <w:rPr>
          <w:lang w:val="en-US"/>
        </w:rPr>
        <w:t xml:space="preserve">1. </w:t>
      </w:r>
      <w:r w:rsidRPr="00054D24">
        <w:rPr>
          <w:lang w:val="en-US"/>
        </w:rPr>
        <w:t xml:space="preserve">Gordeev, S.S. (2016). </w:t>
      </w:r>
      <w:r w:rsidRPr="004C32A5">
        <w:rPr>
          <w:lang w:val="en-US"/>
        </w:rPr>
        <w:t>«</w:t>
      </w:r>
      <w:r w:rsidRPr="00054D24">
        <w:rPr>
          <w:lang w:val="en-US"/>
        </w:rPr>
        <w:t>Assessment of the sustainability of spatial socio-ecological and economic development in a GIS environment</w:t>
      </w:r>
      <w:r w:rsidRPr="004C32A5">
        <w:rPr>
          <w:lang w:val="en-US"/>
        </w:rPr>
        <w:t>»</w:t>
      </w:r>
      <w:r w:rsidRPr="00054D24">
        <w:rPr>
          <w:lang w:val="en-US"/>
        </w:rPr>
        <w:t>. Bulletin of Chelyabinsk State University, No. 11(393). Available at: https://cyberleninka.ru/article/n/otsenka-ustoychivosti-prostranstvennogo-sotsio-ekologo-ekonomicheskogo-razvitiya-v-srede-geoinformatiki (accessed: 10.09.2024).</w:t>
      </w:r>
    </w:p>
    <w:p w:rsidR="004C32A5" w:rsidRPr="00054D24" w:rsidRDefault="004C32A5" w:rsidP="004C32A5">
      <w:pPr>
        <w:rPr>
          <w:lang w:val="en-US"/>
        </w:rPr>
      </w:pPr>
      <w:r w:rsidRPr="00054D24">
        <w:rPr>
          <w:lang w:val="en-US"/>
        </w:rPr>
        <w:t xml:space="preserve">2. </w:t>
      </w:r>
      <w:proofErr w:type="spellStart"/>
      <w:r w:rsidRPr="00054D24">
        <w:rPr>
          <w:lang w:val="en-US"/>
        </w:rPr>
        <w:t>Kosolapov</w:t>
      </w:r>
      <w:proofErr w:type="spellEnd"/>
      <w:r w:rsidRPr="00054D24">
        <w:rPr>
          <w:lang w:val="en-US"/>
        </w:rPr>
        <w:t xml:space="preserve">, O.V., </w:t>
      </w:r>
      <w:proofErr w:type="spellStart"/>
      <w:r w:rsidRPr="00054D24">
        <w:rPr>
          <w:lang w:val="en-US"/>
        </w:rPr>
        <w:t>Ignatyeva</w:t>
      </w:r>
      <w:proofErr w:type="spellEnd"/>
      <w:r w:rsidRPr="00054D24">
        <w:rPr>
          <w:lang w:val="en-US"/>
        </w:rPr>
        <w:t xml:space="preserve">, M.N. (2013). </w:t>
      </w:r>
      <w:r w:rsidRPr="004C32A5">
        <w:rPr>
          <w:lang w:val="en-US"/>
        </w:rPr>
        <w:t>«</w:t>
      </w:r>
      <w:r w:rsidRPr="00054D24">
        <w:rPr>
          <w:lang w:val="en-US"/>
        </w:rPr>
        <w:t>Sustainability as One of the Key Characteristics of a System</w:t>
      </w:r>
      <w:r w:rsidRPr="004C32A5">
        <w:rPr>
          <w:lang w:val="en-US"/>
        </w:rPr>
        <w:t>»</w:t>
      </w:r>
      <w:r w:rsidRPr="00054D24">
        <w:rPr>
          <w:lang w:val="en-US"/>
        </w:rPr>
        <w:t>. News of the Ural State Mining University, No. 4 (32). Available at: https://cyberleninka.ru/article/n/ustoychivost-kak-odna-iz-osnovnyh-harakteristik-sistemy (accessed: 24.09.2024).</w:t>
      </w:r>
    </w:p>
    <w:p w:rsidR="004C32A5" w:rsidRPr="00054D24" w:rsidRDefault="004C32A5" w:rsidP="004C32A5">
      <w:pPr>
        <w:rPr>
          <w:lang w:val="en-US"/>
        </w:rPr>
      </w:pPr>
      <w:r w:rsidRPr="00054D24">
        <w:rPr>
          <w:lang w:val="en-US"/>
        </w:rPr>
        <w:t xml:space="preserve">3.Government of the Russian Federation Order No. 4146-r dated December 28, 2024 </w:t>
      </w:r>
      <w:r w:rsidRPr="004C32A5">
        <w:rPr>
          <w:lang w:val="en-US"/>
        </w:rPr>
        <w:t>«</w:t>
      </w:r>
      <w:r w:rsidRPr="00054D24">
        <w:rPr>
          <w:lang w:val="en-US"/>
        </w:rPr>
        <w:t>On Approval of the Strategy for Spatial Development of the Russian Federation for the Period until 2030 with a Forecast up to 2036</w:t>
      </w:r>
      <w:r w:rsidRPr="004C32A5">
        <w:rPr>
          <w:lang w:val="en-US"/>
        </w:rPr>
        <w:t>»</w:t>
      </w:r>
      <w:r w:rsidRPr="00054D24">
        <w:rPr>
          <w:lang w:val="en-US"/>
        </w:rPr>
        <w:t xml:space="preserve"> Source: </w:t>
      </w:r>
      <w:proofErr w:type="spellStart"/>
      <w:r w:rsidRPr="00054D24">
        <w:rPr>
          <w:lang w:val="en-US"/>
        </w:rPr>
        <w:t>ConsultantPlus</w:t>
      </w:r>
      <w:proofErr w:type="spellEnd"/>
      <w:r w:rsidRPr="00054D24">
        <w:rPr>
          <w:lang w:val="en-US"/>
        </w:rPr>
        <w:t xml:space="preserve"> Legal Information System.</w:t>
      </w:r>
    </w:p>
    <w:p w:rsidR="004C32A5" w:rsidRPr="00054D24" w:rsidRDefault="004C32A5" w:rsidP="004C32A5">
      <w:pPr>
        <w:rPr>
          <w:lang w:val="en-US"/>
        </w:rPr>
      </w:pPr>
      <w:r w:rsidRPr="00D33407">
        <w:rPr>
          <w:lang w:val="en-US"/>
        </w:rPr>
        <w:t xml:space="preserve">4. </w:t>
      </w:r>
      <w:r w:rsidRPr="00054D24">
        <w:rPr>
          <w:lang w:val="en-US"/>
        </w:rPr>
        <w:t>Allen C. R. et al. Quantifying spatial resilience //Journal of Applied Ecology. – 2016. – Т. 53. – №. 3. – С. 625-635.</w:t>
      </w:r>
    </w:p>
    <w:p w:rsidR="004C32A5" w:rsidRDefault="004C32A5" w:rsidP="004C32A5">
      <w:pPr>
        <w:rPr>
          <w:lang w:val="en-US"/>
        </w:rPr>
      </w:pPr>
      <w:r w:rsidRPr="00054D24">
        <w:rPr>
          <w:lang w:val="en-US"/>
        </w:rPr>
        <w:t>5.</w:t>
      </w:r>
      <w:r>
        <w:rPr>
          <w:lang w:val="en-US"/>
        </w:rPr>
        <w:t xml:space="preserve"> </w:t>
      </w:r>
      <w:r w:rsidRPr="00054D24">
        <w:rPr>
          <w:lang w:val="en-US"/>
        </w:rPr>
        <w:t>Barnes A., Nel V. Putting spatial resilience into practice //Urban Forum. – Springer Netherlands, 2017. – Т. 28. – С. 219-232.</w:t>
      </w:r>
    </w:p>
    <w:p w:rsidR="00D460A5" w:rsidRPr="00D460A5" w:rsidRDefault="00D460A5" w:rsidP="00D460A5">
      <w:pPr>
        <w:pStyle w:val="a4"/>
        <w:ind w:left="0" w:firstLine="0"/>
        <w:jc w:val="center"/>
        <w:rPr>
          <w:lang w:val="en-US"/>
        </w:rPr>
      </w:pPr>
    </w:p>
    <w:sectPr w:rsidR="00D460A5" w:rsidRPr="00D460A5" w:rsidSect="00401A7B">
      <w:pgSz w:w="11900" w:h="16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49302A"/>
    <w:multiLevelType w:val="hybridMultilevel"/>
    <w:tmpl w:val="C99AC1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5A97877"/>
    <w:multiLevelType w:val="hybridMultilevel"/>
    <w:tmpl w:val="5A3036FA"/>
    <w:lvl w:ilvl="0" w:tplc="9E00F62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5F7F5C82"/>
    <w:multiLevelType w:val="hybridMultilevel"/>
    <w:tmpl w:val="5E56849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61CC0A81"/>
    <w:multiLevelType w:val="hybridMultilevel"/>
    <w:tmpl w:val="6798962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684C0548"/>
    <w:multiLevelType w:val="hybridMultilevel"/>
    <w:tmpl w:val="A9F255C0"/>
    <w:lvl w:ilvl="0" w:tplc="9E00F62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6B4D3709"/>
    <w:multiLevelType w:val="multilevel"/>
    <w:tmpl w:val="4536A458"/>
    <w:lvl w:ilvl="0">
      <w:start w:val="2"/>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74ED7E0F"/>
    <w:multiLevelType w:val="hybridMultilevel"/>
    <w:tmpl w:val="AEC0A1F4"/>
    <w:lvl w:ilvl="0" w:tplc="19D4420C">
      <w:start w:val="1"/>
      <w:numFmt w:val="decimal"/>
      <w:lvlText w:val="%1."/>
      <w:lvlJc w:val="left"/>
      <w:pPr>
        <w:ind w:left="2479" w:hanging="360"/>
      </w:pPr>
      <w:rPr>
        <w:rFonts w:hint="default"/>
      </w:rPr>
    </w:lvl>
    <w:lvl w:ilvl="1" w:tplc="04190019" w:tentative="1">
      <w:start w:val="1"/>
      <w:numFmt w:val="lowerLetter"/>
      <w:lvlText w:val="%2."/>
      <w:lvlJc w:val="left"/>
      <w:pPr>
        <w:ind w:left="2850" w:hanging="360"/>
      </w:pPr>
    </w:lvl>
    <w:lvl w:ilvl="2" w:tplc="0419001B" w:tentative="1">
      <w:start w:val="1"/>
      <w:numFmt w:val="lowerRoman"/>
      <w:lvlText w:val="%3."/>
      <w:lvlJc w:val="right"/>
      <w:pPr>
        <w:ind w:left="3570" w:hanging="180"/>
      </w:pPr>
    </w:lvl>
    <w:lvl w:ilvl="3" w:tplc="0419000F" w:tentative="1">
      <w:start w:val="1"/>
      <w:numFmt w:val="decimal"/>
      <w:lvlText w:val="%4."/>
      <w:lvlJc w:val="left"/>
      <w:pPr>
        <w:ind w:left="4290" w:hanging="360"/>
      </w:pPr>
    </w:lvl>
    <w:lvl w:ilvl="4" w:tplc="04190019" w:tentative="1">
      <w:start w:val="1"/>
      <w:numFmt w:val="lowerLetter"/>
      <w:lvlText w:val="%5."/>
      <w:lvlJc w:val="left"/>
      <w:pPr>
        <w:ind w:left="5010" w:hanging="360"/>
      </w:pPr>
    </w:lvl>
    <w:lvl w:ilvl="5" w:tplc="0419001B" w:tentative="1">
      <w:start w:val="1"/>
      <w:numFmt w:val="lowerRoman"/>
      <w:lvlText w:val="%6."/>
      <w:lvlJc w:val="right"/>
      <w:pPr>
        <w:ind w:left="5730" w:hanging="180"/>
      </w:pPr>
    </w:lvl>
    <w:lvl w:ilvl="6" w:tplc="0419000F" w:tentative="1">
      <w:start w:val="1"/>
      <w:numFmt w:val="decimal"/>
      <w:lvlText w:val="%7."/>
      <w:lvlJc w:val="left"/>
      <w:pPr>
        <w:ind w:left="6450" w:hanging="360"/>
      </w:pPr>
    </w:lvl>
    <w:lvl w:ilvl="7" w:tplc="04190019" w:tentative="1">
      <w:start w:val="1"/>
      <w:numFmt w:val="lowerLetter"/>
      <w:lvlText w:val="%8."/>
      <w:lvlJc w:val="left"/>
      <w:pPr>
        <w:ind w:left="7170" w:hanging="360"/>
      </w:pPr>
    </w:lvl>
    <w:lvl w:ilvl="8" w:tplc="0419001B" w:tentative="1">
      <w:start w:val="1"/>
      <w:numFmt w:val="lowerRoman"/>
      <w:lvlText w:val="%9."/>
      <w:lvlJc w:val="right"/>
      <w:pPr>
        <w:ind w:left="7890" w:hanging="180"/>
      </w:pPr>
    </w:lvl>
  </w:abstractNum>
  <w:num w:numId="1">
    <w:abstractNumId w:val="5"/>
  </w:num>
  <w:num w:numId="2">
    <w:abstractNumId w:val="1"/>
  </w:num>
  <w:num w:numId="3">
    <w:abstractNumId w:val="4"/>
  </w:num>
  <w:num w:numId="4">
    <w:abstractNumId w:val="6"/>
  </w:num>
  <w:num w:numId="5">
    <w:abstractNumId w:val="3"/>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1B2A"/>
    <w:rsid w:val="00035D66"/>
    <w:rsid w:val="002172FF"/>
    <w:rsid w:val="003871B9"/>
    <w:rsid w:val="00401A7B"/>
    <w:rsid w:val="00436DE4"/>
    <w:rsid w:val="00491B2A"/>
    <w:rsid w:val="004C32A5"/>
    <w:rsid w:val="004C4861"/>
    <w:rsid w:val="005742B8"/>
    <w:rsid w:val="006A580D"/>
    <w:rsid w:val="009A5F4D"/>
    <w:rsid w:val="00AC145F"/>
    <w:rsid w:val="00B362DA"/>
    <w:rsid w:val="00B87F14"/>
    <w:rsid w:val="00BC1CB2"/>
    <w:rsid w:val="00BC5716"/>
    <w:rsid w:val="00CC12EF"/>
    <w:rsid w:val="00CC530D"/>
    <w:rsid w:val="00D460A5"/>
    <w:rsid w:val="00E36688"/>
    <w:rsid w:val="00EE4770"/>
    <w:rsid w:val="00F4119F"/>
    <w:rsid w:val="00F425D9"/>
    <w:rsid w:val="00F501C5"/>
    <w:rsid w:val="00F822F8"/>
    <w:rsid w:val="00FD506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A815BC"/>
  <w15:chartTrackingRefBased/>
  <w15:docId w15:val="{3CB38FAB-7772-4740-9CA9-BD0FF9507B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B362DA"/>
    <w:pPr>
      <w:ind w:firstLine="709"/>
      <w:jc w:val="both"/>
    </w:pPr>
    <w:rPr>
      <w:rFonts w:ascii="Times New Roman" w:hAnsi="Times New Roman"/>
      <w:szCs w:val="22"/>
    </w:rPr>
  </w:style>
  <w:style w:type="paragraph" w:styleId="2">
    <w:name w:val="heading 2"/>
    <w:aliases w:val="1.1. Заголовок"/>
    <w:basedOn w:val="a"/>
    <w:next w:val="a"/>
    <w:link w:val="20"/>
    <w:uiPriority w:val="9"/>
    <w:qFormat/>
    <w:rsid w:val="00491B2A"/>
    <w:pPr>
      <w:keepNext/>
      <w:spacing w:before="120"/>
      <w:outlineLvl w:val="1"/>
    </w:pPr>
    <w:rPr>
      <w:rFonts w:eastAsia="Calibri" w:cs="Times New Roman"/>
      <w:b/>
      <w:bCs/>
      <w:iCs/>
      <w:szCs w:val="28"/>
      <w:lang w:eastAsia="ru-RU"/>
    </w:rPr>
  </w:style>
  <w:style w:type="paragraph" w:styleId="3">
    <w:name w:val="heading 3"/>
    <w:aliases w:val="1.1.1. Заголовок"/>
    <w:basedOn w:val="a"/>
    <w:next w:val="a"/>
    <w:link w:val="30"/>
    <w:uiPriority w:val="9"/>
    <w:qFormat/>
    <w:rsid w:val="00491B2A"/>
    <w:pPr>
      <w:keepNext/>
      <w:keepLines/>
      <w:spacing w:before="240"/>
      <w:outlineLvl w:val="2"/>
    </w:pPr>
    <w:rPr>
      <w:rFonts w:eastAsia="Calibri" w:cs="Times New Roman"/>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aliases w:val="1.1. Заголовок Знак"/>
    <w:basedOn w:val="a0"/>
    <w:link w:val="2"/>
    <w:uiPriority w:val="9"/>
    <w:rsid w:val="00491B2A"/>
    <w:rPr>
      <w:rFonts w:ascii="Times New Roman" w:eastAsia="Calibri" w:hAnsi="Times New Roman" w:cs="Times New Roman"/>
      <w:b/>
      <w:bCs/>
      <w:iCs/>
      <w:sz w:val="28"/>
      <w:szCs w:val="28"/>
      <w:lang w:eastAsia="ru-RU"/>
    </w:rPr>
  </w:style>
  <w:style w:type="character" w:customStyle="1" w:styleId="30">
    <w:name w:val="Заголовок 3 Знак"/>
    <w:aliases w:val="1.1.1. Заголовок Знак"/>
    <w:basedOn w:val="a0"/>
    <w:link w:val="3"/>
    <w:uiPriority w:val="9"/>
    <w:rsid w:val="00491B2A"/>
    <w:rPr>
      <w:rFonts w:ascii="Times New Roman" w:eastAsia="Calibri" w:hAnsi="Times New Roman" w:cs="Times New Roman"/>
      <w:b/>
      <w:bCs/>
      <w:sz w:val="28"/>
      <w:szCs w:val="22"/>
    </w:rPr>
  </w:style>
  <w:style w:type="table" w:styleId="a3">
    <w:name w:val="Table Grid"/>
    <w:basedOn w:val="a1"/>
    <w:uiPriority w:val="39"/>
    <w:rsid w:val="00491B2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ПАРАГРАФ,Bullet List,FooterText,numbered,Table-Normal,RSHB_Table-Normal,Paragraphe de liste1,lp1,SL_Абзац списка,Нумерованый список,СпБезКС,1,UL,Абзац маркированнный,Use Case List Paragraph,Абзац списка (номер),Булит,Bullet 1,Начало абзаца"/>
    <w:basedOn w:val="a"/>
    <w:link w:val="a5"/>
    <w:uiPriority w:val="34"/>
    <w:qFormat/>
    <w:rsid w:val="00491B2A"/>
    <w:pPr>
      <w:ind w:left="720"/>
      <w:contextualSpacing/>
    </w:pPr>
    <w:rPr>
      <w:rFonts w:eastAsia="Times New Roman" w:cs="Times New Roman"/>
      <w:szCs w:val="24"/>
      <w:lang w:eastAsia="ru-RU"/>
    </w:rPr>
  </w:style>
  <w:style w:type="character" w:customStyle="1" w:styleId="a5">
    <w:name w:val="Абзац списка Знак"/>
    <w:aliases w:val="ПАРАГРАФ Знак,Bullet List Знак,FooterText Знак,numbered Знак,Table-Normal Знак,RSHB_Table-Normal Знак,Paragraphe de liste1 Знак,lp1 Знак,SL_Абзац списка Знак,Нумерованый список Знак,СпБезКС Знак,1 Знак,UL Знак,Абзац маркированнный Знак"/>
    <w:link w:val="a4"/>
    <w:uiPriority w:val="34"/>
    <w:qFormat/>
    <w:rsid w:val="00491B2A"/>
    <w:rPr>
      <w:rFonts w:ascii="Times New Roman" w:eastAsia="Times New Roman" w:hAnsi="Times New Roman" w:cs="Times New Roman"/>
      <w:sz w:val="28"/>
      <w:lang w:eastAsia="ru-RU"/>
    </w:rPr>
  </w:style>
  <w:style w:type="paragraph" w:styleId="a6">
    <w:name w:val="caption"/>
    <w:aliases w:val="Название таблицы Название объекта,Номер объекта,адрес,Название объекта Знак1 Знак,Название объекта Знак Знак Знак,Название объекта Знак Знак Знак Знак Знак Знак Знак Знак Знак,Название объекта Знак Знак Знак Знак Знак Знак1 Знак Знак"/>
    <w:basedOn w:val="a"/>
    <w:next w:val="a"/>
    <w:link w:val="a7"/>
    <w:uiPriority w:val="35"/>
    <w:qFormat/>
    <w:rsid w:val="00491B2A"/>
    <w:rPr>
      <w:rFonts w:eastAsia="Calibri" w:cs="Times New Roman"/>
      <w:bCs/>
      <w:color w:val="000000"/>
      <w:szCs w:val="18"/>
      <w:lang w:eastAsia="ru-RU"/>
    </w:rPr>
  </w:style>
  <w:style w:type="character" w:customStyle="1" w:styleId="a7">
    <w:name w:val="Название объекта Знак"/>
    <w:aliases w:val="Название таблицы Название объекта Знак,Номер объекта Знак,адрес Знак,Название объекта Знак1 Знак Знак,Название объекта Знак Знак Знак Знак,Название объекта Знак Знак Знак Знак Знак Знак Знак Знак Знак Знак"/>
    <w:basedOn w:val="a0"/>
    <w:link w:val="a6"/>
    <w:uiPriority w:val="35"/>
    <w:qFormat/>
    <w:rsid w:val="00491B2A"/>
    <w:rPr>
      <w:rFonts w:ascii="Times New Roman" w:eastAsia="Calibri" w:hAnsi="Times New Roman" w:cs="Times New Roman"/>
      <w:bCs/>
      <w:color w:val="000000"/>
      <w:sz w:val="28"/>
      <w:szCs w:val="18"/>
      <w:lang w:eastAsia="ru-RU"/>
    </w:rPr>
  </w:style>
  <w:style w:type="character" w:styleId="a8">
    <w:name w:val="Placeholder Text"/>
    <w:basedOn w:val="a0"/>
    <w:uiPriority w:val="99"/>
    <w:semiHidden/>
    <w:rsid w:val="00B362DA"/>
    <w:rPr>
      <w:color w:val="808080"/>
    </w:rPr>
  </w:style>
  <w:style w:type="character" w:styleId="a9">
    <w:name w:val="Hyperlink"/>
    <w:basedOn w:val="a0"/>
    <w:uiPriority w:val="99"/>
    <w:unhideWhenUsed/>
    <w:rsid w:val="004C32A5"/>
    <w:rPr>
      <w:color w:val="0563C1" w:themeColor="hyperlink"/>
      <w:u w:val="single"/>
    </w:rPr>
  </w:style>
  <w:style w:type="character" w:styleId="aa">
    <w:name w:val="Unresolved Mention"/>
    <w:basedOn w:val="a0"/>
    <w:uiPriority w:val="99"/>
    <w:semiHidden/>
    <w:unhideWhenUsed/>
    <w:rsid w:val="004C32A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1635830">
      <w:bodyDiv w:val="1"/>
      <w:marLeft w:val="0"/>
      <w:marRight w:val="0"/>
      <w:marTop w:val="0"/>
      <w:marBottom w:val="0"/>
      <w:divBdr>
        <w:top w:val="none" w:sz="0" w:space="0" w:color="auto"/>
        <w:left w:val="none" w:sz="0" w:space="0" w:color="auto"/>
        <w:bottom w:val="none" w:sz="0" w:space="0" w:color="auto"/>
        <w:right w:val="none" w:sz="0" w:space="0" w:color="auto"/>
      </w:divBdr>
    </w:div>
    <w:div w:id="1915237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ostornichenkoSA@str.mos.ru" TargetMode="External"/><Relationship Id="rId3" Type="http://schemas.openxmlformats.org/officeDocument/2006/relationships/settings" Target="settings.xml"/><Relationship Id="rId7" Type="http://schemas.openxmlformats.org/officeDocument/2006/relationships/hyperlink" Target="mailto:LysenkoVN@str.mos.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KostornichenkoSA@str.mos.ru"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LysenkoVN@str.mos.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6</Pages>
  <Words>2453</Words>
  <Characters>13983</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Соловьева Екатерина Сергеевна</cp:lastModifiedBy>
  <cp:revision>5</cp:revision>
  <dcterms:created xsi:type="dcterms:W3CDTF">2025-05-13T14:31:00Z</dcterms:created>
  <dcterms:modified xsi:type="dcterms:W3CDTF">2025-05-13T15:10:00Z</dcterms:modified>
</cp:coreProperties>
</file>