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E5080" w14:textId="1745B0E2" w:rsidR="00765008" w:rsidRPr="00765008" w:rsidRDefault="00765008" w:rsidP="004B5CEF">
      <w:pPr>
        <w:spacing w:after="0" w:line="240" w:lineRule="auto"/>
        <w:ind w:left="-567" w:firstLine="567"/>
        <w:rPr>
          <w:rFonts w:ascii="Times New Roman" w:eastAsia="Times New Roman" w:hAnsi="Times New Roman" w:cs="Times New Roman"/>
          <w:b/>
          <w:bCs/>
          <w:sz w:val="24"/>
          <w:szCs w:val="24"/>
          <w:lang w:val="ru-RU" w:eastAsia="ru-RU"/>
        </w:rPr>
      </w:pPr>
      <w:r>
        <w:rPr>
          <w:rFonts w:ascii="Times New Roman" w:eastAsia="Times New Roman" w:hAnsi="Times New Roman" w:cs="Times New Roman"/>
          <w:b/>
          <w:bCs/>
          <w:sz w:val="24"/>
          <w:szCs w:val="24"/>
          <w:lang w:val="ru-RU" w:eastAsia="ru-RU"/>
        </w:rPr>
        <w:t>УДК 338.24/ББК 65.9</w:t>
      </w:r>
    </w:p>
    <w:p w14:paraId="5235B47F" w14:textId="06363B4E" w:rsidR="00765008" w:rsidRDefault="00765008" w:rsidP="004B5CEF">
      <w:pPr>
        <w:spacing w:after="0" w:line="240" w:lineRule="auto"/>
        <w:ind w:left="-567" w:firstLine="567"/>
        <w:jc w:val="right"/>
        <w:rPr>
          <w:rFonts w:ascii="Times New Roman" w:eastAsia="Times New Roman" w:hAnsi="Times New Roman" w:cs="Times New Roman"/>
          <w:b/>
          <w:bCs/>
          <w:sz w:val="24"/>
          <w:szCs w:val="24"/>
          <w:lang w:val="ru-RU" w:eastAsia="ru-RU"/>
        </w:rPr>
      </w:pPr>
      <w:r>
        <w:rPr>
          <w:rFonts w:ascii="Times New Roman" w:eastAsia="Times New Roman" w:hAnsi="Times New Roman" w:cs="Times New Roman"/>
          <w:b/>
          <w:bCs/>
          <w:sz w:val="24"/>
          <w:szCs w:val="24"/>
          <w:lang w:val="ru-RU" w:eastAsia="ru-RU"/>
        </w:rPr>
        <w:t>Голикова А.А., Окорокова Т.Г.</w:t>
      </w:r>
    </w:p>
    <w:p w14:paraId="4E1CF9E5" w14:textId="267DE496" w:rsidR="000D60C7" w:rsidRPr="000D60C7" w:rsidRDefault="000D60C7" w:rsidP="004B5CEF">
      <w:pPr>
        <w:spacing w:after="0" w:line="240" w:lineRule="auto"/>
        <w:ind w:left="-567" w:firstLine="567"/>
        <w:jc w:val="center"/>
        <w:rPr>
          <w:rFonts w:ascii="Times New Roman" w:eastAsia="Times New Roman" w:hAnsi="Times New Roman" w:cs="Times New Roman"/>
          <w:b/>
          <w:bCs/>
          <w:sz w:val="24"/>
          <w:szCs w:val="24"/>
          <w:lang w:val="ru-RU" w:eastAsia="ru-RU"/>
        </w:rPr>
      </w:pPr>
      <w:r w:rsidRPr="000D60C7">
        <w:rPr>
          <w:rFonts w:ascii="Times New Roman" w:eastAsia="Times New Roman" w:hAnsi="Times New Roman" w:cs="Times New Roman"/>
          <w:b/>
          <w:bCs/>
          <w:sz w:val="24"/>
          <w:szCs w:val="24"/>
          <w:lang w:val="ru-RU" w:eastAsia="ru-RU"/>
        </w:rPr>
        <w:t>РАЗВИТИЕ ЦЕПОЧЕК СОЗДАНИЯ ДОБАВЛЕННОЙ СТОИМОСТИ В ЭКОНОМИКЕ РЕГИОНОВ ПРИВОЛЖСКОГО ФЕДЕРАЛЬНОГО ОКРУГА: АГРОПРОМЫШЛЕННЫЙ ПОТЕНЦИАЛ И СТРАТЕГИИ ИННОВАЦИЙ</w:t>
      </w:r>
      <w:r w:rsidRPr="000D60C7">
        <w:rPr>
          <w:rFonts w:ascii="Times New Roman" w:eastAsia="Times New Roman" w:hAnsi="Times New Roman" w:cs="Times New Roman"/>
          <w:sz w:val="24"/>
          <w:szCs w:val="24"/>
          <w:lang w:val="ru-RU" w:eastAsia="ru-RU"/>
        </w:rPr>
        <w:br/>
      </w:r>
    </w:p>
    <w:p w14:paraId="48ABB071" w14:textId="77777777" w:rsidR="000D60C7" w:rsidRPr="000D60C7"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Аннотация</w:t>
      </w:r>
      <w:r w:rsidRPr="000D60C7">
        <w:rPr>
          <w:rFonts w:ascii="Times New Roman" w:eastAsia="Times New Roman" w:hAnsi="Times New Roman" w:cs="Times New Roman"/>
          <w:sz w:val="24"/>
          <w:szCs w:val="24"/>
          <w:lang w:val="ru-RU" w:eastAsia="ru-RU"/>
        </w:rPr>
        <w:br/>
        <w:t>В статье анализируются перспективы развития цепочек создания добавленной стоимости (ЦСДС) в агропромышленном комплексе регионов Приволжского федерального округа в условиях перехода к инновационной экономике. На основе статистических данных 2022–2024 гг. выявлены структурные барьеры и драйверы интеграции регионов в ЦСДС. Особое внимание уделяется цифровизации, кластерной кооперации и механизмам господдержки. Обосновано, что вовлечение сельхозпроизводства в технологические цепочки переработки и экспорта позволит значительно повысить устойчивость региональных экономик.</w:t>
      </w:r>
    </w:p>
    <w:p w14:paraId="138720E1" w14:textId="77777777" w:rsidR="00765008" w:rsidRDefault="00765008" w:rsidP="004B5CEF">
      <w:pPr>
        <w:spacing w:after="0" w:line="240" w:lineRule="auto"/>
        <w:ind w:left="-567" w:firstLine="567"/>
        <w:jc w:val="both"/>
        <w:rPr>
          <w:rFonts w:ascii="Times New Roman" w:eastAsia="Times New Roman" w:hAnsi="Times New Roman" w:cs="Times New Roman"/>
          <w:b/>
          <w:bCs/>
          <w:sz w:val="24"/>
          <w:szCs w:val="24"/>
          <w:lang w:val="ru-RU" w:eastAsia="ru-RU"/>
        </w:rPr>
      </w:pPr>
    </w:p>
    <w:p w14:paraId="7D9CA841" w14:textId="14441931" w:rsidR="000D60C7" w:rsidRPr="000D60C7"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Ключевые слова:</w:t>
      </w:r>
      <w:r w:rsidRPr="000D60C7">
        <w:rPr>
          <w:rFonts w:ascii="Times New Roman" w:eastAsia="Times New Roman" w:hAnsi="Times New Roman" w:cs="Times New Roman"/>
          <w:sz w:val="24"/>
          <w:szCs w:val="24"/>
          <w:lang w:val="ru-RU" w:eastAsia="ru-RU"/>
        </w:rPr>
        <w:t xml:space="preserve"> добавленная стоимость, агропромышленный комплекс, Приволжский федеральный округ, региональная экономика, цифровизация, кластеризация.</w:t>
      </w:r>
    </w:p>
    <w:p w14:paraId="57ED9EBE" w14:textId="77777777" w:rsidR="00765008" w:rsidRDefault="00765008" w:rsidP="004B5CEF">
      <w:pPr>
        <w:spacing w:after="0" w:line="240" w:lineRule="auto"/>
        <w:ind w:left="-567" w:firstLine="567"/>
        <w:rPr>
          <w:rFonts w:ascii="Times New Roman" w:eastAsia="Times New Roman" w:hAnsi="Times New Roman" w:cs="Times New Roman"/>
          <w:b/>
          <w:bCs/>
          <w:sz w:val="24"/>
          <w:szCs w:val="24"/>
          <w:lang w:val="ru-RU" w:eastAsia="ru-RU"/>
        </w:rPr>
      </w:pPr>
    </w:p>
    <w:p w14:paraId="6F6E3829" w14:textId="2A73DA6C" w:rsidR="000D60C7" w:rsidRPr="000D60C7" w:rsidRDefault="000D60C7" w:rsidP="004B5CEF">
      <w:pPr>
        <w:spacing w:after="0" w:line="240" w:lineRule="auto"/>
        <w:ind w:left="-567" w:firstLine="567"/>
        <w:rPr>
          <w:rFonts w:ascii="Times New Roman" w:eastAsia="Times New Roman" w:hAnsi="Times New Roman" w:cs="Times New Roman"/>
          <w:sz w:val="24"/>
          <w:szCs w:val="24"/>
          <w:lang w:eastAsia="ru-RU"/>
        </w:rPr>
      </w:pPr>
      <w:r w:rsidRPr="000D60C7">
        <w:rPr>
          <w:rFonts w:ascii="Times New Roman" w:eastAsia="Times New Roman" w:hAnsi="Times New Roman" w:cs="Times New Roman"/>
          <w:b/>
          <w:bCs/>
          <w:sz w:val="24"/>
          <w:szCs w:val="24"/>
          <w:lang w:eastAsia="ru-RU"/>
        </w:rPr>
        <w:t>DEVELOPMENT OF VALUE CHAINS IN THE AGRICULTURAL SECTOR OF THE VOLGA FEDERAL DISTRICT: INNOVATION AND REGIONAL INTEGRATION</w:t>
      </w:r>
      <w:r w:rsidRPr="000D60C7">
        <w:rPr>
          <w:rFonts w:ascii="Times New Roman" w:eastAsia="Times New Roman" w:hAnsi="Times New Roman" w:cs="Times New Roman"/>
          <w:sz w:val="24"/>
          <w:szCs w:val="24"/>
          <w:lang w:eastAsia="ru-RU"/>
        </w:rPr>
        <w:br/>
      </w:r>
    </w:p>
    <w:p w14:paraId="726D6B1C" w14:textId="77777777" w:rsidR="000D60C7"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eastAsia="ru-RU"/>
        </w:rPr>
        <w:t>Abstract</w:t>
      </w:r>
      <w:r w:rsidRPr="000D60C7">
        <w:rPr>
          <w:rFonts w:ascii="Times New Roman" w:eastAsia="Times New Roman" w:hAnsi="Times New Roman" w:cs="Times New Roman"/>
          <w:sz w:val="24"/>
          <w:szCs w:val="24"/>
          <w:lang w:eastAsia="ru-RU"/>
        </w:rPr>
        <w:br/>
        <w:t>This article examines the potential for developing value chains in the agricultural sector of the Volga Federal District amid economic modernization and digital transformation. Based on 2022–2024 statistics, it identifies key barriers and growth points for integrating regions into global value chains. The study emphasizes cluster cooperation, digital platforms, and innovation incentives. It argues that engaging primary agricultural production in deep processing and exports is essential to strengthening regional economies.</w:t>
      </w:r>
    </w:p>
    <w:p w14:paraId="468C7D11" w14:textId="77777777" w:rsidR="000F209D" w:rsidRPr="000F209D" w:rsidRDefault="000F209D" w:rsidP="004B5CEF">
      <w:pPr>
        <w:spacing w:after="0" w:line="240" w:lineRule="auto"/>
        <w:ind w:left="-567" w:firstLine="567"/>
        <w:jc w:val="both"/>
        <w:rPr>
          <w:rFonts w:ascii="Times New Roman" w:eastAsia="Times New Roman" w:hAnsi="Times New Roman" w:cs="Times New Roman"/>
          <w:sz w:val="24"/>
          <w:szCs w:val="24"/>
          <w:lang w:val="ru-RU" w:eastAsia="ru-RU"/>
        </w:rPr>
      </w:pPr>
    </w:p>
    <w:p w14:paraId="6AB318DD" w14:textId="77777777" w:rsidR="000D60C7"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eastAsia="ru-RU"/>
        </w:rPr>
        <w:t>Keywords:</w:t>
      </w:r>
      <w:r w:rsidRPr="000D60C7">
        <w:rPr>
          <w:rFonts w:ascii="Times New Roman" w:eastAsia="Times New Roman" w:hAnsi="Times New Roman" w:cs="Times New Roman"/>
          <w:sz w:val="24"/>
          <w:szCs w:val="24"/>
          <w:lang w:eastAsia="ru-RU"/>
        </w:rPr>
        <w:t xml:space="preserve"> value chains, agro-industrial complex, Volga Federal District, regional economy, digitalization, clustering.</w:t>
      </w:r>
    </w:p>
    <w:p w14:paraId="17BCC580" w14:textId="77777777" w:rsidR="000F209D" w:rsidRPr="000F209D" w:rsidRDefault="000F209D" w:rsidP="004B5CEF">
      <w:pPr>
        <w:spacing w:after="0" w:line="240" w:lineRule="auto"/>
        <w:ind w:left="-567" w:firstLine="567"/>
        <w:jc w:val="both"/>
        <w:rPr>
          <w:rFonts w:ascii="Times New Roman" w:eastAsia="Times New Roman" w:hAnsi="Times New Roman" w:cs="Times New Roman"/>
          <w:sz w:val="24"/>
          <w:szCs w:val="24"/>
          <w:lang w:val="ru-RU" w:eastAsia="ru-RU"/>
        </w:rPr>
      </w:pPr>
    </w:p>
    <w:p w14:paraId="17D5F9DC" w14:textId="77777777" w:rsidR="00420CFF"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Современные трансформации агропромышленного комплекса (АПК) в России происходят в условиях усиливающегося внешнеэкономического давления, логистических сбоев и требований технологического суверенитета. Эти вызовы актуализируют необходимость диверсификации аграрного производства, повышения эффективности перерабатывающего сектора и формирования устойчивых региональных цепочек добавленной стоимости. В этом контексте особое значение приобретает развитие АПК в Приволжском федеральном округе (ПФО), включающем 14 субъектов Российской Федерации. Регион обладает значительным аграрным, трудовым и научно-образовательным потенциалом, а также выгодным географическим положением, способствующим выстраиванию логистических маршрутов внутри страны и на экспортные рынки</w:t>
      </w:r>
      <w:r w:rsidR="00420CFF">
        <w:rPr>
          <w:rFonts w:ascii="Times New Roman" w:eastAsia="Times New Roman" w:hAnsi="Times New Roman" w:cs="Times New Roman"/>
          <w:sz w:val="24"/>
          <w:szCs w:val="24"/>
          <w:lang w:val="ru-RU" w:eastAsia="ru-RU"/>
        </w:rPr>
        <w:t>.</w:t>
      </w:r>
    </w:p>
    <w:p w14:paraId="15F3E050" w14:textId="06DF3DC6" w:rsidR="00E36F8C" w:rsidRP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 xml:space="preserve">Несмотря на указанные предпосылки, по состоянию на 2023 год уровень переработки продукции в </w:t>
      </w:r>
      <w:proofErr w:type="spellStart"/>
      <w:r w:rsidRPr="00E36F8C">
        <w:rPr>
          <w:rFonts w:ascii="Times New Roman" w:eastAsia="Times New Roman" w:hAnsi="Times New Roman" w:cs="Times New Roman"/>
          <w:sz w:val="24"/>
          <w:szCs w:val="24"/>
          <w:lang w:val="ru-RU" w:eastAsia="ru-RU"/>
        </w:rPr>
        <w:t>агроэкспортных</w:t>
      </w:r>
      <w:proofErr w:type="spellEnd"/>
      <w:r w:rsidRPr="00E36F8C">
        <w:rPr>
          <w:rFonts w:ascii="Times New Roman" w:eastAsia="Times New Roman" w:hAnsi="Times New Roman" w:cs="Times New Roman"/>
          <w:sz w:val="24"/>
          <w:szCs w:val="24"/>
          <w:lang w:val="ru-RU" w:eastAsia="ru-RU"/>
        </w:rPr>
        <w:t xml:space="preserve"> потоках ПФО остаётся невысоким. Согласно аналитическому обзору Института экономики РАН, доля переработанных товаров в общем объёме агроэкспорта редко превышает 25% [6, с. 43]. Это свидетельствует о сохраняющейся сырьевой направленности, при которой преобладают поставки необработанных зерновых, масличных культур и животноводческого сырья. Такая структура ограничивает возможности региона по формированию дополнительной стоимости внутри субъектов, снижает налоговые поступления и создает зависимость от колебаний цен на мировых рынках. В условиях структурной перестройки российской экономики и переориентации на внутренние ресурсы стратегическая задача заключается в переходе от экспорта сырья к производству и реализации товаров с высокой </w:t>
      </w:r>
      <w:r w:rsidRPr="00E36F8C">
        <w:rPr>
          <w:rFonts w:ascii="Times New Roman" w:eastAsia="Times New Roman" w:hAnsi="Times New Roman" w:cs="Times New Roman"/>
          <w:sz w:val="24"/>
          <w:szCs w:val="24"/>
          <w:lang w:val="ru-RU" w:eastAsia="ru-RU"/>
        </w:rPr>
        <w:lastRenderedPageBreak/>
        <w:t>добавленной стоимостью, что возможно на базе внутренней кооперации, цифровизации отрасли и внедрения инновационных технологий [3; 4].</w:t>
      </w:r>
    </w:p>
    <w:p w14:paraId="04B59F96" w14:textId="3D518808" w:rsidR="00E36F8C" w:rsidRP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Сравнительный анализ субъектов округа демонстрирует значительную неоднородность в уровне глубокой переработки сельхозпродукции. В Пензенской области, по данным регионального Минсельхоза, по итогам 2023 года около 87% зерновых культур были экспортированы в виде необработанного сырья, тогда как доля готовой продукции (мука, крупы, макаронные изделия) составила лишь 13% [7, с. 18]. Это связано с недостаточным развитием перерабатывающих мощностей и слабой интеграцией фермерских хозяйств в кооперационные цепочки. Отсутствие устойчивого спроса со стороны переработчиков, а также высокая волатильность рынков сбыта затрудняют модернизацию производств и инвестиции в технологии.</w:t>
      </w:r>
    </w:p>
    <w:p w14:paraId="1A2E2590" w14:textId="188117B8" w:rsidR="00E36F8C" w:rsidRP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Саратовская область демонстрирует несколько лучшие результаты — около 22% агроэкспорта составляет продукция с добавленной стоимостью. Это обусловлено функционированием ряда зерноперерабатывающих предприятий, сконцентрированных в таких городах, как Энгельс и Балаково [8, с. 52]. Наличие логистической инфраструктуры, доступ к водным путям и меры господдержки позволили сформировать зачатки агропромышленных кластеров, однако потенциал дальнейшей переработки остаётся в значительной степени нераскрытым. Проблемой также является высокая изношенность оборудования и слабое использование цифровых решений, которые могли бы повысить управляемость цепочками поставок и прозрачность процессов.</w:t>
      </w:r>
    </w:p>
    <w:p w14:paraId="03380E16" w14:textId="77777777" w:rsid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 xml:space="preserve">Наиболее высоких показателей среди субъектов округа добилась Республика Татарстан. Здесь доля переработанных </w:t>
      </w:r>
      <w:proofErr w:type="spellStart"/>
      <w:r w:rsidRPr="00E36F8C">
        <w:rPr>
          <w:rFonts w:ascii="Times New Roman" w:eastAsia="Times New Roman" w:hAnsi="Times New Roman" w:cs="Times New Roman"/>
          <w:sz w:val="24"/>
          <w:szCs w:val="24"/>
          <w:lang w:val="ru-RU" w:eastAsia="ru-RU"/>
        </w:rPr>
        <w:t>агропродуктов</w:t>
      </w:r>
      <w:proofErr w:type="spellEnd"/>
      <w:r w:rsidRPr="00E36F8C">
        <w:rPr>
          <w:rFonts w:ascii="Times New Roman" w:eastAsia="Times New Roman" w:hAnsi="Times New Roman" w:cs="Times New Roman"/>
          <w:sz w:val="24"/>
          <w:szCs w:val="24"/>
          <w:lang w:val="ru-RU" w:eastAsia="ru-RU"/>
        </w:rPr>
        <w:t xml:space="preserve"> в структуре экспорта достигла 38% [9, с. 77]. Ключевым драйвером стало создание агропромышленного кластера «</w:t>
      </w:r>
      <w:proofErr w:type="spellStart"/>
      <w:r w:rsidRPr="00E36F8C">
        <w:rPr>
          <w:rFonts w:ascii="Times New Roman" w:eastAsia="Times New Roman" w:hAnsi="Times New Roman" w:cs="Times New Roman"/>
          <w:sz w:val="24"/>
          <w:szCs w:val="24"/>
          <w:lang w:val="ru-RU" w:eastAsia="ru-RU"/>
        </w:rPr>
        <w:t>ИнноАгро</w:t>
      </w:r>
      <w:proofErr w:type="spellEnd"/>
      <w:r w:rsidRPr="00E36F8C">
        <w:rPr>
          <w:rFonts w:ascii="Times New Roman" w:eastAsia="Times New Roman" w:hAnsi="Times New Roman" w:cs="Times New Roman"/>
          <w:sz w:val="24"/>
          <w:szCs w:val="24"/>
          <w:lang w:val="ru-RU" w:eastAsia="ru-RU"/>
        </w:rPr>
        <w:t>», в рамках которого реализуется комплекс мер по поддержке малого и среднего бизнеса, стимулируется внедрение цифровых платформ и развивается сотрудничество с научными учреждениями, в первую очередь с НИУ «Казань». Важную роль сыграла синергия между аграрными кооперативами, технопарками и профильными НИИ, что позволило повысить уровень компетенций, развить инфраструктуру сертификации, логистики и сбыта. Опыт Татарстана может рассматриваться как модель для тиражирования на другие субъекты ПФО с учётом региональной специфики.</w:t>
      </w:r>
    </w:p>
    <w:p w14:paraId="61C44552" w14:textId="77777777" w:rsid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Дополнительный потенциал для наращивания доли продукции с высокой добавленной стоимостью наблюдается и в других регионах Приволжского федерального округа. Так, в Ульяновской области, согласно данным местного Минсельхоза, к 2023 году зафиксирован устойчивый рост экспорта переработанной мясной и молочной продукции: её доля составила около 19%, что существенно выше показателя 2021 года (12%) [10, с. 22]. Подобная динамика стала возможной благодаря модернизации мясокомбинатов, внедрению стандартов ХАССП и улучшению логистической инфраструктуры. В Республике Башкортостан благодаря взаимодействию с региональными вузами и аграрным научно-исследовательским институтом был реализован ряд пилотных проектов по глубокой переработке молока, включая производство функциональных продуктов питания, что позволило увеличить долю переработанной продукции до 27% [11, с. 34].</w:t>
      </w:r>
    </w:p>
    <w:p w14:paraId="18886BE2" w14:textId="77777777" w:rsid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Таким образом, на примере отдельных субъектов ПФО прослеживается позитивная тенденция к развитию перерабатывающего сегмента АПК. Однако в целом по округу сохраняется значительный потенциал, который требует более эффективной координации на уровне государственной политики, поддержки МСП, усиления научно-производственной кооперации и широкого внедрения цифровых решений. При этом целесообразно учитывать зарубежный опыт, где ключевыми факторами успешной трансформации агропромышленного сектора стали кластерный подход, цифровизация цепочек поставок и институциональная поддержка малых форм хозяйствования [12; 13].</w:t>
      </w:r>
    </w:p>
    <w:p w14:paraId="13CAF748" w14:textId="5B869A68" w:rsidR="00E36F8C" w:rsidRDefault="00E36F8C" w:rsidP="004B5CEF">
      <w:pPr>
        <w:spacing w:after="0" w:line="240" w:lineRule="auto"/>
        <w:ind w:left="-567" w:firstLine="567"/>
        <w:jc w:val="both"/>
        <w:rPr>
          <w:rFonts w:ascii="Times New Roman" w:eastAsia="Times New Roman" w:hAnsi="Times New Roman" w:cs="Times New Roman"/>
          <w:sz w:val="24"/>
          <w:szCs w:val="24"/>
          <w:lang w:val="ru-RU" w:eastAsia="ru-RU"/>
        </w:rPr>
      </w:pPr>
      <w:r w:rsidRPr="00E36F8C">
        <w:rPr>
          <w:rFonts w:ascii="Times New Roman" w:eastAsia="Times New Roman" w:hAnsi="Times New Roman" w:cs="Times New Roman"/>
          <w:sz w:val="24"/>
          <w:szCs w:val="24"/>
          <w:lang w:val="ru-RU" w:eastAsia="ru-RU"/>
        </w:rPr>
        <w:t xml:space="preserve">Для более наглядного представления текущих различий и динамики изменений в доле глубокой переработки продукции АПК в регионах ПФО ниже приведена сводная </w:t>
      </w:r>
      <w:r w:rsidR="00E06343">
        <w:rPr>
          <w:rFonts w:ascii="Times New Roman" w:eastAsia="Times New Roman" w:hAnsi="Times New Roman" w:cs="Times New Roman"/>
          <w:sz w:val="24"/>
          <w:szCs w:val="24"/>
          <w:lang w:val="ru-RU" w:eastAsia="ru-RU"/>
        </w:rPr>
        <w:t>информация</w:t>
      </w:r>
      <w:r w:rsidRPr="00E36F8C">
        <w:rPr>
          <w:rFonts w:ascii="Times New Roman" w:eastAsia="Times New Roman" w:hAnsi="Times New Roman" w:cs="Times New Roman"/>
          <w:sz w:val="24"/>
          <w:szCs w:val="24"/>
          <w:lang w:val="ru-RU" w:eastAsia="ru-RU"/>
        </w:rPr>
        <w:t xml:space="preserve"> на основе официальной региональной и федеральной статистики за 2022–2024 годы</w:t>
      </w:r>
      <w:r w:rsidR="00E06343">
        <w:rPr>
          <w:rFonts w:ascii="Times New Roman" w:eastAsia="Times New Roman" w:hAnsi="Times New Roman" w:cs="Times New Roman"/>
          <w:sz w:val="24"/>
          <w:szCs w:val="24"/>
          <w:lang w:val="ru-RU" w:eastAsia="ru-RU"/>
        </w:rPr>
        <w:t xml:space="preserve"> (табл. 1)</w:t>
      </w:r>
      <w:r w:rsidRPr="00E36F8C">
        <w:rPr>
          <w:rFonts w:ascii="Times New Roman" w:eastAsia="Times New Roman" w:hAnsi="Times New Roman" w:cs="Times New Roman"/>
          <w:sz w:val="24"/>
          <w:szCs w:val="24"/>
          <w:lang w:val="ru-RU" w:eastAsia="ru-RU"/>
        </w:rPr>
        <w:t>.</w:t>
      </w:r>
    </w:p>
    <w:p w14:paraId="37925ED7" w14:textId="77777777" w:rsidR="00E06343" w:rsidRPr="00E06343" w:rsidRDefault="00E36F8C" w:rsidP="004B5CEF">
      <w:pPr>
        <w:spacing w:after="0" w:line="240" w:lineRule="auto"/>
        <w:ind w:left="-567" w:firstLine="567"/>
        <w:jc w:val="right"/>
        <w:rPr>
          <w:rFonts w:ascii="Times New Roman" w:eastAsia="Times New Roman" w:hAnsi="Times New Roman" w:cs="Times New Roman"/>
          <w:sz w:val="24"/>
          <w:szCs w:val="24"/>
          <w:lang w:val="ru-RU" w:eastAsia="ru-RU"/>
        </w:rPr>
      </w:pPr>
      <w:r w:rsidRPr="00E06343">
        <w:rPr>
          <w:rFonts w:ascii="Times New Roman" w:eastAsia="Times New Roman" w:hAnsi="Times New Roman" w:cs="Times New Roman"/>
          <w:sz w:val="24"/>
          <w:szCs w:val="24"/>
          <w:lang w:val="ru-RU" w:eastAsia="ru-RU"/>
        </w:rPr>
        <w:t>Таблица 1</w:t>
      </w:r>
    </w:p>
    <w:p w14:paraId="7F67AD60" w14:textId="1C1A49EA" w:rsidR="000D60C7" w:rsidRDefault="00E36F8C" w:rsidP="004B5CEF">
      <w:pPr>
        <w:spacing w:after="0" w:line="240" w:lineRule="auto"/>
        <w:ind w:left="-567" w:firstLine="567"/>
        <w:jc w:val="center"/>
        <w:rPr>
          <w:rFonts w:ascii="Times New Roman" w:eastAsia="Times New Roman" w:hAnsi="Times New Roman" w:cs="Times New Roman"/>
          <w:sz w:val="24"/>
          <w:szCs w:val="24"/>
          <w:lang w:val="ru-RU" w:eastAsia="ru-RU"/>
        </w:rPr>
      </w:pPr>
      <w:r w:rsidRPr="00E06343">
        <w:rPr>
          <w:rFonts w:ascii="Times New Roman" w:eastAsia="Times New Roman" w:hAnsi="Times New Roman" w:cs="Times New Roman"/>
          <w:sz w:val="24"/>
          <w:szCs w:val="24"/>
          <w:lang w:val="ru-RU" w:eastAsia="ru-RU"/>
        </w:rPr>
        <w:t>Доля глубокой переработки в агропромышленном экспорте</w:t>
      </w:r>
      <w:r w:rsidR="00E06343" w:rsidRPr="00E06343">
        <w:rPr>
          <w:rFonts w:ascii="Times New Roman" w:eastAsia="Times New Roman" w:hAnsi="Times New Roman" w:cs="Times New Roman"/>
          <w:sz w:val="24"/>
          <w:szCs w:val="24"/>
          <w:lang w:val="ru-RU" w:eastAsia="ru-RU"/>
        </w:rPr>
        <w:t xml:space="preserve"> </w:t>
      </w:r>
      <w:r w:rsidRPr="00E06343">
        <w:rPr>
          <w:rFonts w:ascii="Times New Roman" w:eastAsia="Times New Roman" w:hAnsi="Times New Roman" w:cs="Times New Roman"/>
          <w:sz w:val="24"/>
          <w:szCs w:val="24"/>
          <w:lang w:val="ru-RU" w:eastAsia="ru-RU"/>
        </w:rPr>
        <w:t>субъектов ПФО, % (2022–2024 гг.)</w:t>
      </w:r>
    </w:p>
    <w:p w14:paraId="3C0AC9E8" w14:textId="77777777" w:rsidR="00841EC5" w:rsidRPr="00E06343" w:rsidRDefault="00841EC5" w:rsidP="004B5CEF">
      <w:pPr>
        <w:spacing w:after="0" w:line="240" w:lineRule="auto"/>
        <w:ind w:left="-567" w:firstLine="567"/>
        <w:jc w:val="center"/>
        <w:rPr>
          <w:rFonts w:ascii="Times New Roman" w:eastAsia="Times New Roman" w:hAnsi="Times New Roman" w:cs="Times New Roman"/>
          <w:sz w:val="24"/>
          <w:szCs w:val="24"/>
          <w:lang w:val="ru-RU" w:eastAsia="ru-RU"/>
        </w:rPr>
      </w:pPr>
    </w:p>
    <w:tbl>
      <w:tblPr>
        <w:tblStyle w:val="aff0"/>
        <w:tblW w:w="9652" w:type="dxa"/>
        <w:tblInd w:w="-5" w:type="dxa"/>
        <w:tblLook w:val="04A0" w:firstRow="1" w:lastRow="0" w:firstColumn="1" w:lastColumn="0" w:noHBand="0" w:noVBand="1"/>
      </w:tblPr>
      <w:tblGrid>
        <w:gridCol w:w="2340"/>
        <w:gridCol w:w="1828"/>
        <w:gridCol w:w="1828"/>
        <w:gridCol w:w="1828"/>
        <w:gridCol w:w="1828"/>
      </w:tblGrid>
      <w:tr w:rsidR="00FB3E54" w14:paraId="269E52CC" w14:textId="77777777" w:rsidTr="00841EC5">
        <w:trPr>
          <w:trHeight w:val="317"/>
        </w:trPr>
        <w:tc>
          <w:tcPr>
            <w:tcW w:w="2340" w:type="dxa"/>
            <w:vAlign w:val="center"/>
          </w:tcPr>
          <w:p w14:paraId="0186DCFE" w14:textId="14F7134D"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lastRenderedPageBreak/>
              <w:t>Регион</w:t>
            </w:r>
          </w:p>
        </w:tc>
        <w:tc>
          <w:tcPr>
            <w:tcW w:w="1828" w:type="dxa"/>
            <w:vAlign w:val="center"/>
          </w:tcPr>
          <w:p w14:paraId="2DD8AB7B" w14:textId="65AC3F0C"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2022</w:t>
            </w:r>
          </w:p>
        </w:tc>
        <w:tc>
          <w:tcPr>
            <w:tcW w:w="1828" w:type="dxa"/>
            <w:vAlign w:val="center"/>
          </w:tcPr>
          <w:p w14:paraId="6C3751CB" w14:textId="1BFB938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2023</w:t>
            </w:r>
          </w:p>
        </w:tc>
        <w:tc>
          <w:tcPr>
            <w:tcW w:w="1828" w:type="dxa"/>
            <w:vAlign w:val="center"/>
          </w:tcPr>
          <w:p w14:paraId="2149C25C" w14:textId="1D57E95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2024*</w:t>
            </w:r>
          </w:p>
        </w:tc>
        <w:tc>
          <w:tcPr>
            <w:tcW w:w="1828" w:type="dxa"/>
            <w:vAlign w:val="center"/>
          </w:tcPr>
          <w:p w14:paraId="25B20AFB" w14:textId="50A001D4"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b/>
                <w:bCs/>
                <w:sz w:val="24"/>
                <w:szCs w:val="24"/>
                <w:lang w:val="ru-RU" w:eastAsia="ru-RU"/>
              </w:rPr>
              <w:t>Источник</w:t>
            </w:r>
          </w:p>
        </w:tc>
      </w:tr>
      <w:tr w:rsidR="00FB3E54" w14:paraId="636CE17B" w14:textId="77777777" w:rsidTr="00841EC5">
        <w:trPr>
          <w:trHeight w:val="317"/>
        </w:trPr>
        <w:tc>
          <w:tcPr>
            <w:tcW w:w="2340" w:type="dxa"/>
            <w:vAlign w:val="center"/>
          </w:tcPr>
          <w:p w14:paraId="77281028" w14:textId="2572FD94"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Пензенская область</w:t>
            </w:r>
          </w:p>
        </w:tc>
        <w:tc>
          <w:tcPr>
            <w:tcW w:w="1828" w:type="dxa"/>
            <w:vAlign w:val="center"/>
          </w:tcPr>
          <w:p w14:paraId="5700B46F" w14:textId="4776EF41"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12%</w:t>
            </w:r>
          </w:p>
        </w:tc>
        <w:tc>
          <w:tcPr>
            <w:tcW w:w="1828" w:type="dxa"/>
            <w:vAlign w:val="center"/>
          </w:tcPr>
          <w:p w14:paraId="5116E15D" w14:textId="38C57E4F"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13%</w:t>
            </w:r>
          </w:p>
        </w:tc>
        <w:tc>
          <w:tcPr>
            <w:tcW w:w="1828" w:type="dxa"/>
            <w:vAlign w:val="center"/>
          </w:tcPr>
          <w:p w14:paraId="75D07ADC" w14:textId="0B8B738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15%</w:t>
            </w:r>
          </w:p>
        </w:tc>
        <w:tc>
          <w:tcPr>
            <w:tcW w:w="1828" w:type="dxa"/>
            <w:vAlign w:val="center"/>
          </w:tcPr>
          <w:p w14:paraId="5A062E1A" w14:textId="7FDC62F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[7, с. 18]</w:t>
            </w:r>
          </w:p>
        </w:tc>
      </w:tr>
      <w:tr w:rsidR="00FB3E54" w14:paraId="5345293D" w14:textId="77777777" w:rsidTr="00841EC5">
        <w:trPr>
          <w:trHeight w:val="317"/>
        </w:trPr>
        <w:tc>
          <w:tcPr>
            <w:tcW w:w="2340" w:type="dxa"/>
            <w:vAlign w:val="center"/>
          </w:tcPr>
          <w:p w14:paraId="7C828CC2" w14:textId="44CDF59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Саратовская обл.</w:t>
            </w:r>
          </w:p>
        </w:tc>
        <w:tc>
          <w:tcPr>
            <w:tcW w:w="1828" w:type="dxa"/>
            <w:vAlign w:val="center"/>
          </w:tcPr>
          <w:p w14:paraId="375EEC48" w14:textId="2C53D443"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20%</w:t>
            </w:r>
          </w:p>
        </w:tc>
        <w:tc>
          <w:tcPr>
            <w:tcW w:w="1828" w:type="dxa"/>
            <w:vAlign w:val="center"/>
          </w:tcPr>
          <w:p w14:paraId="4F9B5F18" w14:textId="2702D47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22%</w:t>
            </w:r>
          </w:p>
        </w:tc>
        <w:tc>
          <w:tcPr>
            <w:tcW w:w="1828" w:type="dxa"/>
            <w:vAlign w:val="center"/>
          </w:tcPr>
          <w:p w14:paraId="169C0CDD" w14:textId="329E0066"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25%</w:t>
            </w:r>
          </w:p>
        </w:tc>
        <w:tc>
          <w:tcPr>
            <w:tcW w:w="1828" w:type="dxa"/>
            <w:vAlign w:val="center"/>
          </w:tcPr>
          <w:p w14:paraId="7BA63866" w14:textId="728205BE"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[8, с. 52]</w:t>
            </w:r>
          </w:p>
        </w:tc>
      </w:tr>
      <w:tr w:rsidR="00FB3E54" w14:paraId="6AED9EF8" w14:textId="77777777" w:rsidTr="00841EC5">
        <w:trPr>
          <w:trHeight w:val="317"/>
        </w:trPr>
        <w:tc>
          <w:tcPr>
            <w:tcW w:w="2340" w:type="dxa"/>
            <w:vAlign w:val="center"/>
          </w:tcPr>
          <w:p w14:paraId="39A32E74" w14:textId="01234F2D"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Татарстан</w:t>
            </w:r>
          </w:p>
        </w:tc>
        <w:tc>
          <w:tcPr>
            <w:tcW w:w="1828" w:type="dxa"/>
            <w:vAlign w:val="center"/>
          </w:tcPr>
          <w:p w14:paraId="4439F534" w14:textId="42A11C48"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34%</w:t>
            </w:r>
          </w:p>
        </w:tc>
        <w:tc>
          <w:tcPr>
            <w:tcW w:w="1828" w:type="dxa"/>
            <w:vAlign w:val="center"/>
          </w:tcPr>
          <w:p w14:paraId="7E80964A" w14:textId="39C6D312"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38%</w:t>
            </w:r>
          </w:p>
        </w:tc>
        <w:tc>
          <w:tcPr>
            <w:tcW w:w="1828" w:type="dxa"/>
            <w:vAlign w:val="center"/>
          </w:tcPr>
          <w:p w14:paraId="2612A340" w14:textId="1B9C217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42%</w:t>
            </w:r>
          </w:p>
        </w:tc>
        <w:tc>
          <w:tcPr>
            <w:tcW w:w="1828" w:type="dxa"/>
            <w:vAlign w:val="center"/>
          </w:tcPr>
          <w:p w14:paraId="340D8639" w14:textId="4FBCE0D2"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[9, с. 77]</w:t>
            </w:r>
          </w:p>
        </w:tc>
      </w:tr>
      <w:tr w:rsidR="00FB3E54" w14:paraId="20EEB6B1" w14:textId="77777777" w:rsidTr="00841EC5">
        <w:trPr>
          <w:trHeight w:val="317"/>
        </w:trPr>
        <w:tc>
          <w:tcPr>
            <w:tcW w:w="2340" w:type="dxa"/>
            <w:vAlign w:val="center"/>
          </w:tcPr>
          <w:p w14:paraId="717C8B5A" w14:textId="1C09A52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Ульяновская обл.</w:t>
            </w:r>
          </w:p>
        </w:tc>
        <w:tc>
          <w:tcPr>
            <w:tcW w:w="1828" w:type="dxa"/>
            <w:vAlign w:val="center"/>
          </w:tcPr>
          <w:p w14:paraId="51FAE066" w14:textId="3912240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15%</w:t>
            </w:r>
          </w:p>
        </w:tc>
        <w:tc>
          <w:tcPr>
            <w:tcW w:w="1828" w:type="dxa"/>
            <w:vAlign w:val="center"/>
          </w:tcPr>
          <w:p w14:paraId="207F87B1" w14:textId="07FD36B4"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16%</w:t>
            </w:r>
          </w:p>
        </w:tc>
        <w:tc>
          <w:tcPr>
            <w:tcW w:w="1828" w:type="dxa"/>
            <w:vAlign w:val="center"/>
          </w:tcPr>
          <w:p w14:paraId="57855496" w14:textId="18284B2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18%</w:t>
            </w:r>
          </w:p>
        </w:tc>
        <w:tc>
          <w:tcPr>
            <w:tcW w:w="1828" w:type="dxa"/>
            <w:vAlign w:val="center"/>
          </w:tcPr>
          <w:p w14:paraId="310ADCAE" w14:textId="5CD877CD"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[10, с. 39]</w:t>
            </w:r>
          </w:p>
        </w:tc>
      </w:tr>
      <w:tr w:rsidR="00FB3E54" w14:paraId="0822D8C0" w14:textId="77777777" w:rsidTr="00841EC5">
        <w:trPr>
          <w:trHeight w:val="317"/>
        </w:trPr>
        <w:tc>
          <w:tcPr>
            <w:tcW w:w="2340" w:type="dxa"/>
            <w:vAlign w:val="center"/>
          </w:tcPr>
          <w:p w14:paraId="656E2645" w14:textId="7778E2BD"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Башкортостан</w:t>
            </w:r>
          </w:p>
        </w:tc>
        <w:tc>
          <w:tcPr>
            <w:tcW w:w="1828" w:type="dxa"/>
            <w:vAlign w:val="center"/>
          </w:tcPr>
          <w:p w14:paraId="4DBF0905" w14:textId="739F62BF"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19%</w:t>
            </w:r>
          </w:p>
        </w:tc>
        <w:tc>
          <w:tcPr>
            <w:tcW w:w="1828" w:type="dxa"/>
            <w:vAlign w:val="center"/>
          </w:tcPr>
          <w:p w14:paraId="34C9EA7F" w14:textId="449C1D6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21%</w:t>
            </w:r>
          </w:p>
        </w:tc>
        <w:tc>
          <w:tcPr>
            <w:tcW w:w="1828" w:type="dxa"/>
            <w:vAlign w:val="center"/>
          </w:tcPr>
          <w:p w14:paraId="4135D045" w14:textId="3421583B"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24%</w:t>
            </w:r>
          </w:p>
        </w:tc>
        <w:tc>
          <w:tcPr>
            <w:tcW w:w="1828" w:type="dxa"/>
            <w:vAlign w:val="center"/>
          </w:tcPr>
          <w:p w14:paraId="4883C181" w14:textId="7E429869" w:rsidR="00FB3E54" w:rsidRDefault="00FB3E54" w:rsidP="004B5CEF">
            <w:pPr>
              <w:ind w:left="-567" w:firstLine="567"/>
              <w:jc w:val="center"/>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[11, с. 61]</w:t>
            </w:r>
          </w:p>
        </w:tc>
      </w:tr>
    </w:tbl>
    <w:p w14:paraId="52C55D13" w14:textId="77777777" w:rsidR="00420CFF" w:rsidRDefault="00420CFF" w:rsidP="004B5CEF">
      <w:pPr>
        <w:spacing w:after="0" w:line="240" w:lineRule="auto"/>
        <w:ind w:left="-567" w:firstLine="567"/>
        <w:jc w:val="both"/>
        <w:rPr>
          <w:rFonts w:ascii="Times New Roman" w:eastAsia="Times New Roman" w:hAnsi="Times New Roman" w:cs="Times New Roman"/>
          <w:sz w:val="24"/>
          <w:szCs w:val="24"/>
          <w:lang w:val="ru-RU" w:eastAsia="ru-RU"/>
        </w:rPr>
      </w:pPr>
    </w:p>
    <w:p w14:paraId="4455956E" w14:textId="7BDC7019" w:rsidR="0085131D"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 xml:space="preserve">Одним из перспективных направлений является создание кластеров, объединяющих сельхозпроизводителей, переработчиков, научные организации и логистические центры. Анализ европейского опыта, в частности Баден-Вюртемберга в Германии, подтверждает эффективность кластеризации: 82% агропредприятий участвуют в кооперационных цепочках, а доля переработанных продуктов в экспорте достигает 65% [12, p. 105]. Аналогичный подход применим и к ПФО. Предполагается создание </w:t>
      </w:r>
      <w:proofErr w:type="spellStart"/>
      <w:r w:rsidRPr="000D60C7">
        <w:rPr>
          <w:rFonts w:ascii="Times New Roman" w:eastAsia="Times New Roman" w:hAnsi="Times New Roman" w:cs="Times New Roman"/>
          <w:sz w:val="24"/>
          <w:szCs w:val="24"/>
          <w:lang w:val="ru-RU" w:eastAsia="ru-RU"/>
        </w:rPr>
        <w:t>агрокластера</w:t>
      </w:r>
      <w:proofErr w:type="spellEnd"/>
      <w:r w:rsidRPr="000D60C7">
        <w:rPr>
          <w:rFonts w:ascii="Times New Roman" w:eastAsia="Times New Roman" w:hAnsi="Times New Roman" w:cs="Times New Roman"/>
          <w:sz w:val="24"/>
          <w:szCs w:val="24"/>
          <w:lang w:val="ru-RU" w:eastAsia="ru-RU"/>
        </w:rPr>
        <w:t xml:space="preserve"> на базе Мордовии с привлечением федеральных инвестиций в строительство элеваторов, логистических терминалов и цифровых платформ управления поставками.</w:t>
      </w:r>
    </w:p>
    <w:p w14:paraId="0FBB6251" w14:textId="22878712" w:rsidR="000D60C7" w:rsidRPr="000D60C7" w:rsidRDefault="000D60C7" w:rsidP="004B5CEF">
      <w:pPr>
        <w:spacing w:after="0" w:line="240" w:lineRule="auto"/>
        <w:ind w:left="-567" w:firstLine="567"/>
        <w:jc w:val="both"/>
        <w:rPr>
          <w:rFonts w:ascii="Times New Roman" w:eastAsia="Times New Roman" w:hAnsi="Times New Roman" w:cs="Times New Roman"/>
          <w:sz w:val="24"/>
          <w:szCs w:val="24"/>
          <w:lang w:val="ru-RU" w:eastAsia="ru-RU"/>
        </w:rPr>
      </w:pPr>
      <w:r w:rsidRPr="000D60C7">
        <w:rPr>
          <w:rFonts w:ascii="Times New Roman" w:eastAsia="Times New Roman" w:hAnsi="Times New Roman" w:cs="Times New Roman"/>
          <w:sz w:val="24"/>
          <w:szCs w:val="24"/>
          <w:lang w:val="ru-RU" w:eastAsia="ru-RU"/>
        </w:rPr>
        <w:t>Важно отметить, что цифровизация ЦСДС играет критически важную роль в формировании конкурентных преимуществ. Платформенные решения, внедрённые в Белгородской области (внедрение АПК-CRM и логистической платформы «</w:t>
      </w:r>
      <w:proofErr w:type="spellStart"/>
      <w:r w:rsidRPr="000D60C7">
        <w:rPr>
          <w:rFonts w:ascii="Times New Roman" w:eastAsia="Times New Roman" w:hAnsi="Times New Roman" w:cs="Times New Roman"/>
          <w:sz w:val="24"/>
          <w:szCs w:val="24"/>
          <w:lang w:val="ru-RU" w:eastAsia="ru-RU"/>
        </w:rPr>
        <w:t>АгроКооператор</w:t>
      </w:r>
      <w:proofErr w:type="spellEnd"/>
      <w:r w:rsidRPr="000D60C7">
        <w:rPr>
          <w:rFonts w:ascii="Times New Roman" w:eastAsia="Times New Roman" w:hAnsi="Times New Roman" w:cs="Times New Roman"/>
          <w:sz w:val="24"/>
          <w:szCs w:val="24"/>
          <w:lang w:val="ru-RU" w:eastAsia="ru-RU"/>
        </w:rPr>
        <w:t>»), позволили малым фермерским хозяйствам увеличить маржинальность на 17% [13, с. 88]. Аналогичные системы возможно развернуть в ПФО с опорой на IT-компетенции Казани, Ижевска и Пензы.</w:t>
      </w:r>
    </w:p>
    <w:p w14:paraId="5C864A67" w14:textId="25BAF0FA" w:rsidR="008219E6" w:rsidRPr="000D60C7" w:rsidRDefault="00420CFF" w:rsidP="004B5CEF">
      <w:p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Также существенным ограничением выступает отставание технологической базы. В большинстве регионов ПФО доля производственных линий, введённых в эксплуатацию до 2010 года, превышает 60 % [6, с. 53]. Это снижает производительность переработки и делает региональные товары неконкурентоспособными на внешних рынках. Например, в Пермском крае, несмотря на наличие сырьевой базы (зерно, рапс, картофель), значительная часть продукции отправляется в другие субъекты на переработку, что увеличивает транзакционные издержки и исключает регион из ЦСДС с высокой прибавочной стоимостью [11, с. 64].</w:t>
      </w:r>
    </w:p>
    <w:p w14:paraId="26E12710" w14:textId="77777777" w:rsidR="008219E6" w:rsidRPr="000D60C7" w:rsidRDefault="00420CFF" w:rsidP="004B5CEF">
      <w:p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В связи с этим важным условием развития ЦСДС становится государственная политика технологического обновления, кооперации и стимулирования кластеризации. С 2023 года Минсельхозом РФ внедрена программа субсидирования 50 % стоимости оборудования для переработки сырья в субъектах с низкой долей глубокой переработки. В Пензенской области эта мера позволила начать модернизацию мукомольного комбината в Каменке, что увеличит долю переработанного зерна на 8 п. п. к 2025 году [7, с. 20].</w:t>
      </w:r>
    </w:p>
    <w:p w14:paraId="26A45BE4" w14:textId="77777777" w:rsidR="008219E6" w:rsidRPr="000D60C7" w:rsidRDefault="00420CFF" w:rsidP="004B5CEF">
      <w:p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Другим направлением поддержки является налоговая преференция для предприятий, внедряющих патенты и технологии вузов. В 2024 году в Башкортостане шесть переработчиков получили освобождение от НДС на продукцию, произведённую по лицензии Башкирского государственного аграрного университета. Это создало мультипликативный эффект: количество патентных заявок в сфере переработки пищевого сырья увеличилось на 38 % по сравнению с 2022 годом [11, с. 62].</w:t>
      </w:r>
    </w:p>
    <w:p w14:paraId="03D59B7A" w14:textId="77777777" w:rsidR="00E36F8C" w:rsidRDefault="00420CFF" w:rsidP="004B5CEF">
      <w:p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Институциональная поддержка также реализуется через создание </w:t>
      </w:r>
      <w:proofErr w:type="spellStart"/>
      <w:r w:rsidRPr="000D60C7">
        <w:rPr>
          <w:rFonts w:ascii="Times New Roman" w:hAnsi="Times New Roman" w:cs="Times New Roman"/>
          <w:sz w:val="24"/>
          <w:szCs w:val="24"/>
          <w:lang w:val="ru-RU"/>
        </w:rPr>
        <w:t>агроиндустриальных</w:t>
      </w:r>
      <w:proofErr w:type="spellEnd"/>
      <w:r w:rsidRPr="000D60C7">
        <w:rPr>
          <w:rFonts w:ascii="Times New Roman" w:hAnsi="Times New Roman" w:cs="Times New Roman"/>
          <w:sz w:val="24"/>
          <w:szCs w:val="24"/>
          <w:lang w:val="ru-RU"/>
        </w:rPr>
        <w:t xml:space="preserve"> парков. В Татарстане парк «</w:t>
      </w:r>
      <w:proofErr w:type="spellStart"/>
      <w:r w:rsidRPr="000D60C7">
        <w:rPr>
          <w:rFonts w:ascii="Times New Roman" w:hAnsi="Times New Roman" w:cs="Times New Roman"/>
          <w:sz w:val="24"/>
          <w:szCs w:val="24"/>
          <w:lang w:val="ru-RU"/>
        </w:rPr>
        <w:t>Куземетьево</w:t>
      </w:r>
      <w:proofErr w:type="spellEnd"/>
      <w:r w:rsidRPr="000D60C7">
        <w:rPr>
          <w:rFonts w:ascii="Times New Roman" w:hAnsi="Times New Roman" w:cs="Times New Roman"/>
          <w:sz w:val="24"/>
          <w:szCs w:val="24"/>
          <w:lang w:val="ru-RU"/>
        </w:rPr>
        <w:t>» стал модельным проектом ЦСДС: за счёт интеграции 76 агропредприятий, трёх НИИ и цифровой платформы «</w:t>
      </w:r>
      <w:proofErr w:type="spellStart"/>
      <w:r w:rsidRPr="000D60C7">
        <w:rPr>
          <w:rFonts w:ascii="Times New Roman" w:hAnsi="Times New Roman" w:cs="Times New Roman"/>
          <w:sz w:val="24"/>
          <w:szCs w:val="24"/>
          <w:lang w:val="ru-RU"/>
        </w:rPr>
        <w:t>ИнноАгро</w:t>
      </w:r>
      <w:proofErr w:type="spellEnd"/>
      <w:r w:rsidRPr="000D60C7">
        <w:rPr>
          <w:rFonts w:ascii="Times New Roman" w:hAnsi="Times New Roman" w:cs="Times New Roman"/>
          <w:sz w:val="24"/>
          <w:szCs w:val="24"/>
          <w:lang w:val="ru-RU"/>
        </w:rPr>
        <w:t>» средняя маржинальность цепочек повысилась до 22 % [9, с. 80]. Такой подход требует масштабирования на другие регионы округа, включая Ульяновскую, Мордовию и Кировскую области, где присутствует высокий аграрный потенциал, но отсутствует сквозная переработка.</w:t>
      </w:r>
    </w:p>
    <w:p w14:paraId="5FBF1805" w14:textId="3FC7B15E" w:rsidR="00E36F8C" w:rsidRDefault="00E36F8C" w:rsidP="004B5CEF">
      <w:pPr>
        <w:spacing w:after="0" w:line="240" w:lineRule="auto"/>
        <w:ind w:left="-567" w:firstLine="567"/>
        <w:jc w:val="both"/>
        <w:rPr>
          <w:rFonts w:ascii="Times New Roman" w:hAnsi="Times New Roman" w:cs="Times New Roman"/>
          <w:sz w:val="24"/>
          <w:szCs w:val="24"/>
          <w:lang w:val="ru-RU"/>
        </w:rPr>
      </w:pPr>
      <w:r w:rsidRPr="00E36F8C">
        <w:rPr>
          <w:rFonts w:ascii="Times New Roman" w:hAnsi="Times New Roman" w:cs="Times New Roman"/>
          <w:sz w:val="24"/>
          <w:szCs w:val="24"/>
          <w:lang w:val="ru-RU"/>
        </w:rPr>
        <w:t xml:space="preserve">Таким образом, реализация стратегии углублённой переработки требует не только инфраструктурных инвестиций, но и эффективной институциональной среды, стимулирующей инновации, технологическую модернизацию и цифровую трансформацию. Разнообразие применяемых механизмов поддержки в регионах ПФО наглядно демонстрирует разницу в подходах и уровне вовлечённости региональных акторов. </w:t>
      </w:r>
      <w:r w:rsidR="004B5CEF">
        <w:rPr>
          <w:rFonts w:ascii="Times New Roman" w:hAnsi="Times New Roman" w:cs="Times New Roman"/>
          <w:sz w:val="24"/>
          <w:szCs w:val="24"/>
          <w:lang w:val="ru-RU"/>
        </w:rPr>
        <w:t>Н</w:t>
      </w:r>
      <w:r w:rsidRPr="00E36F8C">
        <w:rPr>
          <w:rFonts w:ascii="Times New Roman" w:hAnsi="Times New Roman" w:cs="Times New Roman"/>
          <w:sz w:val="24"/>
          <w:szCs w:val="24"/>
          <w:lang w:val="ru-RU"/>
        </w:rPr>
        <w:t xml:space="preserve">иже представлены основные инструменты </w:t>
      </w:r>
      <w:r w:rsidRPr="00E36F8C">
        <w:rPr>
          <w:rFonts w:ascii="Times New Roman" w:hAnsi="Times New Roman" w:cs="Times New Roman"/>
          <w:sz w:val="24"/>
          <w:szCs w:val="24"/>
          <w:lang w:val="ru-RU"/>
        </w:rPr>
        <w:lastRenderedPageBreak/>
        <w:t>поддержки ЦСДС, реализованные в регионах округа в 2023–2024 гг., с указанием их влияния на переработку и кооперацию</w:t>
      </w:r>
      <w:r w:rsidR="004B5CEF">
        <w:rPr>
          <w:rFonts w:ascii="Times New Roman" w:hAnsi="Times New Roman" w:cs="Times New Roman"/>
          <w:sz w:val="24"/>
          <w:szCs w:val="24"/>
          <w:lang w:val="ru-RU"/>
        </w:rPr>
        <w:t xml:space="preserve"> (табл. 2)</w:t>
      </w:r>
      <w:r w:rsidRPr="00E36F8C">
        <w:rPr>
          <w:rFonts w:ascii="Times New Roman" w:hAnsi="Times New Roman" w:cs="Times New Roman"/>
          <w:sz w:val="24"/>
          <w:szCs w:val="24"/>
          <w:lang w:val="ru-RU"/>
        </w:rPr>
        <w:t>.</w:t>
      </w:r>
    </w:p>
    <w:p w14:paraId="7D2DEDC7" w14:textId="08FA1567" w:rsidR="00420CFF" w:rsidRDefault="00FB3E54" w:rsidP="004B5CEF">
      <w:pPr>
        <w:spacing w:after="0" w:line="240" w:lineRule="auto"/>
        <w:ind w:left="-567" w:firstLine="567"/>
        <w:jc w:val="right"/>
        <w:rPr>
          <w:rFonts w:ascii="Times New Roman" w:hAnsi="Times New Roman" w:cs="Times New Roman"/>
          <w:sz w:val="24"/>
          <w:szCs w:val="24"/>
          <w:lang w:val="ru-RU"/>
        </w:rPr>
      </w:pPr>
      <w:r>
        <w:rPr>
          <w:rFonts w:ascii="Times New Roman" w:hAnsi="Times New Roman" w:cs="Times New Roman"/>
          <w:sz w:val="24"/>
          <w:szCs w:val="24"/>
          <w:lang w:val="ru-RU"/>
        </w:rPr>
        <w:t>Таблица 2</w:t>
      </w:r>
    </w:p>
    <w:p w14:paraId="4C6C18B3" w14:textId="7D13BA13" w:rsidR="00420CFF" w:rsidRDefault="00E36F8C" w:rsidP="004B5CEF">
      <w:pPr>
        <w:spacing w:after="0" w:line="240" w:lineRule="auto"/>
        <w:ind w:left="-567" w:firstLine="567"/>
        <w:jc w:val="center"/>
        <w:rPr>
          <w:rFonts w:ascii="Times New Roman" w:hAnsi="Times New Roman" w:cs="Times New Roman"/>
          <w:sz w:val="24"/>
          <w:szCs w:val="24"/>
          <w:lang w:val="ru-RU"/>
        </w:rPr>
      </w:pPr>
      <w:r w:rsidRPr="00E36F8C">
        <w:rPr>
          <w:rFonts w:ascii="Times New Roman" w:hAnsi="Times New Roman" w:cs="Times New Roman"/>
          <w:sz w:val="24"/>
          <w:szCs w:val="24"/>
          <w:lang w:val="ru-RU"/>
        </w:rPr>
        <w:t>Инструменты государственной и институциональной поддержки ЦСДС в регионах ПФО в 2023–2024 гг. и их эффект</w:t>
      </w:r>
    </w:p>
    <w:tbl>
      <w:tblPr>
        <w:tblStyle w:val="aff0"/>
        <w:tblW w:w="9639" w:type="dxa"/>
        <w:tblInd w:w="-5" w:type="dxa"/>
        <w:tblLook w:val="04A0" w:firstRow="1" w:lastRow="0" w:firstColumn="1" w:lastColumn="0" w:noHBand="0" w:noVBand="1"/>
      </w:tblPr>
      <w:tblGrid>
        <w:gridCol w:w="2268"/>
        <w:gridCol w:w="3828"/>
        <w:gridCol w:w="3543"/>
      </w:tblGrid>
      <w:tr w:rsidR="00420CFF" w:rsidRPr="00E36F8C" w14:paraId="66E8BB20" w14:textId="77777777" w:rsidTr="00841EC5">
        <w:trPr>
          <w:trHeight w:val="214"/>
        </w:trPr>
        <w:tc>
          <w:tcPr>
            <w:tcW w:w="2268" w:type="dxa"/>
            <w:noWrap/>
            <w:hideMark/>
          </w:tcPr>
          <w:p w14:paraId="1684C4E4" w14:textId="77777777" w:rsidR="00420CFF" w:rsidRPr="00FB3E54" w:rsidRDefault="00420CFF" w:rsidP="00841EC5">
            <w:pPr>
              <w:ind w:left="-567" w:right="-108" w:firstLine="462"/>
              <w:jc w:val="center"/>
              <w:rPr>
                <w:rFonts w:ascii="Times New Roman" w:hAnsi="Times New Roman" w:cs="Times New Roman"/>
                <w:sz w:val="24"/>
                <w:szCs w:val="24"/>
              </w:rPr>
            </w:pPr>
            <w:proofErr w:type="spellStart"/>
            <w:r w:rsidRPr="00FB3E54">
              <w:rPr>
                <w:rFonts w:ascii="Times New Roman" w:hAnsi="Times New Roman" w:cs="Times New Roman"/>
                <w:sz w:val="24"/>
                <w:szCs w:val="24"/>
              </w:rPr>
              <w:t>Регион</w:t>
            </w:r>
            <w:proofErr w:type="spellEnd"/>
          </w:p>
        </w:tc>
        <w:tc>
          <w:tcPr>
            <w:tcW w:w="3828" w:type="dxa"/>
            <w:noWrap/>
            <w:hideMark/>
          </w:tcPr>
          <w:p w14:paraId="7E822BB3" w14:textId="77777777" w:rsidR="00420CFF" w:rsidRPr="00FB3E54" w:rsidRDefault="00420CFF" w:rsidP="00841EC5">
            <w:pPr>
              <w:ind w:left="-567" w:firstLine="567"/>
              <w:jc w:val="center"/>
              <w:rPr>
                <w:rFonts w:ascii="Times New Roman" w:hAnsi="Times New Roman" w:cs="Times New Roman"/>
                <w:sz w:val="24"/>
                <w:szCs w:val="24"/>
              </w:rPr>
            </w:pPr>
            <w:proofErr w:type="spellStart"/>
            <w:r w:rsidRPr="00FB3E54">
              <w:rPr>
                <w:rFonts w:ascii="Times New Roman" w:hAnsi="Times New Roman" w:cs="Times New Roman"/>
                <w:sz w:val="24"/>
                <w:szCs w:val="24"/>
              </w:rPr>
              <w:t>Инструмент</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поддержки</w:t>
            </w:r>
            <w:proofErr w:type="spellEnd"/>
          </w:p>
        </w:tc>
        <w:tc>
          <w:tcPr>
            <w:tcW w:w="3543" w:type="dxa"/>
            <w:noWrap/>
            <w:hideMark/>
          </w:tcPr>
          <w:p w14:paraId="62D3802A" w14:textId="77777777" w:rsidR="00420CFF" w:rsidRPr="00FB3E54" w:rsidRDefault="00420CFF" w:rsidP="00841EC5">
            <w:pPr>
              <w:ind w:left="-567" w:firstLine="567"/>
              <w:jc w:val="center"/>
              <w:rPr>
                <w:rFonts w:ascii="Times New Roman" w:hAnsi="Times New Roman" w:cs="Times New Roman"/>
                <w:sz w:val="24"/>
                <w:szCs w:val="24"/>
              </w:rPr>
            </w:pPr>
            <w:proofErr w:type="spellStart"/>
            <w:r w:rsidRPr="00FB3E54">
              <w:rPr>
                <w:rFonts w:ascii="Times New Roman" w:hAnsi="Times New Roman" w:cs="Times New Roman"/>
                <w:sz w:val="24"/>
                <w:szCs w:val="24"/>
              </w:rPr>
              <w:t>Эффект</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примеры</w:t>
            </w:r>
            <w:proofErr w:type="spellEnd"/>
            <w:r w:rsidRPr="00FB3E54">
              <w:rPr>
                <w:rFonts w:ascii="Times New Roman" w:hAnsi="Times New Roman" w:cs="Times New Roman"/>
                <w:sz w:val="24"/>
                <w:szCs w:val="24"/>
              </w:rPr>
              <w:t>)</w:t>
            </w:r>
          </w:p>
        </w:tc>
      </w:tr>
      <w:tr w:rsidR="00420CFF" w:rsidRPr="00E36F8C" w14:paraId="4A812519" w14:textId="77777777" w:rsidTr="00841EC5">
        <w:trPr>
          <w:trHeight w:val="461"/>
        </w:trPr>
        <w:tc>
          <w:tcPr>
            <w:tcW w:w="2268" w:type="dxa"/>
            <w:noWrap/>
            <w:hideMark/>
          </w:tcPr>
          <w:p w14:paraId="095F9BBC" w14:textId="77777777" w:rsidR="00420CFF" w:rsidRPr="00FB3E54" w:rsidRDefault="00420CFF" w:rsidP="00841EC5">
            <w:pPr>
              <w:ind w:left="-567" w:right="-108" w:firstLine="462"/>
              <w:jc w:val="center"/>
              <w:rPr>
                <w:rFonts w:ascii="Times New Roman" w:hAnsi="Times New Roman" w:cs="Times New Roman"/>
                <w:sz w:val="24"/>
                <w:szCs w:val="24"/>
              </w:rPr>
            </w:pPr>
            <w:proofErr w:type="spellStart"/>
            <w:r w:rsidRPr="00FB3E54">
              <w:rPr>
                <w:rFonts w:ascii="Times New Roman" w:hAnsi="Times New Roman" w:cs="Times New Roman"/>
                <w:sz w:val="24"/>
                <w:szCs w:val="24"/>
              </w:rPr>
              <w:t>Татарстан</w:t>
            </w:r>
            <w:proofErr w:type="spellEnd"/>
          </w:p>
        </w:tc>
        <w:tc>
          <w:tcPr>
            <w:tcW w:w="3828" w:type="dxa"/>
            <w:noWrap/>
            <w:hideMark/>
          </w:tcPr>
          <w:p w14:paraId="33E63E5C" w14:textId="1C3BEBFC"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 xml:space="preserve">Интеграция в </w:t>
            </w:r>
            <w:proofErr w:type="spellStart"/>
            <w:r w:rsidRPr="00FB3E54">
              <w:rPr>
                <w:rFonts w:ascii="Times New Roman" w:hAnsi="Times New Roman" w:cs="Times New Roman"/>
                <w:sz w:val="24"/>
                <w:szCs w:val="24"/>
                <w:lang w:val="ru-RU"/>
              </w:rPr>
              <w:t>агропарк</w:t>
            </w:r>
            <w:proofErr w:type="spellEnd"/>
            <w:r w:rsidRPr="00FB3E54">
              <w:rPr>
                <w:rFonts w:ascii="Times New Roman" w:hAnsi="Times New Roman" w:cs="Times New Roman"/>
                <w:sz w:val="24"/>
                <w:szCs w:val="24"/>
                <w:lang w:val="ru-RU"/>
              </w:rPr>
              <w:t xml:space="preserve"> «</w:t>
            </w:r>
            <w:proofErr w:type="spellStart"/>
            <w:r w:rsidRPr="00FB3E54">
              <w:rPr>
                <w:rFonts w:ascii="Times New Roman" w:hAnsi="Times New Roman" w:cs="Times New Roman"/>
                <w:sz w:val="24"/>
                <w:szCs w:val="24"/>
                <w:lang w:val="ru-RU"/>
              </w:rPr>
              <w:t>Куземетьево</w:t>
            </w:r>
            <w:proofErr w:type="spellEnd"/>
            <w:r w:rsidRPr="00FB3E54">
              <w:rPr>
                <w:rFonts w:ascii="Times New Roman" w:hAnsi="Times New Roman" w:cs="Times New Roman"/>
                <w:sz w:val="24"/>
                <w:szCs w:val="24"/>
                <w:lang w:val="ru-RU"/>
              </w:rPr>
              <w:t>»,</w:t>
            </w:r>
          </w:p>
          <w:p w14:paraId="22F318B4"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платформа «</w:t>
            </w:r>
            <w:proofErr w:type="spellStart"/>
            <w:r w:rsidRPr="00FB3E54">
              <w:rPr>
                <w:rFonts w:ascii="Times New Roman" w:hAnsi="Times New Roman" w:cs="Times New Roman"/>
                <w:sz w:val="24"/>
                <w:szCs w:val="24"/>
                <w:lang w:val="ru-RU"/>
              </w:rPr>
              <w:t>ИнноАгро</w:t>
            </w:r>
            <w:proofErr w:type="spellEnd"/>
            <w:r w:rsidRPr="00FB3E54">
              <w:rPr>
                <w:rFonts w:ascii="Times New Roman" w:hAnsi="Times New Roman" w:cs="Times New Roman"/>
                <w:sz w:val="24"/>
                <w:szCs w:val="24"/>
                <w:lang w:val="ru-RU"/>
              </w:rPr>
              <w:t>»</w:t>
            </w:r>
          </w:p>
        </w:tc>
        <w:tc>
          <w:tcPr>
            <w:tcW w:w="3543" w:type="dxa"/>
            <w:noWrap/>
            <w:hideMark/>
          </w:tcPr>
          <w:p w14:paraId="63077D97" w14:textId="41D8E336" w:rsidR="00420CFF" w:rsidRPr="00FB3E54" w:rsidRDefault="00420CFF" w:rsidP="00841EC5">
            <w:pPr>
              <w:ind w:left="-567" w:firstLine="567"/>
              <w:jc w:val="center"/>
              <w:rPr>
                <w:rFonts w:ascii="Times New Roman" w:hAnsi="Times New Roman" w:cs="Times New Roman"/>
                <w:sz w:val="24"/>
                <w:szCs w:val="24"/>
              </w:rPr>
            </w:pPr>
            <w:r w:rsidRPr="00FB3E54">
              <w:rPr>
                <w:rFonts w:ascii="Times New Roman" w:hAnsi="Times New Roman" w:cs="Times New Roman"/>
                <w:sz w:val="24"/>
                <w:szCs w:val="24"/>
              </w:rPr>
              <w:t xml:space="preserve">+22% к </w:t>
            </w:r>
            <w:proofErr w:type="spellStart"/>
            <w:r w:rsidRPr="00FB3E54">
              <w:rPr>
                <w:rFonts w:ascii="Times New Roman" w:hAnsi="Times New Roman" w:cs="Times New Roman"/>
                <w:sz w:val="24"/>
                <w:szCs w:val="24"/>
              </w:rPr>
              <w:t>маржинальности</w:t>
            </w:r>
            <w:proofErr w:type="spellEnd"/>
          </w:p>
          <w:p w14:paraId="3169FFA5" w14:textId="77777777" w:rsidR="00420CFF" w:rsidRPr="00FB3E54" w:rsidRDefault="00420CFF" w:rsidP="00841EC5">
            <w:pPr>
              <w:ind w:left="-567" w:firstLine="567"/>
              <w:jc w:val="center"/>
              <w:rPr>
                <w:rFonts w:ascii="Times New Roman" w:hAnsi="Times New Roman" w:cs="Times New Roman"/>
                <w:sz w:val="24"/>
                <w:szCs w:val="24"/>
              </w:rPr>
            </w:pPr>
            <w:r w:rsidRPr="00FB3E54">
              <w:rPr>
                <w:rFonts w:ascii="Times New Roman" w:hAnsi="Times New Roman" w:cs="Times New Roman"/>
                <w:sz w:val="24"/>
                <w:szCs w:val="24"/>
              </w:rPr>
              <w:t>ЦСДС [9, с. 80]</w:t>
            </w:r>
          </w:p>
        </w:tc>
      </w:tr>
      <w:tr w:rsidR="00420CFF" w:rsidRPr="00C97874" w14:paraId="4DBABD53" w14:textId="77777777" w:rsidTr="00841EC5">
        <w:trPr>
          <w:trHeight w:val="214"/>
        </w:trPr>
        <w:tc>
          <w:tcPr>
            <w:tcW w:w="2268" w:type="dxa"/>
            <w:noWrap/>
            <w:hideMark/>
          </w:tcPr>
          <w:p w14:paraId="577906D9" w14:textId="77777777" w:rsidR="00420CFF" w:rsidRPr="00FB3E54" w:rsidRDefault="00420CFF" w:rsidP="00841EC5">
            <w:pPr>
              <w:ind w:left="-567" w:right="-108" w:firstLine="462"/>
              <w:jc w:val="center"/>
              <w:rPr>
                <w:rFonts w:ascii="Times New Roman" w:hAnsi="Times New Roman" w:cs="Times New Roman"/>
                <w:sz w:val="24"/>
                <w:szCs w:val="24"/>
              </w:rPr>
            </w:pPr>
            <w:proofErr w:type="spellStart"/>
            <w:r w:rsidRPr="00FB3E54">
              <w:rPr>
                <w:rFonts w:ascii="Times New Roman" w:hAnsi="Times New Roman" w:cs="Times New Roman"/>
                <w:sz w:val="24"/>
                <w:szCs w:val="24"/>
              </w:rPr>
              <w:t>Башкортостан</w:t>
            </w:r>
            <w:proofErr w:type="spellEnd"/>
          </w:p>
        </w:tc>
        <w:tc>
          <w:tcPr>
            <w:tcW w:w="3828" w:type="dxa"/>
            <w:noWrap/>
            <w:hideMark/>
          </w:tcPr>
          <w:p w14:paraId="590899B5" w14:textId="38915F1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Налоговые льготы за внедрение вузовских</w:t>
            </w:r>
          </w:p>
          <w:p w14:paraId="39FD9DA7"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Патентов</w:t>
            </w:r>
          </w:p>
        </w:tc>
        <w:tc>
          <w:tcPr>
            <w:tcW w:w="3543" w:type="dxa"/>
            <w:noWrap/>
            <w:hideMark/>
          </w:tcPr>
          <w:p w14:paraId="5195F4E5" w14:textId="3BF9D258"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+38% к числу</w:t>
            </w:r>
          </w:p>
          <w:p w14:paraId="00E0DE3F"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патентных заявок [11, с. 62]</w:t>
            </w:r>
          </w:p>
        </w:tc>
      </w:tr>
      <w:tr w:rsidR="00420CFF" w:rsidRPr="00C97874" w14:paraId="13D377E9" w14:textId="77777777" w:rsidTr="00841EC5">
        <w:trPr>
          <w:trHeight w:val="214"/>
        </w:trPr>
        <w:tc>
          <w:tcPr>
            <w:tcW w:w="2268" w:type="dxa"/>
            <w:noWrap/>
            <w:hideMark/>
          </w:tcPr>
          <w:p w14:paraId="0FFDF9F7" w14:textId="77777777" w:rsidR="00420CFF" w:rsidRPr="00FB3E54" w:rsidRDefault="00420CFF" w:rsidP="00841EC5">
            <w:pPr>
              <w:ind w:left="-567" w:right="-108" w:firstLine="462"/>
              <w:jc w:val="center"/>
              <w:rPr>
                <w:rFonts w:ascii="Times New Roman" w:hAnsi="Times New Roman" w:cs="Times New Roman"/>
                <w:sz w:val="24"/>
                <w:szCs w:val="24"/>
              </w:rPr>
            </w:pPr>
            <w:proofErr w:type="spellStart"/>
            <w:r w:rsidRPr="00FB3E54">
              <w:rPr>
                <w:rFonts w:ascii="Times New Roman" w:hAnsi="Times New Roman" w:cs="Times New Roman"/>
                <w:sz w:val="24"/>
                <w:szCs w:val="24"/>
              </w:rPr>
              <w:t>Пензенская</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область</w:t>
            </w:r>
            <w:proofErr w:type="spellEnd"/>
          </w:p>
        </w:tc>
        <w:tc>
          <w:tcPr>
            <w:tcW w:w="3828" w:type="dxa"/>
            <w:noWrap/>
            <w:hideMark/>
          </w:tcPr>
          <w:p w14:paraId="1D6B2B62" w14:textId="7A073D67" w:rsidR="00420CFF" w:rsidRPr="00FB3E54" w:rsidRDefault="00420CFF" w:rsidP="00841EC5">
            <w:pPr>
              <w:ind w:left="-567" w:firstLine="567"/>
              <w:jc w:val="center"/>
              <w:rPr>
                <w:rFonts w:ascii="Times New Roman" w:hAnsi="Times New Roman" w:cs="Times New Roman"/>
                <w:sz w:val="24"/>
                <w:szCs w:val="24"/>
              </w:rPr>
            </w:pPr>
            <w:proofErr w:type="spellStart"/>
            <w:r w:rsidRPr="00FB3E54">
              <w:rPr>
                <w:rFonts w:ascii="Times New Roman" w:hAnsi="Times New Roman" w:cs="Times New Roman"/>
                <w:sz w:val="24"/>
                <w:szCs w:val="24"/>
              </w:rPr>
              <w:t>Субсидия</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на</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оборудование</w:t>
            </w:r>
            <w:proofErr w:type="spellEnd"/>
          </w:p>
          <w:p w14:paraId="336C2059" w14:textId="77777777" w:rsidR="00420CFF" w:rsidRPr="00FB3E54" w:rsidRDefault="00420CFF" w:rsidP="00841EC5">
            <w:pPr>
              <w:ind w:left="-567" w:firstLine="567"/>
              <w:jc w:val="center"/>
              <w:rPr>
                <w:rFonts w:ascii="Times New Roman" w:hAnsi="Times New Roman" w:cs="Times New Roman"/>
                <w:sz w:val="24"/>
                <w:szCs w:val="24"/>
              </w:rPr>
            </w:pPr>
            <w:proofErr w:type="spellStart"/>
            <w:r w:rsidRPr="00FB3E54">
              <w:rPr>
                <w:rFonts w:ascii="Times New Roman" w:hAnsi="Times New Roman" w:cs="Times New Roman"/>
                <w:sz w:val="24"/>
                <w:szCs w:val="24"/>
              </w:rPr>
              <w:t>Переработки</w:t>
            </w:r>
            <w:proofErr w:type="spellEnd"/>
          </w:p>
        </w:tc>
        <w:tc>
          <w:tcPr>
            <w:tcW w:w="3543" w:type="dxa"/>
            <w:noWrap/>
            <w:hideMark/>
          </w:tcPr>
          <w:p w14:paraId="5621D6B0" w14:textId="02CB848B"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+8 п. п. к доле переработки</w:t>
            </w:r>
          </w:p>
          <w:p w14:paraId="6B360E67"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зерна [7, с. 20]</w:t>
            </w:r>
          </w:p>
        </w:tc>
      </w:tr>
      <w:tr w:rsidR="00420CFF" w:rsidRPr="00C97874" w14:paraId="7E479952" w14:textId="77777777" w:rsidTr="00841EC5">
        <w:trPr>
          <w:trHeight w:val="214"/>
        </w:trPr>
        <w:tc>
          <w:tcPr>
            <w:tcW w:w="2268" w:type="dxa"/>
            <w:noWrap/>
          </w:tcPr>
          <w:p w14:paraId="32ABEE1A" w14:textId="6FDEE02E" w:rsidR="00420CFF" w:rsidRPr="00FB3E54" w:rsidRDefault="00420CFF" w:rsidP="00841EC5">
            <w:pPr>
              <w:ind w:left="-567" w:right="-108" w:firstLine="462"/>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Белгородская область</w:t>
            </w:r>
          </w:p>
        </w:tc>
        <w:tc>
          <w:tcPr>
            <w:tcW w:w="3828" w:type="dxa"/>
            <w:noWrap/>
          </w:tcPr>
          <w:p w14:paraId="08DA27BA" w14:textId="54A8802B" w:rsidR="00420CFF" w:rsidRPr="00FB3E54" w:rsidRDefault="00420CFF" w:rsidP="00841EC5">
            <w:pPr>
              <w:ind w:left="-567" w:firstLine="567"/>
              <w:jc w:val="center"/>
              <w:rPr>
                <w:sz w:val="24"/>
                <w:szCs w:val="24"/>
                <w:lang w:val="ru-RU"/>
              </w:rPr>
            </w:pPr>
            <w:r w:rsidRPr="00FB3E54">
              <w:rPr>
                <w:sz w:val="24"/>
                <w:szCs w:val="24"/>
                <w:lang w:val="ru-RU"/>
              </w:rPr>
              <w:t>Платформа «</w:t>
            </w:r>
            <w:proofErr w:type="spellStart"/>
            <w:r w:rsidRPr="00FB3E54">
              <w:rPr>
                <w:sz w:val="24"/>
                <w:szCs w:val="24"/>
                <w:lang w:val="ru-RU"/>
              </w:rPr>
              <w:t>АгроКооператор</w:t>
            </w:r>
            <w:proofErr w:type="spellEnd"/>
            <w:r w:rsidRPr="00FB3E54">
              <w:rPr>
                <w:sz w:val="24"/>
                <w:szCs w:val="24"/>
                <w:lang w:val="ru-RU"/>
              </w:rPr>
              <w:t>»,</w:t>
            </w:r>
          </w:p>
          <w:p w14:paraId="3432BA9A"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sz w:val="24"/>
                <w:szCs w:val="24"/>
              </w:rPr>
              <w:t>CRM</w:t>
            </w:r>
            <w:r w:rsidRPr="00FB3E54">
              <w:rPr>
                <w:sz w:val="24"/>
                <w:szCs w:val="24"/>
                <w:lang w:val="ru-RU"/>
              </w:rPr>
              <w:t xml:space="preserve"> для МСП</w:t>
            </w:r>
          </w:p>
        </w:tc>
        <w:tc>
          <w:tcPr>
            <w:tcW w:w="3543" w:type="dxa"/>
            <w:noWrap/>
          </w:tcPr>
          <w:p w14:paraId="192D69FC"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+17% к маржинальности малых хозяйств [13, с. 88]</w:t>
            </w:r>
          </w:p>
        </w:tc>
      </w:tr>
      <w:tr w:rsidR="00420CFF" w:rsidRPr="00C97874" w14:paraId="4A8E087B" w14:textId="77777777" w:rsidTr="00841EC5">
        <w:trPr>
          <w:trHeight w:val="638"/>
        </w:trPr>
        <w:tc>
          <w:tcPr>
            <w:tcW w:w="2268" w:type="dxa"/>
            <w:noWrap/>
            <w:hideMark/>
          </w:tcPr>
          <w:p w14:paraId="1BD1E883" w14:textId="77777777" w:rsidR="00420CFF" w:rsidRPr="00FB3E54" w:rsidRDefault="00420CFF" w:rsidP="00841EC5">
            <w:pPr>
              <w:ind w:left="-567" w:right="-108" w:firstLine="462"/>
              <w:jc w:val="center"/>
              <w:rPr>
                <w:rFonts w:ascii="Times New Roman" w:hAnsi="Times New Roman" w:cs="Times New Roman"/>
                <w:sz w:val="24"/>
                <w:szCs w:val="24"/>
              </w:rPr>
            </w:pPr>
            <w:proofErr w:type="spellStart"/>
            <w:r w:rsidRPr="00FB3E54">
              <w:rPr>
                <w:rFonts w:ascii="Times New Roman" w:hAnsi="Times New Roman" w:cs="Times New Roman"/>
                <w:sz w:val="24"/>
                <w:szCs w:val="24"/>
              </w:rPr>
              <w:t>Мордовия</w:t>
            </w:r>
            <w:proofErr w:type="spellEnd"/>
            <w:r w:rsidRPr="00FB3E54">
              <w:rPr>
                <w:rFonts w:ascii="Times New Roman" w:hAnsi="Times New Roman" w:cs="Times New Roman"/>
                <w:sz w:val="24"/>
                <w:szCs w:val="24"/>
              </w:rPr>
              <w:t xml:space="preserve"> (</w:t>
            </w:r>
            <w:proofErr w:type="spellStart"/>
            <w:r w:rsidRPr="00FB3E54">
              <w:rPr>
                <w:rFonts w:ascii="Times New Roman" w:hAnsi="Times New Roman" w:cs="Times New Roman"/>
                <w:sz w:val="24"/>
                <w:szCs w:val="24"/>
              </w:rPr>
              <w:t>проект</w:t>
            </w:r>
            <w:proofErr w:type="spellEnd"/>
            <w:r w:rsidRPr="00FB3E54">
              <w:rPr>
                <w:rFonts w:ascii="Times New Roman" w:hAnsi="Times New Roman" w:cs="Times New Roman"/>
                <w:sz w:val="24"/>
                <w:szCs w:val="24"/>
              </w:rPr>
              <w:t>)</w:t>
            </w:r>
          </w:p>
        </w:tc>
        <w:tc>
          <w:tcPr>
            <w:tcW w:w="3828" w:type="dxa"/>
            <w:noWrap/>
            <w:hideMark/>
          </w:tcPr>
          <w:p w14:paraId="5ED197AB" w14:textId="5F49C9E3"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 xml:space="preserve">Планируемый </w:t>
            </w:r>
            <w:proofErr w:type="spellStart"/>
            <w:r w:rsidRPr="00FB3E54">
              <w:rPr>
                <w:rFonts w:ascii="Times New Roman" w:hAnsi="Times New Roman" w:cs="Times New Roman"/>
                <w:sz w:val="24"/>
                <w:szCs w:val="24"/>
                <w:lang w:val="ru-RU"/>
              </w:rPr>
              <w:t>агрокластер</w:t>
            </w:r>
            <w:proofErr w:type="spellEnd"/>
          </w:p>
          <w:p w14:paraId="29B47029"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с федеральным финансированием</w:t>
            </w:r>
          </w:p>
        </w:tc>
        <w:tc>
          <w:tcPr>
            <w:tcW w:w="3543" w:type="dxa"/>
            <w:noWrap/>
            <w:hideMark/>
          </w:tcPr>
          <w:p w14:paraId="0A3FA419" w14:textId="2CD2F942"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Строительство логистики</w:t>
            </w:r>
          </w:p>
          <w:p w14:paraId="46870655" w14:textId="34B1331E"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и цифровой</w:t>
            </w:r>
          </w:p>
          <w:p w14:paraId="450ACE02" w14:textId="77777777" w:rsidR="00420CFF" w:rsidRPr="00FB3E54" w:rsidRDefault="00420CFF" w:rsidP="00841EC5">
            <w:pPr>
              <w:ind w:left="-567" w:firstLine="567"/>
              <w:jc w:val="center"/>
              <w:rPr>
                <w:rFonts w:ascii="Times New Roman" w:hAnsi="Times New Roman" w:cs="Times New Roman"/>
                <w:sz w:val="24"/>
                <w:szCs w:val="24"/>
                <w:lang w:val="ru-RU"/>
              </w:rPr>
            </w:pPr>
            <w:r w:rsidRPr="00FB3E54">
              <w:rPr>
                <w:rFonts w:ascii="Times New Roman" w:hAnsi="Times New Roman" w:cs="Times New Roman"/>
                <w:sz w:val="24"/>
                <w:szCs w:val="24"/>
                <w:lang w:val="ru-RU"/>
              </w:rPr>
              <w:t>инфраструктуры</w:t>
            </w:r>
          </w:p>
        </w:tc>
      </w:tr>
    </w:tbl>
    <w:p w14:paraId="1AA5DC47" w14:textId="77777777" w:rsidR="004B5CEF" w:rsidRDefault="004B5CEF" w:rsidP="004B5CEF">
      <w:pPr>
        <w:spacing w:after="0" w:line="240" w:lineRule="auto"/>
        <w:ind w:left="-567" w:firstLine="567"/>
        <w:jc w:val="both"/>
        <w:rPr>
          <w:lang w:val="ru-RU"/>
        </w:rPr>
      </w:pPr>
    </w:p>
    <w:p w14:paraId="4CC7D445" w14:textId="51ED60C2" w:rsidR="00420CFF" w:rsidRDefault="00420CFF" w:rsidP="004B5CEF">
      <w:pPr>
        <w:spacing w:after="0" w:line="240" w:lineRule="auto"/>
        <w:ind w:left="-567" w:firstLine="567"/>
        <w:jc w:val="both"/>
        <w:rPr>
          <w:rFonts w:ascii="Times New Roman" w:hAnsi="Times New Roman" w:cs="Times New Roman"/>
          <w:b/>
          <w:bCs/>
          <w:sz w:val="24"/>
          <w:szCs w:val="24"/>
          <w:lang w:val="ru-RU"/>
        </w:rPr>
      </w:pPr>
      <w:r w:rsidRPr="00420CFF">
        <w:rPr>
          <w:rFonts w:ascii="Times New Roman" w:hAnsi="Times New Roman" w:cs="Times New Roman"/>
          <w:sz w:val="24"/>
          <w:szCs w:val="24"/>
          <w:lang w:val="ru-RU"/>
        </w:rPr>
        <w:t xml:space="preserve">Таким образом, анализ современных трансформаций агропромышленного комплекса в Приволжском федеральном округе (ПФО) свидетельствует о постепенном, но всё ещё недостаточном продвижении к формированию региональных цепочек с высокой добавленной стоимостью. Несмотря на позитивные примеры — от кластеров в Татарстане до цифровых платформ в Белгородской и Пензенской областях, — проблема низкой доли глубокой переработки остаётся актуальной. Основными барьерами выступают изношенность технологической базы, недостаток инвестиционных механизмов, фрагментарность кооперации между сельхозпроизводителями и переработчиками, а также слабая вовлечённость научно-исследовательских институтов в процессы промышленного внедрения инноваций. Существующие меры государственной поддержки, такие как субсидии на оборудование, налоговые льготы за внедрение вузовских патентов и развитие </w:t>
      </w:r>
      <w:proofErr w:type="spellStart"/>
      <w:r w:rsidRPr="00420CFF">
        <w:rPr>
          <w:rFonts w:ascii="Times New Roman" w:hAnsi="Times New Roman" w:cs="Times New Roman"/>
          <w:sz w:val="24"/>
          <w:szCs w:val="24"/>
          <w:lang w:val="ru-RU"/>
        </w:rPr>
        <w:t>агропарков</w:t>
      </w:r>
      <w:proofErr w:type="spellEnd"/>
      <w:r w:rsidRPr="00420CFF">
        <w:rPr>
          <w:rFonts w:ascii="Times New Roman" w:hAnsi="Times New Roman" w:cs="Times New Roman"/>
          <w:sz w:val="24"/>
          <w:szCs w:val="24"/>
          <w:lang w:val="ru-RU"/>
        </w:rPr>
        <w:t>, доказали свою эффективность, однако они требуют масштабирования и долгосрочного планирования [7; 9; 11]. Важной предпосылкой для системного продвижения ЦСДС также становится расширение цифровой инфраструктуры и платформенного взаимодействия между субъектами агропромышленного сектора [13].</w:t>
      </w:r>
    </w:p>
    <w:p w14:paraId="633BF663" w14:textId="77777777" w:rsidR="00420CFF" w:rsidRDefault="00420CFF" w:rsidP="004B5CEF">
      <w:pPr>
        <w:pStyle w:val="21"/>
        <w:spacing w:before="0" w:line="240" w:lineRule="auto"/>
        <w:ind w:left="-567" w:firstLine="567"/>
        <w:jc w:val="both"/>
        <w:rPr>
          <w:rFonts w:ascii="Times New Roman" w:eastAsiaTheme="minorEastAsia" w:hAnsi="Times New Roman" w:cs="Times New Roman"/>
          <w:b w:val="0"/>
          <w:bCs w:val="0"/>
          <w:color w:val="auto"/>
          <w:sz w:val="24"/>
          <w:szCs w:val="24"/>
          <w:lang w:val="ru-RU"/>
        </w:rPr>
      </w:pPr>
      <w:r w:rsidRPr="00420CFF">
        <w:rPr>
          <w:rFonts w:ascii="Times New Roman" w:eastAsiaTheme="minorEastAsia" w:hAnsi="Times New Roman" w:cs="Times New Roman"/>
          <w:b w:val="0"/>
          <w:bCs w:val="0"/>
          <w:color w:val="auto"/>
          <w:sz w:val="24"/>
          <w:szCs w:val="24"/>
          <w:lang w:val="ru-RU"/>
        </w:rPr>
        <w:t xml:space="preserve">В целом, будущее развития АПК в ПФО зависит от способности регионов объединить усилия науки, бизнеса и государства в рамках единой стратегии технологического суверенитета. В условиях структурной перестройки российской экономики переход от экспорта сырья к экспорту готовой продукции становится не просто желаемым, а стратегически необходимым направлением. Повышение маржинальности агропроизводства, снижение зависимости от внешних логистических маршрутов, формирование прочных локальных связей между производителями и переработчиками — всё это возможно лишь при системной кластерной политике, модернизации производств и цифровизации всех этапов </w:t>
      </w:r>
      <w:proofErr w:type="spellStart"/>
      <w:r w:rsidRPr="00420CFF">
        <w:rPr>
          <w:rFonts w:ascii="Times New Roman" w:eastAsiaTheme="minorEastAsia" w:hAnsi="Times New Roman" w:cs="Times New Roman"/>
          <w:b w:val="0"/>
          <w:bCs w:val="0"/>
          <w:color w:val="auto"/>
          <w:sz w:val="24"/>
          <w:szCs w:val="24"/>
          <w:lang w:val="ru-RU"/>
        </w:rPr>
        <w:t>агропроизводственной</w:t>
      </w:r>
      <w:proofErr w:type="spellEnd"/>
      <w:r w:rsidRPr="00420CFF">
        <w:rPr>
          <w:rFonts w:ascii="Times New Roman" w:eastAsiaTheme="minorEastAsia" w:hAnsi="Times New Roman" w:cs="Times New Roman"/>
          <w:b w:val="0"/>
          <w:bCs w:val="0"/>
          <w:color w:val="auto"/>
          <w:sz w:val="24"/>
          <w:szCs w:val="24"/>
          <w:lang w:val="ru-RU"/>
        </w:rPr>
        <w:t xml:space="preserve"> цепи. Приволжский округ уже располагает как институциональными, так и человеческими ресурсами для реализации этой модели. Задача ближайших лет — не только сохранить достигнутые результаты, но и обеспечить их устойчивое масштабирование на всей территории округа.</w:t>
      </w:r>
    </w:p>
    <w:p w14:paraId="0FB5D90B" w14:textId="29274983" w:rsidR="008219E6" w:rsidRPr="00420CFF" w:rsidRDefault="00420CFF" w:rsidP="004B5CEF">
      <w:pPr>
        <w:pStyle w:val="21"/>
        <w:spacing w:before="0" w:line="240" w:lineRule="auto"/>
        <w:ind w:left="-567" w:firstLine="567"/>
        <w:jc w:val="both"/>
        <w:rPr>
          <w:rFonts w:ascii="Times New Roman" w:eastAsiaTheme="minorEastAsia" w:hAnsi="Times New Roman" w:cs="Times New Roman"/>
          <w:b w:val="0"/>
          <w:bCs w:val="0"/>
          <w:color w:val="auto"/>
          <w:sz w:val="24"/>
          <w:szCs w:val="24"/>
          <w:lang w:val="ru-RU"/>
        </w:rPr>
      </w:pPr>
      <w:r w:rsidRPr="00420CFF">
        <w:rPr>
          <w:rFonts w:ascii="Times New Roman" w:hAnsi="Times New Roman" w:cs="Times New Roman"/>
          <w:color w:val="auto"/>
          <w:sz w:val="24"/>
          <w:szCs w:val="24"/>
          <w:lang w:val="ru-RU"/>
        </w:rPr>
        <w:t>Список использованных источников</w:t>
      </w:r>
    </w:p>
    <w:p w14:paraId="4E544420" w14:textId="4EB3CA1A" w:rsidR="008219E6" w:rsidRPr="00C97874"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1. Федеральная служба государственной статистики. Регионы России. </w:t>
      </w:r>
      <w:r w:rsidRPr="00C97874">
        <w:rPr>
          <w:rFonts w:ascii="Times New Roman" w:hAnsi="Times New Roman" w:cs="Times New Roman"/>
          <w:sz w:val="24"/>
          <w:szCs w:val="24"/>
          <w:lang w:val="ru-RU"/>
        </w:rPr>
        <w:t>Социально-экономические показатели. 2023. М.: Росстат, 2024. 860 с.</w:t>
      </w:r>
    </w:p>
    <w:p w14:paraId="11C66442" w14:textId="47F5E1CB"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2. Минэкономразвития РФ. Экономика регионов России в 2023 году: аналитический обзор. М.: </w:t>
      </w:r>
      <w:proofErr w:type="spellStart"/>
      <w:r w:rsidRPr="000D60C7">
        <w:rPr>
          <w:rFonts w:ascii="Times New Roman" w:hAnsi="Times New Roman" w:cs="Times New Roman"/>
          <w:sz w:val="24"/>
          <w:szCs w:val="24"/>
          <w:lang w:val="ru-RU"/>
        </w:rPr>
        <w:t>Минэк</w:t>
      </w:r>
      <w:proofErr w:type="spellEnd"/>
      <w:r w:rsidRPr="000D60C7">
        <w:rPr>
          <w:rFonts w:ascii="Times New Roman" w:hAnsi="Times New Roman" w:cs="Times New Roman"/>
          <w:sz w:val="24"/>
          <w:szCs w:val="24"/>
          <w:lang w:val="ru-RU"/>
        </w:rPr>
        <w:t>, 2024. 74 с.</w:t>
      </w:r>
    </w:p>
    <w:p w14:paraId="0300E949" w14:textId="6523672F"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3. Министерство сельского хозяйства РФ. Доклад об экспортном потенциале АПК за 2023 год. М., 2024. 62 с.</w:t>
      </w:r>
    </w:p>
    <w:p w14:paraId="55023690" w14:textId="699156E2"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lastRenderedPageBreak/>
        <w:t>4. Министерство сельского хозяйства РФ. Итоги реализации государственной программы развития сельского хозяйства за 2022–2024 гг. М., 2024. 98 с.</w:t>
      </w:r>
    </w:p>
    <w:p w14:paraId="50F41020" w14:textId="5EE283C7"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5. Министерство сельского хозяйства Республики Татарстан. Ежегодный доклад о состоянии и развитии АПК за 2023 год. – Казань, 2024. 68 с.</w:t>
      </w:r>
    </w:p>
    <w:p w14:paraId="3E1B75FD" w14:textId="4BC52DD1"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6. Институт экономики РАН. Цепочки создания добавленной стоимости в АПК регионов ПФО: аналитический обзор. М., 2023. 80 с.</w:t>
      </w:r>
    </w:p>
    <w:p w14:paraId="3E8A46FF" w14:textId="4ACC55B0"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7. Министерство сельского хозяйства Пензенской области. Информационно-аналитический доклад по АПК за 2023 год. Пенза, 2024. 51 с.</w:t>
      </w:r>
    </w:p>
    <w:p w14:paraId="59D2878A" w14:textId="688B5A57"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8. Министерство сельского хозяйства Саратовской области. Состояние перерабатывающих мощностей на 2023 год. Саратов, 2024. 38 с.</w:t>
      </w:r>
    </w:p>
    <w:p w14:paraId="7CA6B057" w14:textId="27F87488" w:rsidR="008219E6" w:rsidRPr="000D60C7"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9. Центр </w:t>
      </w:r>
      <w:proofErr w:type="spellStart"/>
      <w:r w:rsidRPr="000D60C7">
        <w:rPr>
          <w:rFonts w:ascii="Times New Roman" w:hAnsi="Times New Roman" w:cs="Times New Roman"/>
          <w:sz w:val="24"/>
          <w:szCs w:val="24"/>
          <w:lang w:val="ru-RU"/>
        </w:rPr>
        <w:t>агроинноваций</w:t>
      </w:r>
      <w:proofErr w:type="spellEnd"/>
      <w:r w:rsidRPr="000D60C7">
        <w:rPr>
          <w:rFonts w:ascii="Times New Roman" w:hAnsi="Times New Roman" w:cs="Times New Roman"/>
          <w:sz w:val="24"/>
          <w:szCs w:val="24"/>
          <w:lang w:val="ru-RU"/>
        </w:rPr>
        <w:t xml:space="preserve"> РТ. Кластеризация и </w:t>
      </w:r>
      <w:proofErr w:type="spellStart"/>
      <w:r w:rsidRPr="000D60C7">
        <w:rPr>
          <w:rFonts w:ascii="Times New Roman" w:hAnsi="Times New Roman" w:cs="Times New Roman"/>
          <w:sz w:val="24"/>
          <w:szCs w:val="24"/>
          <w:lang w:val="ru-RU"/>
        </w:rPr>
        <w:t>агроцифра</w:t>
      </w:r>
      <w:proofErr w:type="spellEnd"/>
      <w:r w:rsidRPr="000D60C7">
        <w:rPr>
          <w:rFonts w:ascii="Times New Roman" w:hAnsi="Times New Roman" w:cs="Times New Roman"/>
          <w:sz w:val="24"/>
          <w:szCs w:val="24"/>
          <w:lang w:val="ru-RU"/>
        </w:rPr>
        <w:t>: опыт Республики Татарстан. – Казань: Изд-во КФУ, 2024. 102 с.</w:t>
      </w:r>
    </w:p>
    <w:p w14:paraId="21C7F96F" w14:textId="50BA4D7D" w:rsidR="008219E6" w:rsidRPr="00C97874"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10. Министерство агропромышленного комплекса Ульяновской области. </w:t>
      </w:r>
      <w:r w:rsidRPr="00C97874">
        <w:rPr>
          <w:rFonts w:ascii="Times New Roman" w:hAnsi="Times New Roman" w:cs="Times New Roman"/>
          <w:sz w:val="24"/>
          <w:szCs w:val="24"/>
          <w:lang w:val="ru-RU"/>
        </w:rPr>
        <w:t>Аналитика экспорта и внутреннего производства, 2023. Ульяновск, 2024. 44 с.</w:t>
      </w:r>
    </w:p>
    <w:p w14:paraId="0FB8ECAC" w14:textId="00B3DA57" w:rsidR="008219E6" w:rsidRPr="00C97874" w:rsidRDefault="00420CFF" w:rsidP="004B5CEF">
      <w:pPr>
        <w:pStyle w:val="a"/>
        <w:numPr>
          <w:ilvl w:val="0"/>
          <w:numId w:val="0"/>
        </w:numPr>
        <w:spacing w:after="0" w:line="240" w:lineRule="auto"/>
        <w:ind w:left="-567" w:firstLine="567"/>
        <w:jc w:val="both"/>
        <w:rPr>
          <w:rFonts w:ascii="Times New Roman" w:hAnsi="Times New Roman" w:cs="Times New Roman"/>
          <w:sz w:val="24"/>
          <w:szCs w:val="24"/>
        </w:rPr>
      </w:pPr>
      <w:r w:rsidRPr="000D60C7">
        <w:rPr>
          <w:rFonts w:ascii="Times New Roman" w:hAnsi="Times New Roman" w:cs="Times New Roman"/>
          <w:sz w:val="24"/>
          <w:szCs w:val="24"/>
          <w:lang w:val="ru-RU"/>
        </w:rPr>
        <w:t>11. Министерство сельского хозяйства Республики Башкортостан. Доклад о развитии переработки и научного сотрудничества, 2024. Уфа</w:t>
      </w:r>
      <w:r w:rsidRPr="00C97874">
        <w:rPr>
          <w:rFonts w:ascii="Times New Roman" w:hAnsi="Times New Roman" w:cs="Times New Roman"/>
          <w:sz w:val="24"/>
          <w:szCs w:val="24"/>
        </w:rPr>
        <w:t xml:space="preserve">, 2024. 67 </w:t>
      </w:r>
      <w:r w:rsidRPr="000D60C7">
        <w:rPr>
          <w:rFonts w:ascii="Times New Roman" w:hAnsi="Times New Roman" w:cs="Times New Roman"/>
          <w:sz w:val="24"/>
          <w:szCs w:val="24"/>
          <w:lang w:val="ru-RU"/>
        </w:rPr>
        <w:t>с</w:t>
      </w:r>
      <w:r w:rsidRPr="00C97874">
        <w:rPr>
          <w:rFonts w:ascii="Times New Roman" w:hAnsi="Times New Roman" w:cs="Times New Roman"/>
          <w:sz w:val="24"/>
          <w:szCs w:val="24"/>
        </w:rPr>
        <w:t>.</w:t>
      </w:r>
    </w:p>
    <w:p w14:paraId="445C31B0" w14:textId="3DAEAC30" w:rsidR="008219E6" w:rsidRPr="00C97874"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rPr>
        <w:t xml:space="preserve">12. Müller K. Cluster Policies in Germany: Innovation, SME and Regional Value. – Berlin: Springer, 2023. </w:t>
      </w:r>
      <w:r w:rsidRPr="00C97874">
        <w:rPr>
          <w:rFonts w:ascii="Times New Roman" w:hAnsi="Times New Roman" w:cs="Times New Roman"/>
          <w:sz w:val="24"/>
          <w:szCs w:val="24"/>
          <w:lang w:val="ru-RU"/>
        </w:rPr>
        <w:t xml:space="preserve">184 </w:t>
      </w:r>
      <w:r w:rsidRPr="000D60C7">
        <w:rPr>
          <w:rFonts w:ascii="Times New Roman" w:hAnsi="Times New Roman" w:cs="Times New Roman"/>
          <w:sz w:val="24"/>
          <w:szCs w:val="24"/>
        </w:rPr>
        <w:t>p</w:t>
      </w:r>
      <w:r w:rsidRPr="00C97874">
        <w:rPr>
          <w:rFonts w:ascii="Times New Roman" w:hAnsi="Times New Roman" w:cs="Times New Roman"/>
          <w:sz w:val="24"/>
          <w:szCs w:val="24"/>
          <w:lang w:val="ru-RU"/>
        </w:rPr>
        <w:t>.</w:t>
      </w:r>
    </w:p>
    <w:p w14:paraId="1FEB176A" w14:textId="08273540" w:rsidR="008219E6" w:rsidRDefault="00420CFF" w:rsidP="004B5CEF">
      <w:pPr>
        <w:pStyle w:val="a"/>
        <w:numPr>
          <w:ilvl w:val="0"/>
          <w:numId w:val="0"/>
        </w:numPr>
        <w:spacing w:after="0" w:line="240" w:lineRule="auto"/>
        <w:ind w:left="-567" w:firstLine="567"/>
        <w:jc w:val="both"/>
        <w:rPr>
          <w:rFonts w:ascii="Times New Roman" w:hAnsi="Times New Roman" w:cs="Times New Roman"/>
          <w:sz w:val="24"/>
          <w:szCs w:val="24"/>
          <w:lang w:val="ru-RU"/>
        </w:rPr>
      </w:pPr>
      <w:r w:rsidRPr="000D60C7">
        <w:rPr>
          <w:rFonts w:ascii="Times New Roman" w:hAnsi="Times New Roman" w:cs="Times New Roman"/>
          <w:sz w:val="24"/>
          <w:szCs w:val="24"/>
          <w:lang w:val="ru-RU"/>
        </w:rPr>
        <w:t xml:space="preserve">13. Белгородский региональный центр цифрового сельского хозяйства. </w:t>
      </w:r>
      <w:r w:rsidRPr="00C97874">
        <w:rPr>
          <w:rFonts w:ascii="Times New Roman" w:hAnsi="Times New Roman" w:cs="Times New Roman"/>
          <w:sz w:val="24"/>
          <w:szCs w:val="24"/>
          <w:lang w:val="ru-RU"/>
        </w:rPr>
        <w:t>Отчёт о внедрении платформы «</w:t>
      </w:r>
      <w:proofErr w:type="spellStart"/>
      <w:r w:rsidRPr="00C97874">
        <w:rPr>
          <w:rFonts w:ascii="Times New Roman" w:hAnsi="Times New Roman" w:cs="Times New Roman"/>
          <w:sz w:val="24"/>
          <w:szCs w:val="24"/>
          <w:lang w:val="ru-RU"/>
        </w:rPr>
        <w:t>АгроКооператор</w:t>
      </w:r>
      <w:proofErr w:type="spellEnd"/>
      <w:r w:rsidRPr="00C97874">
        <w:rPr>
          <w:rFonts w:ascii="Times New Roman" w:hAnsi="Times New Roman" w:cs="Times New Roman"/>
          <w:sz w:val="24"/>
          <w:szCs w:val="24"/>
          <w:lang w:val="ru-RU"/>
        </w:rPr>
        <w:t xml:space="preserve">» в 2023 году. </w:t>
      </w:r>
      <w:proofErr w:type="spellStart"/>
      <w:r w:rsidRPr="000D60C7">
        <w:rPr>
          <w:rFonts w:ascii="Times New Roman" w:hAnsi="Times New Roman" w:cs="Times New Roman"/>
          <w:sz w:val="24"/>
          <w:szCs w:val="24"/>
        </w:rPr>
        <w:t>Белгород</w:t>
      </w:r>
      <w:proofErr w:type="spellEnd"/>
      <w:r w:rsidRPr="000D60C7">
        <w:rPr>
          <w:rFonts w:ascii="Times New Roman" w:hAnsi="Times New Roman" w:cs="Times New Roman"/>
          <w:sz w:val="24"/>
          <w:szCs w:val="24"/>
        </w:rPr>
        <w:t xml:space="preserve">, 2024. </w:t>
      </w:r>
      <w:r w:rsidR="000D60C7">
        <w:rPr>
          <w:rFonts w:ascii="Times New Roman" w:hAnsi="Times New Roman" w:cs="Times New Roman"/>
          <w:sz w:val="24"/>
          <w:szCs w:val="24"/>
        </w:rPr>
        <w:t>3</w:t>
      </w:r>
      <w:r w:rsidRPr="000D60C7">
        <w:rPr>
          <w:rFonts w:ascii="Times New Roman" w:hAnsi="Times New Roman" w:cs="Times New Roman"/>
          <w:sz w:val="24"/>
          <w:szCs w:val="24"/>
        </w:rPr>
        <w:t>3 с.</w:t>
      </w:r>
    </w:p>
    <w:p w14:paraId="05AFD348" w14:textId="77777777" w:rsidR="004B5CEF" w:rsidRPr="004B5CEF" w:rsidRDefault="004B5CEF" w:rsidP="004B5CEF">
      <w:pPr>
        <w:pStyle w:val="a"/>
        <w:numPr>
          <w:ilvl w:val="0"/>
          <w:numId w:val="0"/>
        </w:numPr>
        <w:ind w:left="-567" w:firstLine="567"/>
        <w:jc w:val="both"/>
        <w:rPr>
          <w:rFonts w:ascii="Times New Roman" w:hAnsi="Times New Roman" w:cs="Times New Roman"/>
          <w:sz w:val="24"/>
          <w:szCs w:val="24"/>
          <w:lang w:val="ru-RU"/>
        </w:rPr>
      </w:pPr>
    </w:p>
    <w:p w14:paraId="329972EF" w14:textId="77777777" w:rsidR="004B5CEF" w:rsidRPr="004B5CEF" w:rsidRDefault="004B5CEF" w:rsidP="004B5CEF">
      <w:pPr>
        <w:pStyle w:val="a"/>
        <w:numPr>
          <w:ilvl w:val="0"/>
          <w:numId w:val="0"/>
        </w:numPr>
        <w:ind w:left="-567" w:firstLine="567"/>
        <w:jc w:val="both"/>
        <w:rPr>
          <w:rFonts w:ascii="Times New Roman" w:hAnsi="Times New Roman" w:cs="Times New Roman"/>
          <w:sz w:val="24"/>
          <w:szCs w:val="24"/>
          <w:lang w:val="ru-RU"/>
        </w:rPr>
      </w:pPr>
    </w:p>
    <w:sectPr w:rsidR="004B5CEF" w:rsidRPr="004B5CEF" w:rsidSect="004B5CEF">
      <w:pgSz w:w="11906" w:h="16838" w:code="9"/>
      <w:pgMar w:top="851" w:right="1133" w:bottom="1440"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082CBB9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16cid:durableId="1846356087">
    <w:abstractNumId w:val="8"/>
  </w:num>
  <w:num w:numId="2" w16cid:durableId="367486253">
    <w:abstractNumId w:val="6"/>
  </w:num>
  <w:num w:numId="3" w16cid:durableId="874121236">
    <w:abstractNumId w:val="5"/>
  </w:num>
  <w:num w:numId="4" w16cid:durableId="1684280828">
    <w:abstractNumId w:val="4"/>
  </w:num>
  <w:num w:numId="5" w16cid:durableId="68626110">
    <w:abstractNumId w:val="7"/>
  </w:num>
  <w:num w:numId="6" w16cid:durableId="1449008437">
    <w:abstractNumId w:val="3"/>
  </w:num>
  <w:num w:numId="7" w16cid:durableId="1495956344">
    <w:abstractNumId w:val="2"/>
  </w:num>
  <w:num w:numId="8" w16cid:durableId="358432167">
    <w:abstractNumId w:val="1"/>
  </w:num>
  <w:num w:numId="9" w16cid:durableId="2865481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D60C7"/>
    <w:rsid w:val="000F209D"/>
    <w:rsid w:val="0015074B"/>
    <w:rsid w:val="0029639D"/>
    <w:rsid w:val="00326F90"/>
    <w:rsid w:val="00420CFF"/>
    <w:rsid w:val="004B5CEF"/>
    <w:rsid w:val="00593202"/>
    <w:rsid w:val="00732628"/>
    <w:rsid w:val="00765008"/>
    <w:rsid w:val="008219E6"/>
    <w:rsid w:val="00841EC5"/>
    <w:rsid w:val="008442F0"/>
    <w:rsid w:val="0085131D"/>
    <w:rsid w:val="008E4A4A"/>
    <w:rsid w:val="00AA1D8D"/>
    <w:rsid w:val="00B47730"/>
    <w:rsid w:val="00C97874"/>
    <w:rsid w:val="00CB0664"/>
    <w:rsid w:val="00E06343"/>
    <w:rsid w:val="00E36F8C"/>
    <w:rsid w:val="00E71FA0"/>
    <w:rsid w:val="00FB3E5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C9AC3A"/>
  <w14:defaultImageDpi w14:val="300"/>
  <w15:docId w15:val="{53C87E85-5DCA-4B3B-9235-D83C20A5E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65456">
      <w:bodyDiv w:val="1"/>
      <w:marLeft w:val="0"/>
      <w:marRight w:val="0"/>
      <w:marTop w:val="0"/>
      <w:marBottom w:val="0"/>
      <w:divBdr>
        <w:top w:val="none" w:sz="0" w:space="0" w:color="auto"/>
        <w:left w:val="none" w:sz="0" w:space="0" w:color="auto"/>
        <w:bottom w:val="none" w:sz="0" w:space="0" w:color="auto"/>
        <w:right w:val="none" w:sz="0" w:space="0" w:color="auto"/>
      </w:divBdr>
    </w:div>
    <w:div w:id="198057616">
      <w:bodyDiv w:val="1"/>
      <w:marLeft w:val="0"/>
      <w:marRight w:val="0"/>
      <w:marTop w:val="0"/>
      <w:marBottom w:val="0"/>
      <w:divBdr>
        <w:top w:val="none" w:sz="0" w:space="0" w:color="auto"/>
        <w:left w:val="none" w:sz="0" w:space="0" w:color="auto"/>
        <w:bottom w:val="none" w:sz="0" w:space="0" w:color="auto"/>
        <w:right w:val="none" w:sz="0" w:space="0" w:color="auto"/>
      </w:divBdr>
    </w:div>
    <w:div w:id="210725875">
      <w:bodyDiv w:val="1"/>
      <w:marLeft w:val="0"/>
      <w:marRight w:val="0"/>
      <w:marTop w:val="0"/>
      <w:marBottom w:val="0"/>
      <w:divBdr>
        <w:top w:val="none" w:sz="0" w:space="0" w:color="auto"/>
        <w:left w:val="none" w:sz="0" w:space="0" w:color="auto"/>
        <w:bottom w:val="none" w:sz="0" w:space="0" w:color="auto"/>
        <w:right w:val="none" w:sz="0" w:space="0" w:color="auto"/>
      </w:divBdr>
    </w:div>
    <w:div w:id="347411530">
      <w:bodyDiv w:val="1"/>
      <w:marLeft w:val="0"/>
      <w:marRight w:val="0"/>
      <w:marTop w:val="0"/>
      <w:marBottom w:val="0"/>
      <w:divBdr>
        <w:top w:val="none" w:sz="0" w:space="0" w:color="auto"/>
        <w:left w:val="none" w:sz="0" w:space="0" w:color="auto"/>
        <w:bottom w:val="none" w:sz="0" w:space="0" w:color="auto"/>
        <w:right w:val="none" w:sz="0" w:space="0" w:color="auto"/>
      </w:divBdr>
    </w:div>
    <w:div w:id="853885121">
      <w:bodyDiv w:val="1"/>
      <w:marLeft w:val="0"/>
      <w:marRight w:val="0"/>
      <w:marTop w:val="0"/>
      <w:marBottom w:val="0"/>
      <w:divBdr>
        <w:top w:val="none" w:sz="0" w:space="0" w:color="auto"/>
        <w:left w:val="none" w:sz="0" w:space="0" w:color="auto"/>
        <w:bottom w:val="none" w:sz="0" w:space="0" w:color="auto"/>
        <w:right w:val="none" w:sz="0" w:space="0" w:color="auto"/>
      </w:divBdr>
    </w:div>
    <w:div w:id="951936172">
      <w:bodyDiv w:val="1"/>
      <w:marLeft w:val="0"/>
      <w:marRight w:val="0"/>
      <w:marTop w:val="0"/>
      <w:marBottom w:val="0"/>
      <w:divBdr>
        <w:top w:val="none" w:sz="0" w:space="0" w:color="auto"/>
        <w:left w:val="none" w:sz="0" w:space="0" w:color="auto"/>
        <w:bottom w:val="none" w:sz="0" w:space="0" w:color="auto"/>
        <w:right w:val="none" w:sz="0" w:space="0" w:color="auto"/>
      </w:divBdr>
    </w:div>
    <w:div w:id="1665469165">
      <w:bodyDiv w:val="1"/>
      <w:marLeft w:val="0"/>
      <w:marRight w:val="0"/>
      <w:marTop w:val="0"/>
      <w:marBottom w:val="0"/>
      <w:divBdr>
        <w:top w:val="none" w:sz="0" w:space="0" w:color="auto"/>
        <w:left w:val="none" w:sz="0" w:space="0" w:color="auto"/>
        <w:bottom w:val="none" w:sz="0" w:space="0" w:color="auto"/>
        <w:right w:val="none" w:sz="0" w:space="0" w:color="auto"/>
      </w:divBdr>
    </w:div>
    <w:div w:id="1693916621">
      <w:bodyDiv w:val="1"/>
      <w:marLeft w:val="0"/>
      <w:marRight w:val="0"/>
      <w:marTop w:val="0"/>
      <w:marBottom w:val="0"/>
      <w:divBdr>
        <w:top w:val="none" w:sz="0" w:space="0" w:color="auto"/>
        <w:left w:val="none" w:sz="0" w:space="0" w:color="auto"/>
        <w:bottom w:val="none" w:sz="0" w:space="0" w:color="auto"/>
        <w:right w:val="none" w:sz="0" w:space="0" w:color="auto"/>
      </w:divBdr>
    </w:div>
    <w:div w:id="1857647004">
      <w:bodyDiv w:val="1"/>
      <w:marLeft w:val="0"/>
      <w:marRight w:val="0"/>
      <w:marTop w:val="0"/>
      <w:marBottom w:val="0"/>
      <w:divBdr>
        <w:top w:val="none" w:sz="0" w:space="0" w:color="auto"/>
        <w:left w:val="none" w:sz="0" w:space="0" w:color="auto"/>
        <w:bottom w:val="none" w:sz="0" w:space="0" w:color="auto"/>
        <w:right w:val="none" w:sz="0" w:space="0" w:color="auto"/>
      </w:divBdr>
      <w:divsChild>
        <w:div w:id="1547256563">
          <w:marLeft w:val="0"/>
          <w:marRight w:val="0"/>
          <w:marTop w:val="0"/>
          <w:marBottom w:val="0"/>
          <w:divBdr>
            <w:top w:val="none" w:sz="0" w:space="0" w:color="auto"/>
            <w:left w:val="none" w:sz="0" w:space="0" w:color="auto"/>
            <w:bottom w:val="none" w:sz="0" w:space="0" w:color="auto"/>
            <w:right w:val="none" w:sz="0" w:space="0" w:color="auto"/>
          </w:divBdr>
          <w:divsChild>
            <w:div w:id="194079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69729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2351</Words>
  <Characters>13403</Characters>
  <Application>Microsoft Office Word</Application>
  <DocSecurity>0</DocSecurity>
  <Lines>111</Lines>
  <Paragraphs>31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15723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Кирилл Питеров</cp:lastModifiedBy>
  <cp:revision>2</cp:revision>
  <dcterms:created xsi:type="dcterms:W3CDTF">2025-05-13T14:39:00Z</dcterms:created>
  <dcterms:modified xsi:type="dcterms:W3CDTF">2025-05-13T14:39:00Z</dcterms:modified>
  <cp:category/>
</cp:coreProperties>
</file>