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spacing w:after="0" w:line="240" w:lineRule="auto"/>
        <w:ind w:firstLine="540"/>
        <w:rPr>
          <w:rFonts w:ascii="Times New Roman" w:hAnsi="Times New Roman"/>
          <w:b w:val="1"/>
          <w:color w:val="FF0000"/>
          <w:sz w:val="24"/>
        </w:rPr>
      </w:pPr>
      <w:bookmarkStart w:id="1" w:name="_Hlk193450141"/>
      <w:bookmarkEnd w:id="1"/>
      <w:r>
        <w:rPr>
          <w:rFonts w:ascii="Times New Roman" w:hAnsi="Times New Roman"/>
          <w:b w:val="1"/>
          <w:sz w:val="24"/>
        </w:rPr>
        <w:t xml:space="preserve">УДК </w:t>
      </w:r>
      <w:r>
        <w:rPr>
          <w:rFonts w:ascii="Times New Roman" w:hAnsi="Times New Roman"/>
          <w:b w:val="1"/>
          <w:sz w:val="24"/>
        </w:rPr>
        <w:t>332.1</w:t>
      </w:r>
      <w:r>
        <w:rPr>
          <w:rFonts w:ascii="Times New Roman" w:hAnsi="Times New Roman"/>
          <w:b w:val="1"/>
          <w:sz w:val="24"/>
        </w:rPr>
        <w:t xml:space="preserve">/ </w:t>
      </w:r>
      <w:r>
        <w:rPr>
          <w:rFonts w:ascii="Times New Roman" w:hAnsi="Times New Roman"/>
          <w:b w:val="1"/>
          <w:sz w:val="24"/>
        </w:rPr>
        <w:t xml:space="preserve">ББК </w:t>
      </w:r>
      <w:r>
        <w:rPr>
          <w:rFonts w:ascii="Times New Roman" w:hAnsi="Times New Roman"/>
          <w:b w:val="1"/>
          <w:sz w:val="24"/>
        </w:rPr>
        <w:t>65.05</w:t>
      </w:r>
    </w:p>
    <w:p w14:paraId="02000000">
      <w:pPr>
        <w:spacing w:after="0" w:line="240" w:lineRule="auto"/>
        <w:ind w:firstLine="680"/>
        <w:jc w:val="right"/>
        <w:rPr>
          <w:rFonts w:ascii="Times New Roman" w:hAnsi="Times New Roman"/>
          <w:b w:val="1"/>
          <w:sz w:val="24"/>
        </w:rPr>
      </w:pPr>
    </w:p>
    <w:p w14:paraId="03000000">
      <w:pPr>
        <w:spacing w:after="0" w:line="240" w:lineRule="auto"/>
        <w:ind w:firstLine="680"/>
        <w:jc w:val="right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b w:val="1"/>
          <w:sz w:val="24"/>
        </w:rPr>
        <w:t>Кулик</w:t>
      </w:r>
      <w:r>
        <w:rPr>
          <w:rFonts w:ascii="Times New Roman" w:hAnsi="Times New Roman"/>
          <w:b w:val="1"/>
          <w:sz w:val="24"/>
        </w:rPr>
        <w:t xml:space="preserve"> К.А.</w:t>
      </w:r>
    </w:p>
    <w:p w14:paraId="04000000">
      <w:pPr>
        <w:spacing w:after="0" w:line="240" w:lineRule="auto"/>
        <w:ind w:firstLine="680"/>
        <w:jc w:val="both"/>
        <w:rPr>
          <w:rFonts w:ascii="Times New Roman" w:hAnsi="Times New Roman"/>
          <w:b w:val="1"/>
          <w:sz w:val="24"/>
        </w:rPr>
      </w:pPr>
    </w:p>
    <w:p w14:paraId="05000000">
      <w:pPr>
        <w:spacing w:after="0" w:line="240" w:lineRule="auto"/>
        <w:ind w:firstLine="680"/>
        <w:jc w:val="center"/>
        <w:rPr>
          <w:rFonts w:ascii="Times New Roman" w:hAnsi="Times New Roman"/>
          <w:b w:val="1"/>
          <w:sz w:val="28"/>
        </w:rPr>
      </w:pPr>
      <w:r>
        <w:rPr>
          <w:rFonts w:ascii="Times New Roman" w:hAnsi="Times New Roman"/>
          <w:b w:val="1"/>
          <w:sz w:val="28"/>
        </w:rPr>
        <w:t>ТЕРРИТОРИАЛЬНЫЙ БРЕНДИНГ: СУЩНОСТЬ И ОСНОВНЫЕ НАПРАВЛЕНИЯ</w:t>
      </w:r>
    </w:p>
    <w:p w14:paraId="06000000">
      <w:pPr>
        <w:spacing w:after="0" w:line="240" w:lineRule="auto"/>
        <w:ind w:firstLine="680"/>
        <w:jc w:val="both"/>
        <w:rPr>
          <w:rFonts w:ascii="Times New Roman" w:hAnsi="Times New Roman"/>
          <w:b w:val="1"/>
          <w:sz w:val="24"/>
        </w:rPr>
      </w:pPr>
    </w:p>
    <w:p w14:paraId="07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 w:val="1"/>
          <w:sz w:val="24"/>
        </w:rPr>
        <w:t>Аннотация</w:t>
      </w:r>
      <w:r>
        <w:rPr>
          <w:rFonts w:ascii="Times New Roman" w:hAnsi="Times New Roman"/>
          <w:b w:val="1"/>
          <w:sz w:val="24"/>
        </w:rPr>
        <w:t xml:space="preserve">. </w:t>
      </w:r>
      <w:r>
        <w:rPr>
          <w:rFonts w:ascii="Times New Roman" w:hAnsi="Times New Roman"/>
          <w:sz w:val="24"/>
        </w:rPr>
        <w:t>Исследование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направлено </w:t>
      </w:r>
      <w:r>
        <w:rPr>
          <w:rFonts w:ascii="Times New Roman" w:hAnsi="Times New Roman"/>
          <w:sz w:val="24"/>
        </w:rPr>
        <w:t>на</w:t>
      </w:r>
      <w:r>
        <w:rPr>
          <w:rFonts w:ascii="Times New Roman" w:hAnsi="Times New Roman"/>
          <w:sz w:val="24"/>
        </w:rPr>
        <w:t xml:space="preserve"> изучение ключевых характеристик </w:t>
      </w:r>
      <w:r>
        <w:rPr>
          <w:rFonts w:ascii="Times New Roman" w:hAnsi="Times New Roman"/>
          <w:sz w:val="24"/>
        </w:rPr>
        <w:t xml:space="preserve">территориального брендинга. </w:t>
      </w:r>
      <w:r>
        <w:rPr>
          <w:rFonts w:ascii="Times New Roman" w:hAnsi="Times New Roman"/>
          <w:sz w:val="24"/>
        </w:rPr>
        <w:t>Рассматриваются теоретические основы брендинга, включая его сущность, ключевые направления, уровни, виды и этапы реализации</w:t>
      </w:r>
      <w:r>
        <w:rPr>
          <w:rFonts w:ascii="Times New Roman" w:hAnsi="Times New Roman"/>
          <w:sz w:val="24"/>
        </w:rPr>
        <w:t xml:space="preserve">, </w:t>
      </w:r>
      <w:r>
        <w:rPr>
          <w:rFonts w:ascii="Times New Roman" w:hAnsi="Times New Roman"/>
          <w:sz w:val="24"/>
        </w:rPr>
        <w:t>а также инструменты, используемые для его продвижения.</w:t>
      </w:r>
    </w:p>
    <w:p w14:paraId="08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 w:val="1"/>
          <w:sz w:val="24"/>
        </w:rPr>
        <w:t>Ключевые слова:</w:t>
      </w:r>
      <w:r>
        <w:rPr>
          <w:rFonts w:ascii="Times New Roman" w:hAnsi="Times New Roman"/>
          <w:sz w:val="24"/>
        </w:rPr>
        <w:t xml:space="preserve"> брендинг территории, </w:t>
      </w:r>
      <w:r>
        <w:rPr>
          <w:rFonts w:ascii="Times New Roman" w:hAnsi="Times New Roman"/>
          <w:sz w:val="24"/>
        </w:rPr>
        <w:t xml:space="preserve">регион, </w:t>
      </w:r>
      <w:r>
        <w:rPr>
          <w:rFonts w:ascii="Times New Roman" w:hAnsi="Times New Roman"/>
          <w:sz w:val="24"/>
        </w:rPr>
        <w:t>имидж</w:t>
      </w:r>
      <w:r>
        <w:rPr>
          <w:rFonts w:ascii="Times New Roman" w:hAnsi="Times New Roman"/>
          <w:sz w:val="24"/>
        </w:rPr>
        <w:t xml:space="preserve">, </w:t>
      </w:r>
      <w:r>
        <w:rPr>
          <w:rFonts w:ascii="Times New Roman" w:hAnsi="Times New Roman"/>
          <w:sz w:val="24"/>
        </w:rPr>
        <w:t>конкурентоспособность, инвестиционная привлекательность</w:t>
      </w:r>
    </w:p>
    <w:p w14:paraId="09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</w:p>
    <w:p w14:paraId="0A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В условиях </w:t>
      </w:r>
      <w:r>
        <w:rPr>
          <w:rFonts w:ascii="Times New Roman" w:hAnsi="Times New Roman"/>
          <w:sz w:val="24"/>
        </w:rPr>
        <w:t>усиления конкуренции между территориями за</w:t>
      </w:r>
      <w:r>
        <w:rPr>
          <w:rFonts w:ascii="Times New Roman" w:hAnsi="Times New Roman"/>
          <w:sz w:val="24"/>
        </w:rPr>
        <w:t xml:space="preserve"> инвестиции, туристов и квалифицированных специалистов формирование устойчивого и привлекательного имиджа региона становится ключевым фактором социально-экономического развития. Территориальный брендинг позволяе</w:t>
      </w:r>
      <w:r>
        <w:rPr>
          <w:rFonts w:ascii="Times New Roman" w:hAnsi="Times New Roman"/>
          <w:sz w:val="24"/>
        </w:rPr>
        <w:t>т не только выделить уникальные характеристики т</w:t>
      </w:r>
      <w:r>
        <w:rPr>
          <w:rFonts w:ascii="Times New Roman" w:hAnsi="Times New Roman"/>
          <w:sz w:val="24"/>
        </w:rPr>
        <w:t>ерритории, но и создать долгосрочную стратегию ее продвижения, способствуя повышению инвестиционной и туристической привлекательности, улучшению качества жизни населения и укреплению региональной идентичности</w:t>
      </w:r>
      <w:r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Особую значимость данное направление приобре</w:t>
      </w:r>
      <w:r>
        <w:rPr>
          <w:rFonts w:ascii="Times New Roman" w:hAnsi="Times New Roman"/>
          <w:sz w:val="24"/>
        </w:rPr>
        <w:t>тает в контексте децентрализации управления и необходимости развития локальных экономик. Эффективный брендинг территории способствует привлечению внешних ресурсов, стимулирует внутренние процессы развития и форми</w:t>
      </w:r>
      <w:r>
        <w:rPr>
          <w:rFonts w:ascii="Times New Roman" w:hAnsi="Times New Roman"/>
          <w:sz w:val="24"/>
        </w:rPr>
        <w:t>рует позитивное восприятие региона среди цел</w:t>
      </w:r>
      <w:r>
        <w:rPr>
          <w:rFonts w:ascii="Times New Roman" w:hAnsi="Times New Roman"/>
          <w:sz w:val="24"/>
        </w:rPr>
        <w:t xml:space="preserve">евых аудиторий. Таким образом, изучение сущности, инструментов и этапов территориального брендинга является актуальной задачей как </w:t>
      </w:r>
      <w:r>
        <w:rPr>
          <w:rFonts w:ascii="Times New Roman" w:hAnsi="Times New Roman"/>
          <w:sz w:val="24"/>
        </w:rPr>
        <w:t>дл</w:t>
      </w:r>
      <w:r>
        <w:rPr>
          <w:rFonts w:ascii="Times New Roman" w:hAnsi="Times New Roman"/>
          <w:sz w:val="24"/>
        </w:rPr>
        <w:t>я научного сообщества, так и для практиков в сфере управления и маркетинга терр</w:t>
      </w:r>
      <w:r>
        <w:rPr>
          <w:rFonts w:ascii="Times New Roman" w:hAnsi="Times New Roman"/>
          <w:sz w:val="24"/>
        </w:rPr>
        <w:t>иторий.</w:t>
      </w:r>
      <w:r>
        <w:rPr>
          <w:rFonts w:ascii="Times New Roman" w:hAnsi="Times New Roman"/>
          <w:sz w:val="24"/>
        </w:rPr>
        <w:t xml:space="preserve"> </w:t>
      </w:r>
    </w:p>
    <w:p w14:paraId="0B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Понятие брендинга территор</w:t>
      </w:r>
      <w:r>
        <w:rPr>
          <w:rFonts w:ascii="Times New Roman" w:hAnsi="Times New Roman"/>
          <w:sz w:val="24"/>
        </w:rPr>
        <w:t>ий было введено в научный оборот С. Анхольтом в начале 1990-х гг. В настоящее время данный термин</w:t>
      </w:r>
      <w:r>
        <w:rPr>
          <w:rFonts w:ascii="Times New Roman" w:hAnsi="Times New Roman"/>
          <w:sz w:val="24"/>
        </w:rPr>
        <w:t xml:space="preserve"> является междисциплинарным, что предполагает наличие множества подходов к трактовке его сущности (табл. </w:t>
      </w:r>
      <w:r>
        <w:rPr>
          <w:rFonts w:ascii="Times New Roman" w:hAnsi="Times New Roman"/>
          <w:sz w:val="24"/>
        </w:rPr>
        <w:t>1).</w:t>
      </w:r>
    </w:p>
    <w:p w14:paraId="0C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Таблица 1 – Определение понятия «брендинг территории»</w:t>
      </w:r>
    </w:p>
    <w:tbl>
      <w:tblPr>
        <w:tblStyle w:val="Style_1"/>
        <w:tblW w:type="auto" w:w="0"/>
        <w:jc w:val="center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1796"/>
        <w:gridCol w:w="7549"/>
      </w:tblGrid>
      <w:tr>
        <w:tc>
          <w:tcPr>
            <w:tcW w:type="dxa" w:w="179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</w:tcPr>
          <w:p w14:paraId="0D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Автор </w:t>
            </w:r>
          </w:p>
        </w:tc>
        <w:tc>
          <w:tcPr>
            <w:tcW w:type="dxa" w:w="754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</w:tcPr>
          <w:p w14:paraId="0E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Определение </w:t>
            </w:r>
          </w:p>
        </w:tc>
      </w:tr>
      <w:tr>
        <w:tc>
          <w:tcPr>
            <w:tcW w:type="dxa" w:w="179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  <w:vAlign w:val="center"/>
          </w:tcPr>
          <w:p w14:paraId="0F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С. Анхольт</w:t>
            </w:r>
          </w:p>
        </w:tc>
        <w:tc>
          <w:tcPr>
            <w:tcW w:type="dxa" w:w="754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</w:tcPr>
          <w:p w14:paraId="10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процесс управления репутацией территории, который направлен н</w:t>
            </w:r>
            <w:r>
              <w:rPr>
                <w:rFonts w:ascii="Times New Roman" w:hAnsi="Times New Roman"/>
                <w:sz w:val="24"/>
              </w:rPr>
              <w:t>а создание позитивного восприятия у целевой аудитории и улучшение ее конкурентоспособности.</w:t>
            </w:r>
          </w:p>
        </w:tc>
      </w:tr>
      <w:tr>
        <w:tc>
          <w:tcPr>
            <w:tcW w:type="dxa" w:w="179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  <w:vAlign w:val="center"/>
          </w:tcPr>
          <w:p w14:paraId="11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Т.А. Атаева</w:t>
            </w:r>
          </w:p>
        </w:tc>
        <w:tc>
          <w:tcPr>
            <w:tcW w:type="dxa" w:w="754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</w:tcPr>
          <w:p w14:paraId="12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бренд страны, региона, города или другого территориального образования, который вы</w:t>
            </w:r>
            <w:r>
              <w:rPr>
                <w:rFonts w:ascii="Times New Roman" w:hAnsi="Times New Roman"/>
                <w:sz w:val="24"/>
              </w:rPr>
              <w:t>ступает важным фактором продвижения территории, опирается на политиче</w:t>
            </w:r>
            <w:r>
              <w:rPr>
                <w:rFonts w:ascii="Times New Roman" w:hAnsi="Times New Roman"/>
                <w:sz w:val="24"/>
              </w:rPr>
              <w:t>ский, экономический, социокультурный её потенциал и природно-рекреационные ресурсы, а также на бренды товаров и услуг, локализованные в определённой географической местности.</w:t>
            </w:r>
          </w:p>
        </w:tc>
      </w:tr>
      <w:tr>
        <w:tc>
          <w:tcPr>
            <w:tcW w:type="dxa" w:w="179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  <w:vAlign w:val="center"/>
          </w:tcPr>
          <w:p w14:paraId="13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И.С. Важенина</w:t>
            </w:r>
          </w:p>
        </w:tc>
        <w:tc>
          <w:tcPr>
            <w:tcW w:type="dxa" w:w="754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</w:tcPr>
          <w:p w14:paraId="14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совокупность уникальных качеств, непреходящих общечеловеческих це</w:t>
            </w:r>
            <w:r>
              <w:rPr>
                <w:rFonts w:ascii="Times New Roman" w:hAnsi="Times New Roman"/>
                <w:sz w:val="24"/>
              </w:rPr>
              <w:t>нностей, отражающих своеобразие, неповторимые оригинальные потребительские характеристики конкретной местности или сообщества.</w:t>
            </w:r>
          </w:p>
        </w:tc>
      </w:tr>
      <w:tr>
        <w:tc>
          <w:tcPr>
            <w:tcW w:type="dxa" w:w="179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  <w:vAlign w:val="center"/>
          </w:tcPr>
          <w:p w14:paraId="15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Ф. Котлер</w:t>
            </w:r>
          </w:p>
        </w:tc>
        <w:tc>
          <w:tcPr>
            <w:tcW w:type="dxa" w:w="754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</w:tcPr>
          <w:p w14:paraId="16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процесс создания</w:t>
            </w:r>
            <w:r>
              <w:rPr>
                <w:rFonts w:ascii="Times New Roman" w:hAnsi="Times New Roman"/>
                <w:sz w:val="24"/>
              </w:rPr>
              <w:t xml:space="preserve"> уникального и привлекательного имиджа территории, который выделяет ее среди конкурентов и привлекает </w:t>
            </w:r>
            <w:r>
              <w:rPr>
                <w:rFonts w:ascii="Times New Roman" w:hAnsi="Times New Roman"/>
                <w:sz w:val="24"/>
              </w:rPr>
              <w:t>целевую аудиторию.</w:t>
            </w:r>
          </w:p>
        </w:tc>
      </w:tr>
      <w:tr>
        <w:tc>
          <w:tcPr>
            <w:tcW w:type="dxa" w:w="179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  <w:vAlign w:val="center"/>
          </w:tcPr>
          <w:p w14:paraId="17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Ю.М. Маркина</w:t>
            </w:r>
          </w:p>
        </w:tc>
        <w:tc>
          <w:tcPr>
            <w:tcW w:type="dxa" w:w="754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</w:tcPr>
          <w:p w14:paraId="18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комплексное, системное понятие, рассматриваемое через призму экономических, социологических, политических наук, как деятельность, направленную на повышение узнаваемости территории, создание позитивного образа, с помощью кот</w:t>
            </w:r>
            <w:r>
              <w:rPr>
                <w:rFonts w:ascii="Times New Roman" w:hAnsi="Times New Roman"/>
                <w:sz w:val="24"/>
              </w:rPr>
              <w:t>орого в регионе формируется стабильное население, идентифицирующее себя с территорией, растёт популярность территории, уровень проживающего на ней населения, повышается её инвестиционная привлекательность.</w:t>
            </w:r>
            <w:r>
              <w:rPr>
                <w:rFonts w:ascii="Times New Roman" w:hAnsi="Times New Roman"/>
                <w:sz w:val="24"/>
              </w:rPr>
              <w:t> </w:t>
            </w:r>
          </w:p>
        </w:tc>
      </w:tr>
      <w:tr>
        <w:tc>
          <w:tcPr>
            <w:tcW w:type="dxa" w:w="179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  <w:vAlign w:val="center"/>
          </w:tcPr>
          <w:p w14:paraId="19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Е.М. Петрова</w:t>
            </w:r>
          </w:p>
        </w:tc>
        <w:tc>
          <w:tcPr>
            <w:tcW w:type="dxa" w:w="754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</w:tcPr>
          <w:p w14:paraId="1A000000">
            <w:pPr>
              <w:spacing w:after="0" w:line="240" w:lineRule="auto"/>
              <w:ind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разработка и реализация комплекса м</w:t>
            </w:r>
            <w:r>
              <w:rPr>
                <w:rFonts w:ascii="Times New Roman" w:hAnsi="Times New Roman"/>
                <w:sz w:val="24"/>
              </w:rPr>
              <w:t>ероприятий, направленных на определение территории, выделение её из списка прочих, создание позитивных эмоций и приверженность ей.</w:t>
            </w:r>
          </w:p>
        </w:tc>
      </w:tr>
    </w:tbl>
    <w:p w14:paraId="1B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</w:p>
    <w:p w14:paraId="1C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Сравнивая представленные в</w:t>
      </w:r>
      <w:r>
        <w:rPr>
          <w:rFonts w:ascii="Times New Roman" w:hAnsi="Times New Roman"/>
          <w:sz w:val="24"/>
        </w:rPr>
        <w:t xml:space="preserve"> таблице определения, можно выделить общие черты: акцент на идентичности, конкурентоспособности и</w:t>
      </w:r>
      <w:r>
        <w:rPr>
          <w:rFonts w:ascii="Times New Roman" w:hAnsi="Times New Roman"/>
          <w:sz w:val="24"/>
        </w:rPr>
        <w:t xml:space="preserve"> привлекательности территории. При этом все подходы подчеркивают важность создания добавленной стоимости для территории, будь то эффективное управление, привлечение инвестиций, туристов или квалифицированных специалистов. </w:t>
      </w:r>
    </w:p>
    <w:p w14:paraId="1D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 основании представленных опред</w:t>
      </w:r>
      <w:r>
        <w:rPr>
          <w:rFonts w:ascii="Times New Roman" w:hAnsi="Times New Roman"/>
          <w:sz w:val="24"/>
        </w:rPr>
        <w:t>елений можно заключить, что брендинг территории представляет собой комплексный процесс создания и продвижения уникального и привлекательного имиджа определенной территории.  Таким образом, сущность брендинга территории заключается в формировании целостного</w:t>
      </w:r>
      <w:r>
        <w:rPr>
          <w:rFonts w:ascii="Times New Roman" w:hAnsi="Times New Roman"/>
          <w:sz w:val="24"/>
        </w:rPr>
        <w:t xml:space="preserve"> и привлекательного образа территории, который соответствует ее уникальным характеристикам и потребностям целевой аудитории посредством реализации долгосрочной стратегии, направленной на улучшение качества жизни и повышение конкурентоспособности территории</w:t>
      </w:r>
      <w:r>
        <w:rPr>
          <w:rFonts w:ascii="Times New Roman" w:hAnsi="Times New Roman"/>
          <w:sz w:val="24"/>
        </w:rPr>
        <w:t>.</w:t>
      </w:r>
    </w:p>
    <w:p w14:paraId="1E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Как отмечает Л.В. Ковынева «бренд создается для решения определенных задач. В случае с регионом это может быть снижение оттока жителей, повышение туристской и инвестиционной привлекательности. Для того чтобы стимулировать людей приезжать в регион или вкл</w:t>
      </w:r>
      <w:r>
        <w:rPr>
          <w:rFonts w:ascii="Times New Roman" w:hAnsi="Times New Roman"/>
          <w:sz w:val="24"/>
        </w:rPr>
        <w:t>адывать в него деньги, надо показать в чем заключается ценность данной территории. Поэтому, прежде чем приступать к брендингу, следует рассмотреть территорию как продукт: ее свойства, уникальные качества и характеристики»</w:t>
      </w:r>
      <w:r>
        <w:rPr>
          <w:rFonts w:ascii="Times New Roman" w:hAnsi="Times New Roman"/>
          <w:sz w:val="24"/>
        </w:rPr>
        <w:t xml:space="preserve"> [3]</w:t>
      </w:r>
      <w:r>
        <w:rPr>
          <w:rFonts w:ascii="Times New Roman" w:hAnsi="Times New Roman"/>
          <w:sz w:val="24"/>
        </w:rPr>
        <w:t>.</w:t>
      </w:r>
    </w:p>
    <w:p w14:paraId="1F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Решение имеющихся задач осуще</w:t>
      </w:r>
      <w:r>
        <w:rPr>
          <w:rFonts w:ascii="Times New Roman" w:hAnsi="Times New Roman"/>
          <w:sz w:val="24"/>
        </w:rPr>
        <w:t>ствляется по ключевым направлениям</w:t>
      </w:r>
      <w:r>
        <w:rPr>
          <w:rFonts w:ascii="Times New Roman" w:hAnsi="Times New Roman"/>
          <w:sz w:val="24"/>
        </w:rPr>
        <w:t xml:space="preserve"> [7]</w:t>
      </w:r>
      <w:r>
        <w:rPr>
          <w:rFonts w:ascii="Times New Roman" w:hAnsi="Times New Roman"/>
          <w:sz w:val="24"/>
        </w:rPr>
        <w:t>:</w:t>
      </w:r>
    </w:p>
    <w:p w14:paraId="20000000">
      <w:pPr>
        <w:pStyle w:val="Style_2"/>
        <w:numPr>
          <w:ilvl w:val="0"/>
          <w:numId w:val="1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Идентификация уникальных характеристик территории: выявление исторических, культурных, экономических и природных особенностей, которые отличают данную территорию от других.</w:t>
      </w:r>
    </w:p>
    <w:p w14:paraId="21000000">
      <w:pPr>
        <w:pStyle w:val="Style_2"/>
        <w:numPr>
          <w:ilvl w:val="0"/>
          <w:numId w:val="1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Формирование позитивного имиджа территории </w:t>
      </w:r>
      <w:r>
        <w:rPr>
          <w:rFonts w:ascii="Times New Roman" w:hAnsi="Times New Roman"/>
          <w:sz w:val="24"/>
        </w:rPr>
        <w:t xml:space="preserve">в сознании целевой аудитории: привлекательный образ территории, который соответствует ее уникальным характеристикам и потребностям целевой аудитории. </w:t>
      </w:r>
    </w:p>
    <w:p w14:paraId="22000000">
      <w:pPr>
        <w:pStyle w:val="Style_2"/>
        <w:numPr>
          <w:ilvl w:val="0"/>
          <w:numId w:val="1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Создание добавленной стоимости: брендинг территории должен способствовать привлечению инвестиций, туристо</w:t>
      </w:r>
      <w:r>
        <w:rPr>
          <w:rFonts w:ascii="Times New Roman" w:hAnsi="Times New Roman"/>
          <w:sz w:val="24"/>
        </w:rPr>
        <w:t>в и квалифицированных специалистов, что, в свою очередь, приводит к экономическому росту и улучшению качества жизни.</w:t>
      </w:r>
    </w:p>
    <w:p w14:paraId="23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 формировании целей и задач участвуют следующие субъекты:</w:t>
      </w:r>
      <w:r>
        <w:rPr>
          <w:rFonts w:ascii="Times New Roman" w:hAnsi="Times New Roman"/>
          <w:sz w:val="24"/>
        </w:rPr>
        <w:t xml:space="preserve"> органы региональной и муниципальной власти; СМИ; общественные организации; бизне</w:t>
      </w:r>
      <w:r>
        <w:rPr>
          <w:rFonts w:ascii="Times New Roman" w:hAnsi="Times New Roman"/>
          <w:sz w:val="24"/>
        </w:rPr>
        <w:t>с-структуры и их объединения; учреждения; жители территории.</w:t>
      </w:r>
    </w:p>
    <w:p w14:paraId="24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Выделяются несколько уровней брендинга</w:t>
      </w:r>
      <w:r>
        <w:rPr>
          <w:rFonts w:ascii="Times New Roman" w:hAnsi="Times New Roman"/>
          <w:sz w:val="24"/>
        </w:rPr>
        <w:t xml:space="preserve"> [6]</w:t>
      </w:r>
      <w:r>
        <w:rPr>
          <w:rFonts w:ascii="Times New Roman" w:hAnsi="Times New Roman"/>
          <w:sz w:val="24"/>
        </w:rPr>
        <w:t>:</w:t>
      </w:r>
    </w:p>
    <w:p w14:paraId="25000000">
      <w:pPr>
        <w:pStyle w:val="Style_2"/>
        <w:numPr>
          <w:ilvl w:val="0"/>
          <w:numId w:val="2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Локальный (местный) брендинг – продвижение деревень, посёлков, городов, расположен</w:t>
      </w:r>
      <w:r>
        <w:rPr>
          <w:rFonts w:ascii="Times New Roman" w:hAnsi="Times New Roman"/>
          <w:sz w:val="24"/>
        </w:rPr>
        <w:t>ных на территории региона, что позволяет выделить конкретную территор</w:t>
      </w:r>
      <w:r>
        <w:rPr>
          <w:rFonts w:ascii="Times New Roman" w:hAnsi="Times New Roman"/>
          <w:sz w:val="24"/>
        </w:rPr>
        <w:t>ию внутри региона и создать у неё уникальное позиционирование.</w:t>
      </w:r>
      <w:r>
        <w:rPr>
          <w:rFonts w:ascii="Times New Roman" w:hAnsi="Times New Roman"/>
          <w:sz w:val="24"/>
        </w:rPr>
        <w:t> </w:t>
      </w:r>
    </w:p>
    <w:p w14:paraId="26000000">
      <w:pPr>
        <w:pStyle w:val="Style_2"/>
        <w:numPr>
          <w:ilvl w:val="0"/>
          <w:numId w:val="2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Региональный брендинг - направлен на формирование позитивного образа региона в целом, что помогает территории быть более привлекательными на уровне государственного</w:t>
      </w:r>
      <w:r>
        <w:rPr>
          <w:rFonts w:ascii="Times New Roman" w:hAnsi="Times New Roman"/>
          <w:sz w:val="24"/>
        </w:rPr>
        <w:t xml:space="preserve"> регулирования.</w:t>
      </w:r>
    </w:p>
    <w:p w14:paraId="27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С. Анхольд в</w:t>
      </w:r>
      <w:r>
        <w:rPr>
          <w:rFonts w:ascii="Times New Roman" w:hAnsi="Times New Roman"/>
          <w:sz w:val="24"/>
        </w:rPr>
        <w:t>ключил в элементы бренда территории шесть составляющих: туризм, люди, культура и наследие, экспортные бренды, бизнес и инвестиции, внутренняя и внешняя политика. Исходя из этой модели, можно заключить, что территориальный бренд -«это бренд региона, который</w:t>
      </w:r>
      <w:r>
        <w:rPr>
          <w:rFonts w:ascii="Times New Roman" w:hAnsi="Times New Roman"/>
          <w:sz w:val="24"/>
        </w:rPr>
        <w:t xml:space="preserve"> является ключевым продвигающим фактором, опирающимся на культурные, социальные, политические, экономические ресурсы рассматриваемого объекта»</w:t>
      </w:r>
      <w:r>
        <w:rPr>
          <w:rFonts w:ascii="Times New Roman" w:hAnsi="Times New Roman"/>
          <w:sz w:val="24"/>
        </w:rPr>
        <w:t xml:space="preserve"> [5]</w:t>
      </w:r>
      <w:r>
        <w:rPr>
          <w:rFonts w:ascii="Times New Roman" w:hAnsi="Times New Roman"/>
          <w:sz w:val="24"/>
        </w:rPr>
        <w:t>. В свою очередь брендинг территории — это направленное создание образа или имиджа района (и отдельных его тер</w:t>
      </w:r>
      <w:r>
        <w:rPr>
          <w:rFonts w:ascii="Times New Roman" w:hAnsi="Times New Roman"/>
          <w:sz w:val="24"/>
        </w:rPr>
        <w:t>риторий) в глазах общественности. В данном аспекте выделяют следующие виды брендинга</w:t>
      </w:r>
      <w:r>
        <w:rPr>
          <w:rFonts w:ascii="Times New Roman" w:hAnsi="Times New Roman"/>
          <w:sz w:val="24"/>
        </w:rPr>
        <w:t xml:space="preserve"> [1]</w:t>
      </w:r>
      <w:r>
        <w:rPr>
          <w:rFonts w:ascii="Times New Roman" w:hAnsi="Times New Roman"/>
          <w:sz w:val="24"/>
        </w:rPr>
        <w:t>:</w:t>
      </w:r>
    </w:p>
    <w:p w14:paraId="28000000">
      <w:pPr>
        <w:pStyle w:val="Style_2"/>
        <w:numPr>
          <w:ilvl w:val="0"/>
          <w:numId w:val="3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инвестиционный бренд - привлекательный образ для инвесторов и предпринимателей, который достигается путём создания благоприятного бизнес-климата, разработки инновацио</w:t>
      </w:r>
      <w:r>
        <w:rPr>
          <w:rFonts w:ascii="Times New Roman" w:hAnsi="Times New Roman"/>
          <w:sz w:val="24"/>
        </w:rPr>
        <w:t>нных технологий, предоставления льгот и других мер, которые привлекают инвестиции и способствуют развитию экономики;</w:t>
      </w:r>
    </w:p>
    <w:p w14:paraId="29000000">
      <w:pPr>
        <w:pStyle w:val="Style_2"/>
        <w:numPr>
          <w:ilvl w:val="0"/>
          <w:numId w:val="3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туристический бренд - привлечение туристов на территорию путём формирования имиджа туристического направления, которое может включать в себ</w:t>
      </w:r>
      <w:r>
        <w:rPr>
          <w:rFonts w:ascii="Times New Roman" w:hAnsi="Times New Roman"/>
          <w:sz w:val="24"/>
        </w:rPr>
        <w:t>я развитие инфраструктуры, проведение рекламных кампаний, организацию мероприятий, которые предлагают уникальный опыт для посетителей;</w:t>
      </w:r>
    </w:p>
    <w:p w14:paraId="2A000000">
      <w:pPr>
        <w:pStyle w:val="Style_2"/>
        <w:numPr>
          <w:ilvl w:val="0"/>
          <w:numId w:val="3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житейский бренд – привлекательный образ для жителей территории, который связан с улучшением качества жизни, развитием обр</w:t>
      </w:r>
      <w:r>
        <w:rPr>
          <w:rFonts w:ascii="Times New Roman" w:hAnsi="Times New Roman"/>
          <w:sz w:val="24"/>
        </w:rPr>
        <w:t>азования и здравоохранения, созданием комфортной городской среды и другими мерами, которые делают территорию привлекательной для проживания.</w:t>
      </w:r>
    </w:p>
    <w:p w14:paraId="2B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Приведенные выше виды брендов территорий не в полной мере отражают многообразие проводимой работы. В процессе решен</w:t>
      </w:r>
      <w:r>
        <w:rPr>
          <w:rFonts w:ascii="Times New Roman" w:hAnsi="Times New Roman"/>
          <w:sz w:val="24"/>
        </w:rPr>
        <w:t>ия задач возможно формирование нескольких брендов на одной территории. Например, отдельный город является туристским центром, в то время как вся территория региона – имеет инвестиционный бренд.</w:t>
      </w:r>
    </w:p>
    <w:p w14:paraId="2C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Независимо от вида бренда, который формируется на территории р</w:t>
      </w:r>
      <w:r>
        <w:rPr>
          <w:rFonts w:ascii="Times New Roman" w:hAnsi="Times New Roman"/>
          <w:sz w:val="24"/>
        </w:rPr>
        <w:t xml:space="preserve">егиона, процесс брендинга территорий представляет собой комплексную последовательность действий, направленных на формирование и продвижение уникального и привлекательного имиджа территории. </w:t>
      </w:r>
      <w:r>
        <w:rPr>
          <w:rFonts w:ascii="Times New Roman" w:hAnsi="Times New Roman"/>
          <w:sz w:val="24"/>
        </w:rPr>
        <w:t xml:space="preserve">Этот процесс включает в себя следующие основные этапы (рис. </w:t>
      </w:r>
      <w:r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).</w:t>
      </w:r>
    </w:p>
    <w:p w14:paraId="2D000000">
      <w:pPr>
        <w:pStyle w:val="Style_3"/>
        <w:spacing w:after="0"/>
        <w:ind w:firstLine="680"/>
        <w:jc w:val="both"/>
      </w:pPr>
      <w:r>
        <mc:AlternateContent>
          <mc:Choice Requires="wpg">
  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  <wp:inline>
                <wp:extent cx="5667375" cy="2567305"/>
                <wp:docPr hidden="false" id="1" name="Picture 1"/>
                <a:graphic>
                  <a:graphicData uri="http://schemas.microsoft.com/office/word/2010/wordprocessingGroup">
                    <wpg:wgp>
                      <wpg:cNvGrpSpPr/>
                      <wpg:grpSpPr>
                        <a:xfrm flipH="false" flipV="false" rot="0">
                          <a:off x="0" y="0"/>
                          <a:ext cx="5667375" cy="2567305"/>
                          <a:chOff x="0" y="0"/>
                          <a:chExt cx="5667375" cy="2567305"/>
                        </a:xfrm>
                      </wpg:grpSpPr>
                      <wps:wsp>
                        <wps:cNvSpPr txBox="false"/>
                        <wps:spPr>
                          <a:xfrm flipH="false" flipV="false" rot="0">
                            <a:off x="0" y="0"/>
                            <a:ext cx="5667375" cy="2567305"/>
                          </a:xfrm>
                          <a:custGeom>
                            <a:avLst/>
                            <a:gdLst>
                              <a:gd fmla="val 0" name="COTextRectL"/>
                              <a:gd fmla="val 0" name="COTextRectT"/>
                              <a:gd fmla="val 1" name="COTextRectR"/>
                              <a:gd fmla="val 1" name="COTextRectB"/>
                              <a:gd fmla="val 0" name="ODFLeft"/>
                              <a:gd fmla="val 0" name="ODFTop"/>
                              <a:gd fmla="val 21600" name="ODFRight"/>
                              <a:gd fmla="val 21600" name="ODFBottom"/>
                              <a:gd fmla="val 21600" name="ODFWidth"/>
                              <a:gd fmla="val 21600" name="ODFHeight"/>
                              <a:gd fmla="*/ COTextRectL w 1" name="OXMLTextRectL"/>
                              <a:gd fmla="*/ COTextRectT h 1" name="OXMLTextRectT"/>
                              <a:gd fmla="*/ COTextRectR w 1" name="OXMLTextRectR"/>
                              <a:gd fmla="*/ COTextRectB h 1" name="OXMLTextRectB"/>
                            </a:gdLst>
                            <a:rect b="OXMLTextRectB" l="OXMLTextRectL" r="OXMLTextRectR" t="OXMLTextRectT"/>
                            <a:pathLst>
                              <a:path fill="norm" h="21600" stroke="true" w="21600">
                                <a:moveTo>
                                  <a:pt x="0" y="0"/>
                                </a:moveTo>
                                <a:lnTo>
                                  <a:pt x="0" y="21600"/>
                                </a:lnTo>
                                <a:lnTo>
                                  <a:pt x="21600" y="21600"/>
                                </a:lnTo>
                                <a:lnTo>
                                  <a:pt x="2160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838200" y="622037"/>
                            <a:ext cx="2552011" cy="401855"/>
                          </a:xfrm>
                          <a:custGeom>
                            <a:avLst>
                              <a:gd fmla="val -11796480" name="modifier0"/>
                              <a:gd fmla="val 0" name="modifier1"/>
                              <a:gd fmla="val 5400" name="modifier2"/>
                            </a:avLst>
                            <a:gdLst>
                              <a:gd fmla="val 0" name="ODFTextRectL"/>
                              <a:gd fmla="val 0" name="ODFTextRectT"/>
                              <a:gd fmla="val 21600" name="ODFTextRectR"/>
                              <a:gd fmla="val 21600" name="ODFTextRectB"/>
                              <a:gd fmla="val 21600" name="ODFWidth"/>
                              <a:gd fmla="*/ ODFTextRectL 1 ODFWidth" name="COTextRectL"/>
                              <a:gd fmla="val 21600" name="ODFHeight"/>
                              <a:gd fmla="*/ ODFTextRectT 1 ODFHeight" name="COTextRectT"/>
                              <a:gd fmla="*/ ODFTextRectR 1 ODFWidth" name="COTextRectR"/>
                              <a:gd fmla="*/ ODFTextRectB 1 ODFHeight" name="COTextRectB"/>
                              <a:gd fmla="val 0" name="ODFLeft"/>
                              <a:gd fmla="val 0" name="ODFTop"/>
                              <a:gd fmla="val 21600" name="ODFRight"/>
                              <a:gd fmla="val 21600" name="ODFBottom"/>
                              <a:gd fmla="*/ COTextRectL w 1" name="OXMLTextRectL"/>
                              <a:gd fmla="*/ COTextRectT h 1" name="OXMLTextRectT"/>
                              <a:gd fmla="*/ COTextRectR w 1" name="OXMLTextRectR"/>
                              <a:gd fmla="*/ COTextRectB h 1" name="OXMLTextRectB"/>
                            </a:gdLst>
                            <a:rect b="OXMLTextRectB" l="OXMLTextRectL" r="OXMLTextRectR" t="OXMLTextRectT"/>
                            <a:pathLst>
                              <a:path fill="norm" h="21600" stroke="true" w="21600">
                                <a:moveTo>
                                  <a:pt x="0" y="0"/>
                                </a:moveTo>
                                <a:lnTo>
                                  <a:pt x="0" y="21600"/>
                                </a:lnTo>
                                <a:lnTo>
                                  <a:pt x="21600" y="21600"/>
                                </a:lnTo>
                                <a:lnTo>
                                  <a:pt x="2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E000000">
                              <w:pPr>
                                <w:rPr>
                                  <w:rFonts w:ascii="Times New Roman" w:hAns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4"/>
                                </w:rPr>
                                <w:t>Определение целевой аудитории</w:t>
                              </w:r>
                            </w:p>
                          </w:txbxContent>
                        </wps:txbx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1238250" y="1075276"/>
                            <a:ext cx="2572083" cy="410680"/>
                          </a:xfrm>
                          <a:custGeom>
                            <a:avLst>
                              <a:gd fmla="val -11796480" name="modifier0"/>
                              <a:gd fmla="val 0" name="modifier1"/>
                              <a:gd fmla="val 5400" name="modifier2"/>
                            </a:avLst>
                            <a:gdLst>
                              <a:gd fmla="val 0" name="ODFTextRectL"/>
                              <a:gd fmla="val 0" name="ODFTextRectT"/>
                              <a:gd fmla="val 21600" name="ODFTextRectR"/>
                              <a:gd fmla="val 21600" name="ODFTextRectB"/>
                              <a:gd fmla="val 21600" name="ODFWidth"/>
                              <a:gd fmla="*/ ODFTextRectL 1 ODFWidth" name="COTextRectL"/>
                              <a:gd fmla="val 21600" name="ODFHeight"/>
                              <a:gd fmla="*/ ODFTextRectT 1 ODFHeight" name="COTextRectT"/>
                              <a:gd fmla="*/ ODFTextRectR 1 ODFWidth" name="COTextRectR"/>
                              <a:gd fmla="*/ ODFTextRectB 1 ODFHeight" name="COTextRectB"/>
                              <a:gd fmla="val 0" name="ODFLeft"/>
                              <a:gd fmla="val 0" name="ODFTop"/>
                              <a:gd fmla="val 21600" name="ODFRight"/>
                              <a:gd fmla="val 21600" name="ODFBottom"/>
                              <a:gd fmla="*/ COTextRectL w 1" name="OXMLTextRectL"/>
                              <a:gd fmla="*/ COTextRectT h 1" name="OXMLTextRectT"/>
                              <a:gd fmla="*/ COTextRectR w 1" name="OXMLTextRectR"/>
                              <a:gd fmla="*/ COTextRectB h 1" name="OXMLTextRectB"/>
                            </a:gdLst>
                            <a:rect b="OXMLTextRectB" l="OXMLTextRectL" r="OXMLTextRectR" t="OXMLTextRectT"/>
                            <a:pathLst>
                              <a:path fill="norm" h="21600" stroke="true" w="21600">
                                <a:moveTo>
                                  <a:pt x="0" y="0"/>
                                </a:moveTo>
                                <a:lnTo>
                                  <a:pt x="0" y="21600"/>
                                </a:lnTo>
                                <a:lnTo>
                                  <a:pt x="21600" y="21600"/>
                                </a:lnTo>
                                <a:lnTo>
                                  <a:pt x="2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F000000">
                              <w:pPr>
                                <w:rPr>
                                  <w:rFonts w:ascii="Times New Roman" w:hAns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4"/>
                                </w:rPr>
                                <w:t>Разработка стратегии брендинга</w:t>
                              </w:r>
                            </w:p>
                          </w:txbxContent>
                        </wps:txbx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1752267" y="1588258"/>
                            <a:ext cx="2628852" cy="439384"/>
                          </a:xfrm>
                          <a:custGeom>
                            <a:avLst>
                              <a:gd fmla="val -11796480" name="modifier0"/>
                              <a:gd fmla="val 0" name="modifier1"/>
                              <a:gd fmla="val 5400" name="modifier2"/>
                            </a:avLst>
                            <a:gdLst>
                              <a:gd fmla="val 0" name="ODFTextRectL"/>
                              <a:gd fmla="val 0" name="ODFTextRectT"/>
                              <a:gd fmla="val 21600" name="ODFTextRectR"/>
                              <a:gd fmla="val 21600" name="ODFTextRectB"/>
                              <a:gd fmla="val 21600" name="ODFWidth"/>
                              <a:gd fmla="*/ ODFTextRectL 1 ODFWidth" name="COTextRectL"/>
                              <a:gd fmla="val 21600" name="ODFHeight"/>
                              <a:gd fmla="*/ ODFTextRectT 1 ODFHeight" name="COTextRectT"/>
                              <a:gd fmla="*/ ODFTextRectR 1 ODFWidth" name="COTextRectR"/>
                              <a:gd fmla="*/ ODFTextRectB 1 ODFHeight" name="COTextRectB"/>
                              <a:gd fmla="val 0" name="ODFLeft"/>
                              <a:gd fmla="val 0" name="ODFTop"/>
                              <a:gd fmla="val 21600" name="ODFRight"/>
                              <a:gd fmla="val 21600" name="ODFBottom"/>
                              <a:gd fmla="*/ COTextRectL w 1" name="OXMLTextRectL"/>
                              <a:gd fmla="*/ COTextRectT h 1" name="OXMLTextRectT"/>
                              <a:gd fmla="*/ COTextRectR w 1" name="OXMLTextRectR"/>
                              <a:gd fmla="*/ COTextRectB h 1" name="OXMLTextRectB"/>
                            </a:gdLst>
                            <a:rect b="OXMLTextRectB" l="OXMLTextRectL" r="OXMLTextRectR" t="OXMLTextRectT"/>
                            <a:pathLst>
                              <a:path fill="norm" h="21600" stroke="true" w="21600">
                                <a:moveTo>
                                  <a:pt x="0" y="0"/>
                                </a:moveTo>
                                <a:lnTo>
                                  <a:pt x="0" y="21600"/>
                                </a:lnTo>
                                <a:lnTo>
                                  <a:pt x="21600" y="21600"/>
                                </a:lnTo>
                                <a:lnTo>
                                  <a:pt x="2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0000000">
                              <w:pPr>
                                <w:rPr>
                                  <w:rFonts w:ascii="Times New Roman" w:hAns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4"/>
                                </w:rPr>
                                <w:t>Реал</w:t>
                              </w:r>
                              <w:r>
                                <w:rPr>
                                  <w:rFonts w:ascii="Times New Roman" w:hAnsi="Times New Roman"/>
                                  <w:sz w:val="24"/>
                                </w:rPr>
                                <w:t>изация стратегии брендинга</w:t>
                              </w:r>
                            </w:p>
                          </w:txbxContent>
                        </wps:txbx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2438019" y="2101241"/>
                            <a:ext cx="2705481" cy="409943"/>
                          </a:xfrm>
                          <a:custGeom>
                            <a:avLst>
                              <a:gd fmla="val -11796480" name="modifier0"/>
                              <a:gd fmla="val 0" name="modifier1"/>
                              <a:gd fmla="val 5400" name="modifier2"/>
                            </a:avLst>
                            <a:gdLst>
                              <a:gd fmla="val 0" name="ODFTextRectL"/>
                              <a:gd fmla="val 0" name="ODFTextRectT"/>
                              <a:gd fmla="val 21600" name="ODFTextRectR"/>
                              <a:gd fmla="val 21600" name="ODFTextRectB"/>
                              <a:gd fmla="val 21600" name="ODFWidth"/>
                              <a:gd fmla="*/ ODFTextRectL 1 ODFWidth" name="COTextRectL"/>
                              <a:gd fmla="val 21600" name="ODFHeight"/>
                              <a:gd fmla="*/ ODFTextRectT 1 ODFHeight" name="COTextRectT"/>
                              <a:gd fmla="*/ ODFTextRectR 1 ODFWidth" name="COTextRectR"/>
                              <a:gd fmla="*/ ODFTextRectB 1 ODFHeight" name="COTextRectB"/>
                              <a:gd fmla="val 0" name="ODFLeft"/>
                              <a:gd fmla="val 0" name="ODFTop"/>
                              <a:gd fmla="val 21600" name="ODFRight"/>
                              <a:gd fmla="val 21600" name="ODFBottom"/>
                              <a:gd fmla="*/ COTextRectL w 1" name="OXMLTextRectL"/>
                              <a:gd fmla="*/ COTextRectT h 1" name="OXMLTextRectT"/>
                              <a:gd fmla="*/ COTextRectR w 1" name="OXMLTextRectR"/>
                              <a:gd fmla="*/ COTextRectB h 1" name="OXMLTextRectB"/>
                            </a:gdLst>
                            <a:rect b="OXMLTextRectB" l="OXMLTextRectL" r="OXMLTextRectR" t="OXMLTextRectT"/>
                            <a:pathLst>
                              <a:path fill="norm" h="21600" stroke="true" w="21600">
                                <a:moveTo>
                                  <a:pt x="0" y="0"/>
                                </a:moveTo>
                                <a:lnTo>
                                  <a:pt x="0" y="21600"/>
                                </a:lnTo>
                                <a:lnTo>
                                  <a:pt x="21600" y="21600"/>
                                </a:lnTo>
                                <a:lnTo>
                                  <a:pt x="2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1000000">
                              <w:pPr>
                                <w:rPr>
                                  <w:rFonts w:ascii="Times New Roman" w:hAns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4"/>
                                </w:rPr>
                                <w:t>Оценка эффективности брендинга</w:t>
                              </w:r>
                            </w:p>
                          </w:txbxContent>
                        </wps:txbx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3390211" y="759268"/>
                            <a:ext cx="228312" cy="0"/>
                          </a:xfrm>
                          <a:prstGeom prst="lin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3810333" y="1280616"/>
                            <a:ext cx="228312" cy="0"/>
                          </a:xfrm>
                          <a:prstGeom prst="lin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4381119" y="1793599"/>
                            <a:ext cx="229124" cy="0"/>
                          </a:xfrm>
                          <a:prstGeom prst="lin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4610242" y="1776021"/>
                            <a:ext cx="0" cy="342795"/>
                          </a:xfrm>
                          <a:prstGeom prst="lin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  <a:tailEnd len="med" type="triangle" w="med"/>
                          </a:ln>
                        </wps:spPr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4038648" y="1263038"/>
                            <a:ext cx="0" cy="342796"/>
                          </a:xfrm>
                          <a:prstGeom prst="lin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  <a:tailEnd len="med" type="triangle" w="med"/>
                          </a:ln>
                        </wps:spPr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3618524" y="750056"/>
                            <a:ext cx="0" cy="342796"/>
                          </a:xfrm>
                          <a:prstGeom prst="lin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  <a:tailEnd len="med" type="triangle" w="med"/>
                          </a:ln>
                        </wps:spPr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342901" y="109239"/>
                            <a:ext cx="2599349" cy="435002"/>
                          </a:xfrm>
                          <a:custGeom>
                            <a:avLst>
                              <a:gd fmla="val -11796480" name="modifier0"/>
                              <a:gd fmla="val 0" name="modifier1"/>
                              <a:gd fmla="val 5400" name="modifier2"/>
                            </a:avLst>
                            <a:gdLst>
                              <a:gd fmla="val 0" name="ODFTextRectL"/>
                              <a:gd fmla="val 0" name="ODFTextRectT"/>
                              <a:gd fmla="val 21600" name="ODFTextRectR"/>
                              <a:gd fmla="val 21600" name="ODFTextRectB"/>
                              <a:gd fmla="val 21600" name="ODFWidth"/>
                              <a:gd fmla="*/ ODFTextRectL 1 ODFWidth" name="COTextRectL"/>
                              <a:gd fmla="val 21600" name="ODFHeight"/>
                              <a:gd fmla="*/ ODFTextRectT 1 ODFHeight" name="COTextRectT"/>
                              <a:gd fmla="*/ ODFTextRectR 1 ODFWidth" name="COTextRectR"/>
                              <a:gd fmla="*/ ODFTextRectB 1 ODFHeight" name="COTextRectB"/>
                              <a:gd fmla="val 0" name="ODFLeft"/>
                              <a:gd fmla="val 0" name="ODFTop"/>
                              <a:gd fmla="val 21600" name="ODFRight"/>
                              <a:gd fmla="val 21600" name="ODFBottom"/>
                              <a:gd fmla="*/ COTextRectL w 1" name="OXMLTextRectL"/>
                              <a:gd fmla="*/ COTextRectT h 1" name="OXMLTextRectT"/>
                              <a:gd fmla="*/ COTextRectR w 1" name="OXMLTextRectR"/>
                              <a:gd fmla="*/ COTextRectB h 1" name="OXMLTextRectB"/>
                            </a:gdLst>
                            <a:rect b="OXMLTextRectB" l="OXMLTextRectL" r="OXMLTextRectR" t="OXMLTextRectT"/>
                            <a:pathLst>
                              <a:path fill="norm" h="21600" stroke="true" w="21600">
                                <a:moveTo>
                                  <a:pt x="0" y="0"/>
                                </a:moveTo>
                                <a:lnTo>
                                  <a:pt x="0" y="21600"/>
                                </a:lnTo>
                                <a:lnTo>
                                  <a:pt x="21600" y="21600"/>
                                </a:lnTo>
                                <a:lnTo>
                                  <a:pt x="2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2000000">
                              <w:pPr>
                                <w:pStyle w:val="Style_3"/>
                                <w:spacing w:after="0"/>
                                <w:ind/>
                              </w:pPr>
                              <w:r>
                                <w:t xml:space="preserve">Анализ текущего имиджа территории </w:t>
                              </w:r>
                            </w:p>
                          </w:txbxContent>
                        </wps:txbx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2931455" y="306415"/>
                            <a:ext cx="227964" cy="0"/>
                          </a:xfrm>
                          <a:prstGeom prst="lin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anchor="t" bIns="45720" lIns="91440" rIns="91440" tIns="45720">
                          <a:noAutofit/>
                        </wps:bodyPr>
                      </wps:wsp>
                      <wps:wsp>
                        <wps:cNvSpPr txBox="false"/>
                        <wps:spPr>
                          <a:xfrm flipH="false" flipV="false" rot="0">
                            <a:off x="3160055" y="297414"/>
                            <a:ext cx="0" cy="342263"/>
                          </a:xfrm>
                          <a:prstGeom prst="lin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solid"/>
                            <a:tailEnd len="med" type="triangle" w="med"/>
                          </a:ln>
                        </wps:spPr>
                        <wps:bodyPr anchor="t" bIns="45720" lIns="91440" rIns="91440" tIns="4572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  </mc:Fallback>
        </mc:AlternateContent>
      </w:r>
    </w:p>
    <w:p w14:paraId="33000000">
      <w:pPr>
        <w:spacing w:after="0" w:line="240" w:lineRule="auto"/>
        <w:ind w:firstLine="680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Рис</w:t>
      </w:r>
      <w:r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Процесс брендинга территории</w:t>
      </w:r>
    </w:p>
    <w:p w14:paraId="34000000">
      <w:pPr>
        <w:spacing w:after="0" w:line="240" w:lineRule="auto"/>
        <w:ind w:firstLine="709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Источник: </w:t>
      </w:r>
      <w:r>
        <w:rPr>
          <w:rFonts w:ascii="Times New Roman" w:hAnsi="Times New Roman"/>
          <w:sz w:val="24"/>
        </w:rPr>
        <w:t>[4]</w:t>
      </w:r>
    </w:p>
    <w:p w14:paraId="35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На этапе анализа текущего имиджа территории проводится </w:t>
      </w:r>
      <w:r>
        <w:rPr>
          <w:rFonts w:ascii="Times New Roman" w:hAnsi="Times New Roman"/>
          <w:sz w:val="24"/>
        </w:rPr>
        <w:t>SWOT</w:t>
      </w:r>
      <w:r>
        <w:rPr>
          <w:rFonts w:ascii="Times New Roman" w:hAnsi="Times New Roman"/>
          <w:sz w:val="24"/>
        </w:rPr>
        <w:t>-анализ, исследования общественного мнения и применяются другие методы для оценки сильных и слабых сторон терри</w:t>
      </w:r>
      <w:r>
        <w:rPr>
          <w:rFonts w:ascii="Times New Roman" w:hAnsi="Times New Roman"/>
          <w:sz w:val="24"/>
        </w:rPr>
        <w:t>тории, а также возможностей и угроз.</w:t>
      </w:r>
    </w:p>
    <w:p w14:paraId="36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Определение целевой аудитории предполагает необходимость четкого определения, на кого направлен брендинг территории: туристы, инвесторы, жители, бизнес и т.д. Определение целевой аудитории позволяет выбрать наиболее под</w:t>
      </w:r>
      <w:r>
        <w:rPr>
          <w:rFonts w:ascii="Times New Roman" w:hAnsi="Times New Roman"/>
          <w:sz w:val="24"/>
        </w:rPr>
        <w:t>ходящую стратегию работы и методы, которые позволят максимально достичь поставленных целей.</w:t>
      </w:r>
    </w:p>
    <w:p w14:paraId="37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Реализация стратегии брендинга предполагает реализацию последовательно выстроенных мероприятий: маркетинговые кампании, </w:t>
      </w:r>
      <w:r>
        <w:rPr>
          <w:rFonts w:ascii="Times New Roman" w:hAnsi="Times New Roman"/>
          <w:sz w:val="24"/>
        </w:rPr>
        <w:t>PR</w:t>
      </w:r>
      <w:r>
        <w:rPr>
          <w:rFonts w:ascii="Times New Roman" w:hAnsi="Times New Roman"/>
          <w:sz w:val="24"/>
        </w:rPr>
        <w:t>-активности, событийный маркетинг и др., н</w:t>
      </w:r>
      <w:r>
        <w:rPr>
          <w:rFonts w:ascii="Times New Roman" w:hAnsi="Times New Roman"/>
          <w:sz w:val="24"/>
        </w:rPr>
        <w:t>аправленных на продвижение бренда территории.</w:t>
      </w:r>
    </w:p>
    <w:p w14:paraId="38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Для успешного брендинга территорий необходимо использовать различные инструменты, которые позволяют донести информацию о территории до целевой аудитории и сформировать позитивный имидж. </w:t>
      </w:r>
      <w:r>
        <w:rPr>
          <w:rFonts w:ascii="Times New Roman" w:hAnsi="Times New Roman"/>
          <w:sz w:val="24"/>
        </w:rPr>
        <w:t>К таким инструментам отн</w:t>
      </w:r>
      <w:r>
        <w:rPr>
          <w:rFonts w:ascii="Times New Roman" w:hAnsi="Times New Roman"/>
          <w:sz w:val="24"/>
        </w:rPr>
        <w:t>осятся</w:t>
      </w:r>
      <w:r>
        <w:rPr>
          <w:rFonts w:ascii="Times New Roman" w:hAnsi="Times New Roman"/>
          <w:sz w:val="24"/>
        </w:rPr>
        <w:t xml:space="preserve"> [2]</w:t>
      </w:r>
      <w:r>
        <w:rPr>
          <w:rFonts w:ascii="Times New Roman" w:hAnsi="Times New Roman"/>
          <w:sz w:val="24"/>
        </w:rPr>
        <w:t>:</w:t>
      </w:r>
    </w:p>
    <w:p w14:paraId="39000000">
      <w:pPr>
        <w:pStyle w:val="Style_2"/>
        <w:numPr>
          <w:ilvl w:val="0"/>
          <w:numId w:val="4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разработка логотипа и фирменного стиля: создание узнаваемого визуального образа территории;</w:t>
      </w:r>
    </w:p>
    <w:p w14:paraId="3A000000">
      <w:pPr>
        <w:pStyle w:val="Style_2"/>
        <w:numPr>
          <w:ilvl w:val="0"/>
          <w:numId w:val="4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создание веб-сайта и аккаунтов в социальных сетях: предоставление информации о территории и взаимодействие с целевой аудиторией;</w:t>
      </w:r>
    </w:p>
    <w:p w14:paraId="3B000000">
      <w:pPr>
        <w:pStyle w:val="Style_2"/>
        <w:numPr>
          <w:ilvl w:val="0"/>
          <w:numId w:val="4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организация мероприятий</w:t>
      </w:r>
      <w:r>
        <w:rPr>
          <w:rFonts w:ascii="Times New Roman" w:hAnsi="Times New Roman"/>
          <w:sz w:val="24"/>
        </w:rPr>
        <w:t>: фестивали, конференции, выставки;</w:t>
      </w:r>
    </w:p>
    <w:p w14:paraId="3C000000">
      <w:pPr>
        <w:pStyle w:val="Style_2"/>
        <w:numPr>
          <w:ilvl w:val="0"/>
          <w:numId w:val="4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размещение рекламы в СМИ и интернете: таргетированная реклама, контекстная реклама;</w:t>
      </w:r>
    </w:p>
    <w:p w14:paraId="3D000000">
      <w:pPr>
        <w:pStyle w:val="Style_2"/>
        <w:numPr>
          <w:ilvl w:val="0"/>
          <w:numId w:val="4"/>
        </w:numPr>
        <w:spacing w:after="0" w:line="240" w:lineRule="auto"/>
        <w:ind w:firstLine="68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</w:t>
      </w:r>
      <w:r>
        <w:rPr>
          <w:rFonts w:ascii="Times New Roman" w:hAnsi="Times New Roman"/>
          <w:sz w:val="24"/>
        </w:rPr>
        <w:t>-кампании: пресс-релизы, публикации в СМИ, сотрудничество с блогерами.</w:t>
      </w:r>
    </w:p>
    <w:p w14:paraId="3E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Успешность брендинга территорий опирается на использование уник</w:t>
      </w:r>
      <w:r>
        <w:rPr>
          <w:rFonts w:ascii="Times New Roman" w:hAnsi="Times New Roman"/>
          <w:sz w:val="24"/>
        </w:rPr>
        <w:t>альных особенностей территории для создания аутентичного и привлекательного бренда. На этапе оценки эффективности брендинга проводится мониторинг имиджа территории, анализ ключевых социально-экономических показателей. При этом в процессе брендинга необходи</w:t>
      </w:r>
      <w:r>
        <w:rPr>
          <w:rFonts w:ascii="Times New Roman" w:hAnsi="Times New Roman"/>
          <w:sz w:val="24"/>
        </w:rPr>
        <w:t>мо учитывать мнение жителей, бизнеса и других заинтересованных сторон для создания бренда, который будет соответствовать интересам всех участников. Однако брендинг территории – это долгосрочный и финансово затратный процесс, который требует последовательно</w:t>
      </w:r>
      <w:r>
        <w:rPr>
          <w:rFonts w:ascii="Times New Roman" w:hAnsi="Times New Roman"/>
          <w:sz w:val="24"/>
        </w:rPr>
        <w:t>й реализации стратегии и постоянного мониторинга результатов. Регулярная оценка эффективности брендинга позволяет корректировать стратегию в соответствии с результатами анализа.</w:t>
      </w:r>
    </w:p>
    <w:p w14:paraId="3F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</w:p>
    <w:p w14:paraId="40000000">
      <w:pPr>
        <w:spacing w:after="0" w:line="240" w:lineRule="auto"/>
        <w:ind w:firstLine="680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 w:val="1"/>
          <w:sz w:val="24"/>
        </w:rPr>
        <w:t>Библиографический список</w:t>
      </w:r>
    </w:p>
    <w:p w14:paraId="41000000">
      <w:pPr>
        <w:pStyle w:val="Style_4"/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1. </w:t>
      </w:r>
      <w:r>
        <w:rPr>
          <w:rFonts w:ascii="Times New Roman" w:hAnsi="Times New Roman"/>
          <w:sz w:val="24"/>
        </w:rPr>
        <w:t>Белоусова М.В., Кулик А.А. Создание бренда территорий как инструмент их продвижения / М.В. Белоусова, А.А. Кулик // Экономика и бизнес: теория и практика. – 2023. - № 8 (102). – С. 10-13. / 11.</w:t>
      </w:r>
    </w:p>
    <w:p w14:paraId="42000000">
      <w:pPr>
        <w:pStyle w:val="Style_4"/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2. </w:t>
      </w:r>
      <w:r>
        <w:rPr>
          <w:rFonts w:ascii="Times New Roman" w:hAnsi="Times New Roman"/>
          <w:sz w:val="24"/>
        </w:rPr>
        <w:t>Василенко И. А. Имидж России: концепция национального и территориального брендинга. / И. Василенко // – М.: Экономика, 2022. – 66 с. / 58.</w:t>
      </w:r>
    </w:p>
    <w:p w14:paraId="43000000">
      <w:pPr>
        <w:pStyle w:val="Style_4"/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3. </w:t>
      </w:r>
      <w:r>
        <w:rPr>
          <w:rFonts w:ascii="Times New Roman" w:hAnsi="Times New Roman"/>
          <w:sz w:val="24"/>
        </w:rPr>
        <w:t>Ковынева Лариса Валерьевна. "Формирование территориального бренда в регионах России" Известия Байкальского государственного университета, no. 5, 2014, pp. 61-68.</w:t>
      </w:r>
    </w:p>
    <w:p w14:paraId="44000000">
      <w:pPr>
        <w:pStyle w:val="Style_4"/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4. </w:t>
      </w:r>
      <w:r>
        <w:rPr>
          <w:rFonts w:ascii="Times New Roman" w:hAnsi="Times New Roman"/>
          <w:sz w:val="24"/>
        </w:rPr>
        <w:t xml:space="preserve">Крюкова Е. Брендинг территорий в России: тенденции и перспективы. / Е. Крюкова [Электронный ресурс] – </w:t>
      </w:r>
      <w:r>
        <w:rPr>
          <w:rFonts w:ascii="Times New Roman" w:hAnsi="Times New Roman"/>
          <w:sz w:val="24"/>
        </w:rPr>
        <w:t>URL</w:t>
      </w:r>
      <w:r>
        <w:rPr>
          <w:rFonts w:ascii="Times New Roman" w:hAnsi="Times New Roman"/>
          <w:sz w:val="24"/>
        </w:rPr>
        <w:t>:</w:t>
      </w:r>
      <w:r>
        <w:rPr>
          <w:rFonts w:ascii="Times New Roman" w:hAnsi="Times New Roman"/>
          <w:color w:val="568ED4"/>
          <w:sz w:val="24"/>
        </w:rPr>
        <w:t xml:space="preserve"> </w:t>
      </w:r>
      <w:r>
        <w:rPr>
          <w:rStyle w:val="Style_5_ch"/>
          <w:rFonts w:ascii="Times New Roman" w:hAnsi="Times New Roman"/>
          <w:color w:val="568ED4"/>
          <w:sz w:val="24"/>
        </w:rPr>
        <w:fldChar w:fldCharType="begin"/>
      </w:r>
      <w:r>
        <w:rPr>
          <w:rStyle w:val="Style_5_ch"/>
          <w:rFonts w:ascii="Times New Roman" w:hAnsi="Times New Roman"/>
          <w:color w:val="568ED4"/>
          <w:sz w:val="24"/>
        </w:rPr>
        <w:instrText>HYPERLINK "https://usubaliev-institute.org/2025/01/15/брендинг-территорий-в-россии-тенденц/"</w:instrText>
      </w:r>
      <w:r>
        <w:rPr>
          <w:rStyle w:val="Style_5_ch"/>
          <w:rFonts w:ascii="Times New Roman" w:hAnsi="Times New Roman"/>
          <w:color w:val="568ED4"/>
          <w:sz w:val="24"/>
        </w:rPr>
        <w:fldChar w:fldCharType="separate"/>
      </w:r>
      <w:r>
        <w:rPr>
          <w:rStyle w:val="Style_5_ch"/>
          <w:rFonts w:ascii="Times New Roman" w:hAnsi="Times New Roman"/>
          <w:color w:val="568ED4"/>
          <w:sz w:val="24"/>
        </w:rPr>
        <w:t>https://usubaliev-institute.org/2025/01/15/брендинг-территорий-в-россии-тенденц/</w:t>
      </w:r>
      <w:r>
        <w:rPr>
          <w:rStyle w:val="Style_5_ch"/>
          <w:rFonts w:ascii="Times New Roman" w:hAnsi="Times New Roman"/>
          <w:color w:val="568ED4"/>
          <w:sz w:val="24"/>
        </w:rPr>
        <w:fldChar w:fldCharType="end"/>
      </w:r>
      <w:r>
        <w:rPr>
          <w:rFonts w:ascii="Times New Roman" w:hAnsi="Times New Roman"/>
          <w:color w:val="568ED4"/>
          <w:sz w:val="24"/>
        </w:rPr>
        <w:t xml:space="preserve"> </w:t>
      </w:r>
      <w:r>
        <w:rPr>
          <w:rFonts w:ascii="Times New Roman" w:hAnsi="Times New Roman"/>
          <w:sz w:val="24"/>
        </w:rPr>
        <w:t>(дата обращения 03.0</w:t>
      </w:r>
      <w:r>
        <w:rPr>
          <w:rFonts w:ascii="Times New Roman" w:hAnsi="Times New Roman"/>
          <w:sz w:val="24"/>
        </w:rPr>
        <w:t>4</w:t>
      </w:r>
      <w:r>
        <w:rPr>
          <w:rFonts w:ascii="Times New Roman" w:hAnsi="Times New Roman"/>
          <w:sz w:val="24"/>
        </w:rPr>
        <w:t>.2025).</w:t>
      </w:r>
    </w:p>
    <w:p w14:paraId="45000000">
      <w:pPr>
        <w:pStyle w:val="Style_4"/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5. </w:t>
      </w:r>
      <w:r>
        <w:rPr>
          <w:rFonts w:ascii="Times New Roman" w:hAnsi="Times New Roman"/>
          <w:sz w:val="24"/>
        </w:rPr>
        <w:t xml:space="preserve">Сайт «БрендЭксперт» [Электронный ресурс] – </w:t>
      </w:r>
      <w:r>
        <w:rPr>
          <w:rFonts w:ascii="Times New Roman" w:hAnsi="Times New Roman"/>
          <w:sz w:val="24"/>
        </w:rPr>
        <w:t>URL</w:t>
      </w:r>
      <w:r>
        <w:rPr>
          <w:rFonts w:ascii="Times New Roman" w:hAnsi="Times New Roman"/>
          <w:sz w:val="24"/>
        </w:rPr>
        <w:t>:</w:t>
      </w:r>
      <w:r>
        <w:rPr>
          <w:rFonts w:ascii="Times New Roman" w:hAnsi="Times New Roman"/>
          <w:color w:val="8CB3E4"/>
          <w:sz w:val="24"/>
        </w:rPr>
        <w:t xml:space="preserve"> </w:t>
      </w:r>
      <w:r>
        <w:rPr>
          <w:rStyle w:val="Style_5_ch"/>
          <w:rFonts w:ascii="Times New Roman" w:hAnsi="Times New Roman"/>
          <w:color w:val="568ED4"/>
          <w:sz w:val="24"/>
        </w:rPr>
        <w:fldChar w:fldCharType="begin"/>
      </w:r>
      <w:r>
        <w:rPr>
          <w:rStyle w:val="Style_5_ch"/>
          <w:rFonts w:ascii="Times New Roman" w:hAnsi="Times New Roman"/>
          <w:color w:val="568ED4"/>
          <w:sz w:val="24"/>
        </w:rPr>
        <w:instrText>HYPERLINK "https://www.os-design.ru/blog/brending-territorii-osnovnye-ponyatiya-vidy-i-primery-"</w:instrText>
      </w:r>
      <w:r>
        <w:rPr>
          <w:rStyle w:val="Style_5_ch"/>
          <w:rFonts w:ascii="Times New Roman" w:hAnsi="Times New Roman"/>
          <w:color w:val="568ED4"/>
          <w:sz w:val="24"/>
        </w:rPr>
        <w:fldChar w:fldCharType="separate"/>
      </w:r>
      <w:r>
        <w:rPr>
          <w:rStyle w:val="Style_5_ch"/>
          <w:rFonts w:ascii="Times New Roman" w:hAnsi="Times New Roman"/>
          <w:color w:val="568ED4"/>
          <w:sz w:val="24"/>
        </w:rPr>
        <w:t>https://www.os-design.ru/blog/brending-territorii-osnovnye-ponyatiya-vidy-i-primery-</w:t>
      </w:r>
      <w:r>
        <w:rPr>
          <w:rStyle w:val="Style_5_ch"/>
          <w:rFonts w:ascii="Times New Roman" w:hAnsi="Times New Roman"/>
          <w:color w:val="568ED4"/>
          <w:sz w:val="24"/>
        </w:rPr>
        <w:fldChar w:fldCharType="end"/>
      </w:r>
      <w:r>
        <w:rPr>
          <w:rFonts w:ascii="Times New Roman" w:hAnsi="Times New Roman"/>
          <w:sz w:val="24"/>
        </w:rPr>
        <w:t xml:space="preserve"> (дата обращения 03.0</w:t>
      </w:r>
      <w:r>
        <w:rPr>
          <w:rFonts w:ascii="Times New Roman" w:hAnsi="Times New Roman"/>
          <w:sz w:val="24"/>
        </w:rPr>
        <w:t>4</w:t>
      </w:r>
      <w:r>
        <w:rPr>
          <w:rFonts w:ascii="Times New Roman" w:hAnsi="Times New Roman"/>
          <w:sz w:val="24"/>
        </w:rPr>
        <w:t>.2025).</w:t>
      </w:r>
    </w:p>
    <w:p w14:paraId="46000000">
      <w:pPr>
        <w:pStyle w:val="Style_4"/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6. </w:t>
      </w:r>
      <w:r>
        <w:rPr>
          <w:rFonts w:ascii="Times New Roman" w:hAnsi="Times New Roman"/>
          <w:sz w:val="24"/>
        </w:rPr>
        <w:t xml:space="preserve">Скриганюк В.В. Цифровизация и брендирование региона в сфере популяризации имиджа территории / В.В. Скриганюк, А.А. Кулик // Юридическая наука в XXI веке: актуальные </w:t>
      </w:r>
      <w:r>
        <w:rPr>
          <w:rFonts w:ascii="Times New Roman" w:hAnsi="Times New Roman"/>
          <w:sz w:val="24"/>
        </w:rPr>
        <w:t>проблемы и перспективы их решений. Сборник научных статей по итогам работы круглого стола №11 со всероссийским и международным участием. - Шахты, 2021. - С. 233-235.</w:t>
      </w:r>
    </w:p>
    <w:p w14:paraId="47000000">
      <w:pPr>
        <w:pStyle w:val="Style_4"/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7. </w:t>
      </w:r>
      <w:r>
        <w:rPr>
          <w:rFonts w:ascii="Times New Roman" w:hAnsi="Times New Roman"/>
          <w:sz w:val="24"/>
        </w:rPr>
        <w:t>Черенков, В. И. Бренд и брендинг: вопросы теории и репрезентации / В.И. Черенков, А.А. Веретено // Вестник Санкт-Петербургского университета. – 2019. – №8 (2). – С. 148-153. / 151.</w:t>
      </w:r>
    </w:p>
    <w:p w14:paraId="48000000">
      <w:pPr>
        <w:pStyle w:val="Style_4"/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</w:p>
    <w:p w14:paraId="49000000">
      <w:pPr>
        <w:spacing w:after="0" w:line="240" w:lineRule="auto"/>
        <w:ind w:firstLine="680"/>
        <w:jc w:val="center"/>
        <w:rPr>
          <w:rFonts w:ascii="Times New Roman" w:hAnsi="Times New Roman"/>
          <w:b w:val="1"/>
          <w:sz w:val="24"/>
        </w:rPr>
      </w:pPr>
    </w:p>
    <w:p w14:paraId="4A000000">
      <w:pPr>
        <w:spacing w:after="0" w:line="240" w:lineRule="auto"/>
        <w:ind w:firstLine="680"/>
        <w:jc w:val="center"/>
        <w:rPr>
          <w:rFonts w:ascii="Times New Roman" w:hAnsi="Times New Roman"/>
          <w:b w:val="1"/>
          <w:sz w:val="24"/>
        </w:rPr>
      </w:pPr>
    </w:p>
    <w:p w14:paraId="4B000000">
      <w:pPr>
        <w:spacing w:after="0" w:line="240" w:lineRule="auto"/>
        <w:ind w:firstLine="680"/>
        <w:jc w:val="center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b w:val="1"/>
          <w:sz w:val="24"/>
        </w:rPr>
        <w:t>Информация об авторе</w:t>
      </w:r>
    </w:p>
    <w:p w14:paraId="4C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 w:val="1"/>
          <w:sz w:val="24"/>
        </w:rPr>
        <w:t>Кулик Ксения Андреевна</w:t>
      </w:r>
      <w:r>
        <w:rPr>
          <w:rFonts w:ascii="Times New Roman" w:hAnsi="Times New Roman"/>
          <w:b w:val="1"/>
          <w:sz w:val="24"/>
        </w:rPr>
        <w:t xml:space="preserve"> (Россия, Вологда)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–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магистрант </w:t>
      </w:r>
      <w:r>
        <w:rPr>
          <w:rFonts w:ascii="Times New Roman" w:hAnsi="Times New Roman"/>
          <w:sz w:val="24"/>
        </w:rPr>
        <w:t>ВолНЦ РАН</w:t>
      </w:r>
      <w:r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ведущий консультант управления промышленности </w:t>
      </w:r>
      <w:r>
        <w:rPr>
          <w:rFonts w:ascii="Times New Roman" w:hAnsi="Times New Roman"/>
          <w:sz w:val="24"/>
        </w:rPr>
        <w:t>и науки</w:t>
      </w:r>
      <w:r>
        <w:rPr>
          <w:rFonts w:ascii="Times New Roman" w:hAnsi="Times New Roman"/>
          <w:sz w:val="24"/>
        </w:rPr>
        <w:t xml:space="preserve">, </w:t>
      </w:r>
      <w:r>
        <w:rPr>
          <w:rFonts w:ascii="Times New Roman" w:hAnsi="Times New Roman"/>
          <w:sz w:val="24"/>
        </w:rPr>
        <w:t>Министерство э</w:t>
      </w:r>
      <w:r>
        <w:rPr>
          <w:rFonts w:ascii="Times New Roman" w:hAnsi="Times New Roman"/>
          <w:sz w:val="24"/>
        </w:rPr>
        <w:t>кономического развития Вологодской области</w:t>
      </w:r>
      <w:r>
        <w:rPr>
          <w:rFonts w:ascii="Times New Roman" w:hAnsi="Times New Roman"/>
          <w:sz w:val="24"/>
        </w:rPr>
        <w:t>, kulikka@der.gov35.ru</w:t>
      </w:r>
      <w:r>
        <w:rPr>
          <w:rFonts w:ascii="Times New Roman" w:hAnsi="Times New Roman"/>
          <w:sz w:val="24"/>
        </w:rPr>
        <w:t xml:space="preserve">, Россия, 160000, г. Вологда, ул. </w:t>
      </w:r>
      <w:r>
        <w:rPr>
          <w:rFonts w:ascii="Times New Roman" w:hAnsi="Times New Roman"/>
          <w:sz w:val="24"/>
        </w:rPr>
        <w:t>Герцена, 27, тел./факс. (817-2) 23-01-95.</w:t>
      </w:r>
    </w:p>
    <w:p w14:paraId="4D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</w:p>
    <w:p w14:paraId="4E000000">
      <w:pPr>
        <w:spacing w:after="0" w:line="240" w:lineRule="auto"/>
        <w:ind w:firstLine="680"/>
        <w:jc w:val="right"/>
        <w:rPr>
          <w:rFonts w:ascii="Times New Roman" w:hAnsi="Times New Roman"/>
          <w:b w:val="1"/>
          <w:sz w:val="24"/>
        </w:rPr>
      </w:pPr>
    </w:p>
    <w:p w14:paraId="4F000000">
      <w:pPr>
        <w:spacing w:after="0" w:line="240" w:lineRule="auto"/>
        <w:ind w:firstLine="680"/>
        <w:jc w:val="right"/>
        <w:rPr>
          <w:rFonts w:ascii="Times New Roman" w:hAnsi="Times New Roman"/>
          <w:b w:val="1"/>
          <w:sz w:val="24"/>
        </w:rPr>
      </w:pPr>
    </w:p>
    <w:p w14:paraId="50000000">
      <w:pPr>
        <w:spacing w:after="0" w:line="240" w:lineRule="auto"/>
        <w:ind w:firstLine="680"/>
        <w:jc w:val="right"/>
        <w:rPr>
          <w:rFonts w:ascii="Times New Roman" w:hAnsi="Times New Roman"/>
          <w:b w:val="1"/>
          <w:sz w:val="24"/>
        </w:rPr>
      </w:pPr>
    </w:p>
    <w:p w14:paraId="51000000">
      <w:pPr>
        <w:spacing w:after="0" w:line="240" w:lineRule="auto"/>
        <w:ind w:firstLine="680"/>
        <w:jc w:val="right"/>
        <w:rPr>
          <w:rFonts w:ascii="Times New Roman" w:hAnsi="Times New Roman"/>
          <w:b w:val="1"/>
          <w:sz w:val="24"/>
        </w:rPr>
      </w:pPr>
      <w:r>
        <w:rPr>
          <w:rStyle w:val="Style_6_ch"/>
          <w:rFonts w:ascii="Times New Roman" w:hAnsi="Times New Roman"/>
          <w:b w:val="1"/>
          <w:sz w:val="24"/>
        </w:rPr>
        <w:t>Kulik</w:t>
      </w:r>
      <w:r>
        <w:rPr>
          <w:rFonts w:ascii="Times New Roman" w:hAnsi="Times New Roman"/>
          <w:b w:val="1"/>
          <w:sz w:val="24"/>
        </w:rPr>
        <w:t xml:space="preserve"> </w:t>
      </w:r>
      <w:r>
        <w:rPr>
          <w:rStyle w:val="Style_6_ch"/>
          <w:rFonts w:ascii="Times New Roman" w:hAnsi="Times New Roman"/>
          <w:b w:val="1"/>
          <w:sz w:val="24"/>
        </w:rPr>
        <w:t>K.A.</w:t>
      </w:r>
      <w:r>
        <w:rPr>
          <w:rFonts w:ascii="Times New Roman" w:hAnsi="Times New Roman"/>
          <w:b w:val="1"/>
          <w:sz w:val="24"/>
        </w:rPr>
        <w:t xml:space="preserve"> </w:t>
      </w:r>
    </w:p>
    <w:p w14:paraId="52000000">
      <w:pPr>
        <w:spacing w:after="0" w:line="240" w:lineRule="auto"/>
        <w:ind w:firstLine="680"/>
        <w:jc w:val="center"/>
        <w:rPr>
          <w:rStyle w:val="Style_6_ch"/>
          <w:rFonts w:ascii="Times New Roman" w:hAnsi="Times New Roman"/>
          <w:b w:val="1"/>
          <w:sz w:val="24"/>
        </w:rPr>
      </w:pPr>
      <w:r>
        <w:rPr>
          <w:rStyle w:val="Style_6_ch"/>
          <w:rFonts w:ascii="Times New Roman" w:hAnsi="Times New Roman"/>
          <w:b w:val="1"/>
          <w:sz w:val="24"/>
        </w:rPr>
        <w:t>TERRITORIAL</w:t>
      </w:r>
      <w:r>
        <w:rPr>
          <w:rFonts w:ascii="Times New Roman" w:hAnsi="Times New Roman"/>
          <w:b w:val="1"/>
          <w:sz w:val="24"/>
        </w:rPr>
        <w:t xml:space="preserve"> </w:t>
      </w:r>
      <w:r>
        <w:rPr>
          <w:rStyle w:val="Style_6_ch"/>
          <w:rFonts w:ascii="Times New Roman" w:hAnsi="Times New Roman"/>
          <w:b w:val="1"/>
          <w:sz w:val="24"/>
        </w:rPr>
        <w:t>BR</w:t>
      </w:r>
      <w:r>
        <w:rPr>
          <w:rStyle w:val="Style_6_ch"/>
          <w:rFonts w:ascii="Times New Roman" w:hAnsi="Times New Roman"/>
          <w:b w:val="1"/>
          <w:sz w:val="24"/>
        </w:rPr>
        <w:t>ANDING</w:t>
      </w:r>
      <w:r>
        <w:rPr>
          <w:rFonts w:ascii="Times New Roman" w:hAnsi="Times New Roman"/>
          <w:b w:val="1"/>
          <w:sz w:val="24"/>
        </w:rPr>
        <w:t xml:space="preserve">: THE </w:t>
      </w:r>
      <w:r>
        <w:rPr>
          <w:rStyle w:val="Style_6_ch"/>
          <w:rFonts w:ascii="Times New Roman" w:hAnsi="Times New Roman"/>
          <w:b w:val="1"/>
          <w:sz w:val="24"/>
        </w:rPr>
        <w:t>ESSENCE</w:t>
      </w:r>
      <w:r>
        <w:rPr>
          <w:rFonts w:ascii="Times New Roman" w:hAnsi="Times New Roman"/>
          <w:b w:val="1"/>
          <w:sz w:val="24"/>
        </w:rPr>
        <w:t xml:space="preserve"> </w:t>
      </w:r>
      <w:r>
        <w:rPr>
          <w:rStyle w:val="Style_6_ch"/>
          <w:rFonts w:ascii="Times New Roman" w:hAnsi="Times New Roman"/>
          <w:b w:val="1"/>
          <w:sz w:val="24"/>
        </w:rPr>
        <w:t>AND</w:t>
      </w:r>
      <w:r>
        <w:rPr>
          <w:rFonts w:ascii="Times New Roman" w:hAnsi="Times New Roman"/>
          <w:b w:val="1"/>
          <w:sz w:val="24"/>
        </w:rPr>
        <w:t xml:space="preserve"> </w:t>
      </w:r>
      <w:r>
        <w:rPr>
          <w:rStyle w:val="Style_6_ch"/>
          <w:rFonts w:ascii="Times New Roman" w:hAnsi="Times New Roman"/>
          <w:b w:val="1"/>
          <w:sz w:val="24"/>
        </w:rPr>
        <w:t>MAIN</w:t>
      </w:r>
      <w:r>
        <w:rPr>
          <w:rFonts w:ascii="Times New Roman" w:hAnsi="Times New Roman"/>
          <w:b w:val="1"/>
          <w:sz w:val="24"/>
        </w:rPr>
        <w:t xml:space="preserve"> </w:t>
      </w:r>
      <w:r>
        <w:rPr>
          <w:rStyle w:val="Style_6_ch"/>
          <w:rFonts w:ascii="Times New Roman" w:hAnsi="Times New Roman"/>
          <w:b w:val="1"/>
          <w:sz w:val="24"/>
        </w:rPr>
        <w:t>DIRECTIONS</w:t>
      </w:r>
    </w:p>
    <w:p w14:paraId="53000000">
      <w:pPr>
        <w:spacing w:after="0" w:line="240" w:lineRule="auto"/>
        <w:ind w:firstLine="680"/>
        <w:jc w:val="center"/>
        <w:rPr>
          <w:rFonts w:ascii="Times New Roman" w:hAnsi="Times New Roman"/>
          <w:b w:val="1"/>
          <w:sz w:val="24"/>
        </w:rPr>
      </w:pPr>
    </w:p>
    <w:p w14:paraId="54000000">
      <w:pPr>
        <w:spacing w:after="0" w:line="240" w:lineRule="auto"/>
        <w:ind w:firstLine="680"/>
        <w:jc w:val="both"/>
        <w:rPr>
          <w:rStyle w:val="Style_6_ch"/>
          <w:rFonts w:ascii="Times New Roman" w:hAnsi="Times New Roman"/>
          <w:sz w:val="24"/>
        </w:rPr>
      </w:pPr>
      <w:r>
        <w:rPr>
          <w:rStyle w:val="Style_6_ch"/>
          <w:rFonts w:ascii="Times New Roman" w:hAnsi="Times New Roman"/>
          <w:b w:val="1"/>
          <w:sz w:val="24"/>
        </w:rPr>
        <w:t xml:space="preserve">Abstract. </w:t>
      </w:r>
      <w:r>
        <w:rPr>
          <w:rStyle w:val="Style_6_ch"/>
          <w:rFonts w:ascii="Times New Roman" w:hAnsi="Times New Roman"/>
          <w:sz w:val="24"/>
        </w:rPr>
        <w:t>The research is aimed at studying the key characteristics of territorial branding. The theoretical f</w:t>
      </w:r>
      <w:r>
        <w:rPr>
          <w:rStyle w:val="Style_6_ch"/>
          <w:rFonts w:ascii="Times New Roman" w:hAnsi="Times New Roman"/>
          <w:sz w:val="24"/>
        </w:rPr>
        <w:t>oundations of branding are considered, including its essence, key directions, levels, types and stages of implementation, as well as the tools used to promote it.</w:t>
      </w:r>
    </w:p>
    <w:p w14:paraId="55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  <w:r>
        <w:rPr>
          <w:rStyle w:val="Style_6_ch"/>
          <w:rFonts w:ascii="Times New Roman" w:hAnsi="Times New Roman"/>
          <w:b w:val="1"/>
          <w:sz w:val="24"/>
        </w:rPr>
        <w:t xml:space="preserve">Keywords: </w:t>
      </w:r>
      <w:r>
        <w:rPr>
          <w:rStyle w:val="Style_6_ch"/>
          <w:rFonts w:ascii="Times New Roman" w:hAnsi="Times New Roman"/>
          <w:sz w:val="24"/>
        </w:rPr>
        <w:t>branding of the territory, region, image, competitiveness, investment attractivenes</w:t>
      </w:r>
      <w:r>
        <w:rPr>
          <w:rStyle w:val="Style_6_ch"/>
          <w:rFonts w:ascii="Times New Roman" w:hAnsi="Times New Roman"/>
          <w:sz w:val="24"/>
        </w:rPr>
        <w:t>s</w:t>
      </w:r>
    </w:p>
    <w:p w14:paraId="56000000">
      <w:pPr>
        <w:spacing w:after="0" w:line="240" w:lineRule="auto"/>
        <w:ind w:firstLine="680"/>
        <w:jc w:val="both"/>
        <w:rPr>
          <w:rFonts w:ascii="Times New Roman" w:hAnsi="Times New Roman"/>
          <w:sz w:val="24"/>
        </w:rPr>
      </w:pPr>
    </w:p>
    <w:p w14:paraId="57000000">
      <w:pPr>
        <w:spacing w:after="0" w:line="240" w:lineRule="auto"/>
        <w:ind w:firstLine="709"/>
        <w:jc w:val="center"/>
        <w:rPr>
          <w:rStyle w:val="Style_6_ch"/>
          <w:rFonts w:ascii="Times New Roman" w:hAnsi="Times New Roman"/>
          <w:sz w:val="24"/>
        </w:rPr>
      </w:pPr>
      <w:r>
        <w:rPr>
          <w:rFonts w:ascii="Times New Roman" w:hAnsi="Times New Roman"/>
          <w:b w:val="1"/>
          <w:sz w:val="24"/>
        </w:rPr>
        <w:t>About the author</w:t>
      </w:r>
    </w:p>
    <w:p w14:paraId="58000000">
      <w:pPr>
        <w:spacing w:line="240" w:lineRule="auto"/>
        <w:ind w:firstLine="709"/>
        <w:jc w:val="both"/>
        <w:rPr>
          <w:rStyle w:val="Style_6_ch"/>
          <w:rFonts w:ascii="Times New Roman" w:hAnsi="Times New Roman"/>
          <w:sz w:val="24"/>
        </w:rPr>
      </w:pPr>
      <w:r>
        <w:rPr>
          <w:rStyle w:val="Style_6_ch"/>
          <w:rFonts w:ascii="Times New Roman" w:hAnsi="Times New Roman"/>
          <w:b w:val="1"/>
          <w:sz w:val="24"/>
        </w:rPr>
        <w:t>Kulik Kseniya Andreevna (Vologda, Russia)</w:t>
      </w:r>
      <w:r>
        <w:rPr>
          <w:rStyle w:val="Style_6_ch"/>
          <w:rFonts w:ascii="Times New Roman" w:hAnsi="Times New Roman"/>
          <w:sz w:val="24"/>
        </w:rPr>
        <w:t xml:space="preserve"> – Master's student at the Russian Academy of Sciences, Leading Consultant at the Department of Industry and Science, Ministry of Economic Develo</w:t>
      </w:r>
      <w:r>
        <w:rPr>
          <w:rStyle w:val="Style_6_ch"/>
          <w:rFonts w:ascii="Times New Roman" w:hAnsi="Times New Roman"/>
          <w:sz w:val="24"/>
        </w:rPr>
        <w:t xml:space="preserve">pment of the Vologda Region, </w:t>
      </w:r>
      <w:r>
        <w:rPr>
          <w:rFonts w:ascii="Times New Roman" w:hAnsi="Times New Roman"/>
          <w:sz w:val="24"/>
        </w:rPr>
        <w:t xml:space="preserve"> kulikka@der.gov35.ru</w:t>
      </w:r>
      <w:r>
        <w:rPr>
          <w:rFonts w:ascii="Times New Roman" w:hAnsi="Times New Roman"/>
          <w:sz w:val="24"/>
        </w:rPr>
        <w:t>,</w:t>
      </w:r>
      <w:r>
        <w:rPr>
          <w:rStyle w:val="Style_6_ch"/>
          <w:rFonts w:ascii="Times New Roman" w:hAnsi="Times New Roman"/>
          <w:sz w:val="24"/>
        </w:rPr>
        <w:t xml:space="preserve"> Russia, 160000, Vologda, Gertsena str., 27, tel./fax. (817-2) 23-01-95.</w:t>
      </w:r>
    </w:p>
    <w:p w14:paraId="59000000">
      <w:pPr>
        <w:ind/>
        <w:jc w:val="center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b w:val="1"/>
          <w:sz w:val="24"/>
        </w:rPr>
        <w:t>References</w:t>
      </w:r>
    </w:p>
    <w:p w14:paraId="5A000000">
      <w:pPr>
        <w:ind/>
        <w:jc w:val="both"/>
        <w:rPr>
          <w:rFonts w:ascii="Times New Roman" w:hAnsi="Times New Roman"/>
          <w:sz w:val="24"/>
        </w:rPr>
      </w:pPr>
      <w:r>
        <w:rPr>
          <w:rStyle w:val="Style_4_ch"/>
          <w:rFonts w:ascii="Times New Roman" w:hAnsi="Times New Roman"/>
          <w:sz w:val="24"/>
        </w:rPr>
        <w:t>1. Belousova M.V., Kulik A.A. Creating a brand of territories as a tool for their promotion / M.V. Belousova, A.A. Kulik // Economics and Business: theory and practice. – 2023. - № 8 (102). – Pp. 10-13. / 11.</w:t>
      </w:r>
    </w:p>
    <w:p w14:paraId="5B000000">
      <w:pPr>
        <w:ind/>
        <w:jc w:val="both"/>
        <w:rPr>
          <w:rFonts w:ascii="Times New Roman" w:hAnsi="Times New Roman"/>
          <w:sz w:val="24"/>
        </w:rPr>
      </w:pPr>
      <w:r>
        <w:rPr>
          <w:rStyle w:val="Style_4_ch"/>
          <w:rFonts w:ascii="Times New Roman" w:hAnsi="Times New Roman"/>
          <w:sz w:val="24"/>
        </w:rPr>
        <w:t>2. Vasilenko I. A. The image of Russia: the concept of national and territorial branding. / I. Vasilenko // – M.: Economics, 2022. – 66 p. / 58.</w:t>
      </w:r>
    </w:p>
    <w:p w14:paraId="5C000000">
      <w:pPr>
        <w:ind/>
        <w:jc w:val="both"/>
        <w:rPr>
          <w:rFonts w:ascii="Times New Roman" w:hAnsi="Times New Roman"/>
          <w:sz w:val="24"/>
        </w:rPr>
      </w:pPr>
      <w:r>
        <w:rPr>
          <w:rStyle w:val="Style_4_ch"/>
          <w:rFonts w:ascii="Times New Roman" w:hAnsi="Times New Roman"/>
          <w:sz w:val="24"/>
        </w:rPr>
        <w:t>3. Kovyneva Larisa Valeryevna. "Formation of a territorial brand in the regions of Russia", Izvestiya Baykalskogo gosudarstvennogo universiteta, No. 5, 2014, pp. 61-68.</w:t>
      </w:r>
    </w:p>
    <w:p w14:paraId="5D000000">
      <w:pPr>
        <w:ind/>
        <w:jc w:val="both"/>
        <w:rPr>
          <w:rFonts w:ascii="Times New Roman" w:hAnsi="Times New Roman"/>
          <w:sz w:val="24"/>
        </w:rPr>
      </w:pPr>
      <w:r>
        <w:rPr>
          <w:rStyle w:val="Style_4_ch"/>
          <w:rFonts w:ascii="Times New Roman" w:hAnsi="Times New Roman"/>
          <w:sz w:val="24"/>
        </w:rPr>
        <w:t>4. Kryukova E. Branding territories in Russia: trends and prospects. / E. Kryukova [Electronic resource] – URL: https://usubaliev-institute.org/2025/01/15/брендинг-территорий-в-россии-тенденц / (accessed 04/03/2025).</w:t>
      </w:r>
    </w:p>
    <w:p w14:paraId="5E000000">
      <w:pPr>
        <w:ind/>
        <w:jc w:val="both"/>
        <w:rPr>
          <w:rFonts w:ascii="Times New Roman" w:hAnsi="Times New Roman"/>
          <w:sz w:val="24"/>
        </w:rPr>
      </w:pPr>
      <w:r>
        <w:rPr>
          <w:rStyle w:val="Style_4_ch"/>
          <w:rFonts w:ascii="Times New Roman" w:hAnsi="Times New Roman"/>
          <w:sz w:val="24"/>
        </w:rPr>
        <w:t>5. Brandexpert website [Electronic resource] – URL: https://www.os-design.ru/blog/brending-territorii-osnovnye-ponyatiya-vidy-i-primery - (accessed 04/03/2025).</w:t>
      </w:r>
    </w:p>
    <w:p w14:paraId="5F000000">
      <w:pPr>
        <w:ind/>
        <w:jc w:val="both"/>
        <w:rPr>
          <w:rFonts w:ascii="Times New Roman" w:hAnsi="Times New Roman"/>
          <w:sz w:val="24"/>
        </w:rPr>
      </w:pPr>
      <w:r>
        <w:rPr>
          <w:rStyle w:val="Style_4_ch"/>
          <w:rFonts w:ascii="Times New Roman" w:hAnsi="Times New Roman"/>
          <w:sz w:val="24"/>
        </w:rPr>
        <w:t>6. Skriganyuk V.V. Digitalization and branding of the region in the field of promoting the image of the territory / V.V. Skriganyuk</w:t>
      </w:r>
    </w:p>
    <w:p w14:paraId="60000000">
      <w:pPr>
        <w:ind/>
        <w:jc w:val="both"/>
        <w:rPr>
          <w:rFonts w:ascii="Times New Roman" w:hAnsi="Times New Roman"/>
          <w:sz w:val="24"/>
        </w:rPr>
      </w:pPr>
    </w:p>
    <w:p w14:paraId="61000000">
      <w:pPr>
        <w:ind/>
        <w:jc w:val="both"/>
        <w:rPr>
          <w:rFonts w:ascii="Times New Roman" w:hAnsi="Times New Roman"/>
          <w:sz w:val="24"/>
        </w:rPr>
      </w:pPr>
    </w:p>
    <w:p w14:paraId="62000000">
      <w:pPr>
        <w:ind/>
        <w:jc w:val="both"/>
        <w:rPr>
          <w:rFonts w:ascii="Times New Roman" w:hAnsi="Times New Roman"/>
          <w:sz w:val="24"/>
        </w:rPr>
      </w:pPr>
    </w:p>
    <w:sectPr>
      <w:pgSz w:h="16838" w:orient="portrait" w:w="11906"/>
      <w:pgMar w:bottom="1134" w:footer="709" w:gutter="0" w:header="709" w:left="1134" w:right="1134" w:top="1134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numbering.xml><?xml version="1.0" encoding="utf-8"?>
<w:number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abstractNum w:abstractNumId="0">
    <w:lvl w:ilvl="0">
      <w:start w:val="1"/>
      <w:numFmt w:val="decimal"/>
      <w:lvlText w:val="%1."/>
      <w:lvlJc w:val="left"/>
      <w:pPr>
        <w:ind w:hanging="360" w:left="720"/>
      </w:p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1">
    <w:lvl w:ilvl="0">
      <w:start w:val="1"/>
      <w:numFmt w:val="decimal"/>
      <w:lvlText w:val="%1."/>
      <w:lvlJc w:val="left"/>
      <w:pPr>
        <w:ind w:hanging="360" w:left="720"/>
      </w:p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2">
    <w:lvl w:ilvl="0">
      <w:start w:val="1"/>
      <w:numFmt w:val="bullet"/>
      <w:lvlText w:val=""/>
      <w:lvlJc w:val="left"/>
      <w:pPr>
        <w:ind w:hanging="360" w:left="72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hAnsi="Wingdings"/>
      </w:rPr>
    </w:lvl>
  </w:abstractNum>
  <w:abstractNum w:abstractNumId="3">
    <w:lvl w:ilvl="0">
      <w:start w:val="1"/>
      <w:numFmt w:val="bullet"/>
      <w:lvlText w:val=""/>
      <w:lvlJc w:val="left"/>
      <w:pPr>
        <w:ind w:hanging="360" w:left="72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4" w:type="paragraph">
    <w:name w:val="Normal"/>
    <w:link w:val="Style_4_ch"/>
    <w:uiPriority w:val="0"/>
    <w:qFormat/>
    <w:pPr>
      <w:spacing w:after="160" w:line="264" w:lineRule="auto"/>
      <w:ind/>
    </w:pPr>
    <w:rPr>
      <w:color w:val="000000"/>
      <w:sz w:val="22"/>
    </w:rPr>
  </w:style>
  <w:style w:default="1" w:styleId="Style_4_ch" w:type="character">
    <w:name w:val="Normal"/>
    <w:link w:val="Style_4"/>
    <w:rPr>
      <w:color w:val="000000"/>
      <w:sz w:val="22"/>
    </w:rPr>
  </w:style>
  <w:style w:styleId="Style_7" w:type="paragraph">
    <w:name w:val="toc 2"/>
    <w:next w:val="Style_4"/>
    <w:link w:val="Style_7_ch"/>
    <w:uiPriority w:val="39"/>
    <w:pPr>
      <w:ind w:left="200"/>
    </w:pPr>
    <w:rPr>
      <w:rFonts w:ascii="XO Thames" w:hAnsi="XO Thames"/>
      <w:sz w:val="28"/>
    </w:rPr>
  </w:style>
  <w:style w:styleId="Style_7_ch" w:type="character">
    <w:name w:val="toc 2"/>
    <w:link w:val="Style_7"/>
    <w:rPr>
      <w:rFonts w:ascii="XO Thames" w:hAnsi="XO Thames"/>
      <w:sz w:val="28"/>
    </w:rPr>
  </w:style>
  <w:style w:styleId="Style_8" w:type="paragraph">
    <w:name w:val="Normal1"/>
    <w:link w:val="Style_8_ch"/>
    <w:rPr>
      <w:sz w:val="22"/>
    </w:rPr>
  </w:style>
  <w:style w:styleId="Style_8_ch" w:type="character">
    <w:name w:val="Normal1"/>
    <w:link w:val="Style_8"/>
    <w:rPr>
      <w:sz w:val="22"/>
    </w:rPr>
  </w:style>
  <w:style w:styleId="Style_9" w:type="paragraph">
    <w:name w:val="toc 4"/>
    <w:next w:val="Style_4"/>
    <w:link w:val="Style_9_ch"/>
    <w:uiPriority w:val="39"/>
    <w:pPr>
      <w:ind w:left="600"/>
    </w:pPr>
    <w:rPr>
      <w:rFonts w:ascii="XO Thames" w:hAnsi="XO Thames"/>
      <w:sz w:val="28"/>
    </w:rPr>
  </w:style>
  <w:style w:styleId="Style_9_ch" w:type="character">
    <w:name w:val="toc 4"/>
    <w:link w:val="Style_9"/>
    <w:rPr>
      <w:rFonts w:ascii="XO Thames" w:hAnsi="XO Thames"/>
      <w:sz w:val="28"/>
    </w:rPr>
  </w:style>
  <w:style w:styleId="Style_10" w:type="paragraph">
    <w:name w:val="toc 6"/>
    <w:next w:val="Style_4"/>
    <w:link w:val="Style_10_ch"/>
    <w:uiPriority w:val="39"/>
    <w:pPr>
      <w:ind w:left="1000"/>
    </w:pPr>
    <w:rPr>
      <w:rFonts w:ascii="XO Thames" w:hAnsi="XO Thames"/>
      <w:sz w:val="28"/>
    </w:rPr>
  </w:style>
  <w:style w:styleId="Style_10_ch" w:type="character">
    <w:name w:val="toc 6"/>
    <w:link w:val="Style_10"/>
    <w:rPr>
      <w:rFonts w:ascii="XO Thames" w:hAnsi="XO Thames"/>
      <w:sz w:val="28"/>
    </w:rPr>
  </w:style>
  <w:style w:styleId="Style_11" w:type="paragraph">
    <w:name w:val="toc 7"/>
    <w:next w:val="Style_4"/>
    <w:link w:val="Style_11_ch"/>
    <w:uiPriority w:val="39"/>
    <w:pPr>
      <w:ind w:left="1200"/>
    </w:pPr>
    <w:rPr>
      <w:rFonts w:ascii="XO Thames" w:hAnsi="XO Thames"/>
      <w:sz w:val="28"/>
    </w:rPr>
  </w:style>
  <w:style w:styleId="Style_11_ch" w:type="character">
    <w:name w:val="toc 7"/>
    <w:link w:val="Style_11"/>
    <w:rPr>
      <w:rFonts w:ascii="XO Thames" w:hAnsi="XO Thames"/>
      <w:sz w:val="28"/>
    </w:rPr>
  </w:style>
  <w:style w:styleId="Style_12" w:type="paragraph">
    <w:name w:val="Default Paragraph Font1"/>
    <w:link w:val="Style_12_ch"/>
    <w:rPr>
      <w:color w:val="000000"/>
    </w:rPr>
  </w:style>
  <w:style w:styleId="Style_12_ch" w:type="character">
    <w:name w:val="Default Paragraph Font1"/>
    <w:link w:val="Style_12"/>
    <w:rPr>
      <w:color w:val="000000"/>
    </w:rPr>
  </w:style>
  <w:style w:styleId="Style_13" w:type="paragraph">
    <w:name w:val="Endnote"/>
    <w:basedOn w:val="Style_4"/>
    <w:link w:val="Style_13_ch"/>
    <w:pPr>
      <w:spacing w:after="0" w:line="240" w:lineRule="auto"/>
      <w:ind/>
    </w:pPr>
    <w:rPr>
      <w:color w:val="000000"/>
      <w:sz w:val="20"/>
    </w:rPr>
  </w:style>
  <w:style w:styleId="Style_13_ch" w:type="character">
    <w:name w:val="Endnote"/>
    <w:basedOn w:val="Style_4_ch"/>
    <w:link w:val="Style_13"/>
    <w:rPr>
      <w:color w:val="000000"/>
      <w:sz w:val="20"/>
    </w:rPr>
  </w:style>
  <w:style w:styleId="Style_14" w:type="paragraph">
    <w:name w:val="heading 3"/>
    <w:next w:val="Style_4"/>
    <w:link w:val="Style_14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4_ch" w:type="character">
    <w:name w:val="heading 3"/>
    <w:link w:val="Style_14"/>
    <w:rPr>
      <w:rFonts w:ascii="XO Thames" w:hAnsi="XO Thames"/>
      <w:b w:val="1"/>
      <w:sz w:val="26"/>
    </w:rPr>
  </w:style>
  <w:style w:styleId="Style_6" w:type="paragraph">
    <w:name w:val="anegp0gi0b9av8jahpyh"/>
    <w:basedOn w:val="Style_15"/>
    <w:link w:val="Style_6_ch"/>
  </w:style>
  <w:style w:styleId="Style_6_ch" w:type="character">
    <w:name w:val="anegp0gi0b9av8jahpyh"/>
    <w:basedOn w:val="Style_15_ch"/>
    <w:link w:val="Style_6"/>
  </w:style>
  <w:style w:styleId="Style_16" w:type="paragraph">
    <w:name w:val="Hyperlink1"/>
    <w:link w:val="Style_16_ch"/>
    <w:rPr>
      <w:color w:val="0563C1"/>
      <w:u w:val="single"/>
    </w:rPr>
  </w:style>
  <w:style w:styleId="Style_16_ch" w:type="character">
    <w:name w:val="Hyperlink1"/>
    <w:link w:val="Style_16"/>
    <w:rPr>
      <w:color w:val="0563C1"/>
      <w:u w:val="single"/>
    </w:rPr>
  </w:style>
  <w:style w:styleId="Style_2" w:type="paragraph">
    <w:name w:val="List Paragraph"/>
    <w:basedOn w:val="Style_4"/>
    <w:link w:val="Style_2_ch"/>
    <w:pPr>
      <w:ind w:left="720"/>
      <w:contextualSpacing w:val="1"/>
    </w:pPr>
  </w:style>
  <w:style w:styleId="Style_2_ch" w:type="character">
    <w:name w:val="List Paragraph"/>
    <w:basedOn w:val="Style_4_ch"/>
    <w:link w:val="Style_2"/>
  </w:style>
  <w:style w:styleId="Style_17" w:type="paragraph">
    <w:name w:val="Hashtag"/>
    <w:link w:val="Style_17_ch"/>
    <w:rPr>
      <w:color w:val="605E5C"/>
      <w:shd w:fill="E1DFDD" w:val="clear"/>
    </w:rPr>
  </w:style>
  <w:style w:styleId="Style_17_ch" w:type="character">
    <w:name w:val="Hashtag"/>
    <w:link w:val="Style_17"/>
    <w:rPr>
      <w:color w:val="605E5C"/>
      <w:shd w:fill="E1DFDD" w:val="clear"/>
    </w:rPr>
  </w:style>
  <w:style w:styleId="Style_18" w:type="paragraph">
    <w:name w:val="TOC 9 Char"/>
    <w:link w:val="Style_18_ch"/>
    <w:rPr>
      <w:rFonts w:ascii="XO Thames" w:hAnsi="XO Thames"/>
      <w:sz w:val="28"/>
    </w:rPr>
  </w:style>
  <w:style w:styleId="Style_18_ch" w:type="character">
    <w:name w:val="TOC 9 Char"/>
    <w:link w:val="Style_18"/>
    <w:rPr>
      <w:rFonts w:ascii="XO Thames" w:hAnsi="XO Thames"/>
      <w:sz w:val="28"/>
    </w:rPr>
  </w:style>
  <w:style w:styleId="Style_15" w:type="paragraph">
    <w:name w:val="Default Paragraph Font"/>
    <w:link w:val="Style_15_ch"/>
  </w:style>
  <w:style w:styleId="Style_15_ch" w:type="character">
    <w:name w:val="Default Paragraph Font"/>
    <w:link w:val="Style_15"/>
  </w:style>
  <w:style w:styleId="Style_19" w:type="paragraph">
    <w:name w:val="toc 3"/>
    <w:next w:val="Style_4"/>
    <w:link w:val="Style_19_ch"/>
    <w:uiPriority w:val="39"/>
    <w:pPr>
      <w:ind w:left="400"/>
    </w:pPr>
    <w:rPr>
      <w:rFonts w:ascii="XO Thames" w:hAnsi="XO Thames"/>
      <w:sz w:val="28"/>
    </w:rPr>
  </w:style>
  <w:style w:styleId="Style_19_ch" w:type="character">
    <w:name w:val="toc 3"/>
    <w:link w:val="Style_19"/>
    <w:rPr>
      <w:rFonts w:ascii="XO Thames" w:hAnsi="XO Thames"/>
      <w:sz w:val="28"/>
    </w:rPr>
  </w:style>
  <w:style w:styleId="Style_20" w:type="paragraph">
    <w:name w:val="Endnote Reference1"/>
    <w:link w:val="Style_20_ch"/>
    <w:rPr>
      <w:vertAlign w:val="superscript"/>
    </w:rPr>
  </w:style>
  <w:style w:styleId="Style_20_ch" w:type="character">
    <w:name w:val="Endnote Reference1"/>
    <w:link w:val="Style_20"/>
    <w:rPr>
      <w:vertAlign w:val="superscript"/>
    </w:rPr>
  </w:style>
  <w:style w:styleId="Style_21" w:type="paragraph">
    <w:name w:val="heading 5"/>
    <w:next w:val="Style_4"/>
    <w:link w:val="Style_21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21_ch" w:type="character">
    <w:name w:val="heading 5"/>
    <w:link w:val="Style_21"/>
    <w:rPr>
      <w:rFonts w:ascii="XO Thames" w:hAnsi="XO Thames"/>
      <w:b w:val="1"/>
      <w:sz w:val="22"/>
    </w:rPr>
  </w:style>
  <w:style w:styleId="Style_22" w:type="paragraph">
    <w:name w:val="Footnote Reference1"/>
    <w:link w:val="Style_22_ch"/>
    <w:rPr>
      <w:vertAlign w:val="superscript"/>
    </w:rPr>
  </w:style>
  <w:style w:styleId="Style_22_ch" w:type="character">
    <w:name w:val="Footnote Reference1"/>
    <w:link w:val="Style_22"/>
    <w:rPr>
      <w:vertAlign w:val="superscript"/>
    </w:rPr>
  </w:style>
  <w:style w:styleId="Style_23" w:type="paragraph">
    <w:name w:val="heading 1"/>
    <w:next w:val="Style_4"/>
    <w:link w:val="Style_23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23_ch" w:type="character">
    <w:name w:val="heading 1"/>
    <w:link w:val="Style_23"/>
    <w:rPr>
      <w:rFonts w:ascii="XO Thames" w:hAnsi="XO Thames"/>
      <w:b w:val="1"/>
      <w:sz w:val="32"/>
    </w:rPr>
  </w:style>
  <w:style w:styleId="Style_5" w:type="paragraph">
    <w:name w:val="Hyperlink"/>
    <w:link w:val="Style_5_ch"/>
    <w:rPr>
      <w:color w:val="0000FF"/>
      <w:u w:val="single"/>
    </w:rPr>
  </w:style>
  <w:style w:styleId="Style_5_ch" w:type="character">
    <w:name w:val="Hyperlink"/>
    <w:link w:val="Style_5"/>
    <w:rPr>
      <w:color w:val="0000FF"/>
      <w:u w:val="single"/>
    </w:rPr>
  </w:style>
  <w:style w:styleId="Style_24" w:type="paragraph">
    <w:name w:val="Footnote"/>
    <w:basedOn w:val="Style_4"/>
    <w:link w:val="Style_24_ch"/>
    <w:pPr>
      <w:spacing w:after="0" w:line="240" w:lineRule="auto"/>
      <w:ind/>
    </w:pPr>
    <w:rPr>
      <w:color w:val="000000"/>
      <w:sz w:val="20"/>
    </w:rPr>
  </w:style>
  <w:style w:styleId="Style_24_ch" w:type="character">
    <w:name w:val="Footnote"/>
    <w:basedOn w:val="Style_4_ch"/>
    <w:link w:val="Style_24"/>
    <w:rPr>
      <w:color w:val="000000"/>
      <w:sz w:val="20"/>
    </w:rPr>
  </w:style>
  <w:style w:styleId="Style_25" w:type="paragraph">
    <w:name w:val="toc 1"/>
    <w:next w:val="Style_4"/>
    <w:link w:val="Style_25_ch"/>
    <w:uiPriority w:val="39"/>
    <w:rPr>
      <w:rFonts w:ascii="XO Thames" w:hAnsi="XO Thames"/>
      <w:b w:val="1"/>
      <w:sz w:val="28"/>
    </w:rPr>
  </w:style>
  <w:style w:styleId="Style_25_ch" w:type="character">
    <w:name w:val="toc 1"/>
    <w:link w:val="Style_25"/>
    <w:rPr>
      <w:rFonts w:ascii="XO Thames" w:hAnsi="XO Thames"/>
      <w:b w:val="1"/>
      <w:sz w:val="28"/>
    </w:rPr>
  </w:style>
  <w:style w:styleId="Style_26" w:type="paragraph">
    <w:name w:val="Header and Footer"/>
    <w:link w:val="Style_26_ch"/>
    <w:pPr>
      <w:ind/>
      <w:jc w:val="both"/>
    </w:pPr>
    <w:rPr>
      <w:rFonts w:ascii="XO Thames" w:hAnsi="XO Thames"/>
      <w:sz w:val="28"/>
    </w:rPr>
  </w:style>
  <w:style w:styleId="Style_26_ch" w:type="character">
    <w:name w:val="Header and Footer"/>
    <w:link w:val="Style_26"/>
    <w:rPr>
      <w:rFonts w:ascii="XO Thames" w:hAnsi="XO Thames"/>
      <w:sz w:val="28"/>
    </w:rPr>
  </w:style>
  <w:style w:styleId="Style_27" w:type="paragraph">
    <w:name w:val="toc 9"/>
    <w:next w:val="Style_4"/>
    <w:link w:val="Style_27_ch"/>
    <w:uiPriority w:val="39"/>
    <w:pPr>
      <w:ind w:left="1600"/>
    </w:pPr>
    <w:rPr>
      <w:rFonts w:ascii="XO Thames" w:hAnsi="XO Thames"/>
      <w:color w:val="000000"/>
      <w:sz w:val="28"/>
    </w:rPr>
  </w:style>
  <w:style w:styleId="Style_27_ch" w:type="character">
    <w:name w:val="toc 9"/>
    <w:link w:val="Style_27"/>
    <w:rPr>
      <w:rFonts w:ascii="XO Thames" w:hAnsi="XO Thames"/>
      <w:color w:val="000000"/>
      <w:sz w:val="28"/>
    </w:rPr>
  </w:style>
  <w:style w:styleId="Style_28" w:type="paragraph">
    <w:name w:val="toc 8"/>
    <w:next w:val="Style_4"/>
    <w:link w:val="Style_28_ch"/>
    <w:uiPriority w:val="39"/>
    <w:pPr>
      <w:ind w:left="1400"/>
    </w:pPr>
    <w:rPr>
      <w:rFonts w:ascii="XO Thames" w:hAnsi="XO Thames"/>
      <w:sz w:val="28"/>
    </w:rPr>
  </w:style>
  <w:style w:styleId="Style_28_ch" w:type="character">
    <w:name w:val="toc 8"/>
    <w:link w:val="Style_28"/>
    <w:rPr>
      <w:rFonts w:ascii="XO Thames" w:hAnsi="XO Thames"/>
      <w:sz w:val="28"/>
    </w:rPr>
  </w:style>
  <w:style w:styleId="Style_29" w:type="paragraph">
    <w:name w:val="toc 5"/>
    <w:next w:val="Style_4"/>
    <w:link w:val="Style_29_ch"/>
    <w:uiPriority w:val="39"/>
    <w:pPr>
      <w:ind w:left="800"/>
    </w:pPr>
    <w:rPr>
      <w:rFonts w:ascii="XO Thames" w:hAnsi="XO Thames"/>
      <w:sz w:val="28"/>
    </w:rPr>
  </w:style>
  <w:style w:styleId="Style_29_ch" w:type="character">
    <w:name w:val="toc 5"/>
    <w:link w:val="Style_29"/>
    <w:rPr>
      <w:rFonts w:ascii="XO Thames" w:hAnsi="XO Thames"/>
      <w:sz w:val="28"/>
    </w:rPr>
  </w:style>
  <w:style w:styleId="Style_30" w:type="paragraph">
    <w:name w:val="Subtitle"/>
    <w:next w:val="Style_4"/>
    <w:link w:val="Style_30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30_ch" w:type="character">
    <w:name w:val="Subtitle"/>
    <w:link w:val="Style_30"/>
    <w:rPr>
      <w:rFonts w:ascii="XO Thames" w:hAnsi="XO Thames"/>
      <w:i w:val="1"/>
      <w:sz w:val="24"/>
    </w:rPr>
  </w:style>
  <w:style w:styleId="Style_31" w:type="paragraph">
    <w:name w:val="Title"/>
    <w:next w:val="Style_4"/>
    <w:link w:val="Style_31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31_ch" w:type="character">
    <w:name w:val="Title"/>
    <w:link w:val="Style_31"/>
    <w:rPr>
      <w:rFonts w:ascii="XO Thames" w:hAnsi="XO Thames"/>
      <w:b w:val="1"/>
      <w:caps w:val="1"/>
      <w:sz w:val="40"/>
    </w:rPr>
  </w:style>
  <w:style w:styleId="Style_3" w:type="paragraph">
    <w:name w:val="Normal (Web)"/>
    <w:basedOn w:val="Style_4"/>
    <w:link w:val="Style_3_ch"/>
    <w:pPr>
      <w:spacing w:afterAutospacing="on" w:beforeAutospacing="on" w:line="240" w:lineRule="auto"/>
      <w:ind/>
    </w:pPr>
    <w:rPr>
      <w:rFonts w:ascii="Times New Roman" w:hAnsi="Times New Roman"/>
      <w:color w:val="000000"/>
      <w:sz w:val="24"/>
    </w:rPr>
  </w:style>
  <w:style w:styleId="Style_3_ch" w:type="character">
    <w:name w:val="Normal (Web)"/>
    <w:basedOn w:val="Style_4_ch"/>
    <w:link w:val="Style_3"/>
    <w:rPr>
      <w:rFonts w:ascii="Times New Roman" w:hAnsi="Times New Roman"/>
      <w:color w:val="000000"/>
      <w:sz w:val="24"/>
    </w:rPr>
  </w:style>
  <w:style w:styleId="Style_32" w:type="paragraph">
    <w:name w:val="heading 4"/>
    <w:next w:val="Style_4"/>
    <w:link w:val="Style_32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2_ch" w:type="character">
    <w:name w:val="heading 4"/>
    <w:link w:val="Style_32"/>
    <w:rPr>
      <w:rFonts w:ascii="XO Thames" w:hAnsi="XO Thames"/>
      <w:b w:val="1"/>
      <w:sz w:val="24"/>
    </w:rPr>
  </w:style>
  <w:style w:styleId="Style_33" w:type="paragraph">
    <w:name w:val="heading 2"/>
    <w:next w:val="Style_4"/>
    <w:link w:val="Style_33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3_ch" w:type="character">
    <w:name w:val="heading 2"/>
    <w:link w:val="Style_33"/>
    <w:rPr>
      <w:rFonts w:ascii="XO Thames" w:hAnsi="XO Thames"/>
      <w:b w:val="1"/>
      <w:sz w:val="28"/>
    </w:rPr>
  </w:style>
  <w:style w:default="1" w:styleId="Style_1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styleId="Style_34" w:type="table">
    <w:name w:val="Table Grid"/>
    <w:basedOn w:val="Style_1"/>
    <w:pPr>
      <w:spacing w:after="0" w:line="240" w:lineRule="auto"/>
      <w:ind/>
    </w:pPr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1" Target="fontTable.xml" Type="http://schemas.openxmlformats.org/officeDocument/2006/relationships/fontTable"/>
  <Relationship Id="rId2" Target="settings.xml" Type="http://schemas.openxmlformats.org/officeDocument/2006/relationships/settings"/>
  <Relationship Id="rId3" Target="styles.xml" Type="http://schemas.openxmlformats.org/officeDocument/2006/relationships/styles"/>
  <Relationship Id="rId4" Target="stylesWithEffects.xml" Type="http://schemas.microsoft.com/office/2007/relationships/stylesWithEffects"/>
  <Relationship Id="rId7" Target="numbering.xml" Type="http://schemas.openxmlformats.org/officeDocument/2006/relationships/numbering"/>
  <Relationship Id="rId5" Target="webSettings.xml" Type="http://schemas.openxmlformats.org/officeDocument/2006/relationships/webSetting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MyOffice-CoreFramework-Windows/34-1238.862.9476.867.1@6a6f965769ddd834e814912714f1fa4bc0274a9d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2025-05-13T11:28:06Z</dcterms:modified>
</cp:coreProperties>
</file>