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77777777" w:rsidR="002E1784" w:rsidRPr="00F71200" w:rsidRDefault="002E1784" w:rsidP="00F71200">
      <w:pPr>
        <w:spacing w:after="0" w:line="240" w:lineRule="auto"/>
        <w:ind w:left="-540" w:firstLine="540"/>
        <w:rPr>
          <w:rFonts w:ascii="Times New Roman" w:eastAsia="Times New Roman" w:hAnsi="Times New Roman" w:cs="Times New Roman"/>
          <w:b/>
          <w:sz w:val="24"/>
          <w:szCs w:val="24"/>
          <w:lang w:eastAsia="ru-RU"/>
        </w:rPr>
      </w:pPr>
      <w:r w:rsidRPr="00F71200">
        <w:rPr>
          <w:rFonts w:ascii="Times New Roman" w:eastAsia="Times New Roman" w:hAnsi="Times New Roman" w:cs="Times New Roman"/>
          <w:b/>
          <w:sz w:val="24"/>
          <w:szCs w:val="24"/>
          <w:lang w:eastAsia="ru-RU"/>
        </w:rPr>
        <w:t>УДК/ББК</w:t>
      </w:r>
    </w:p>
    <w:p w14:paraId="6606ABEB" w14:textId="6193816C" w:rsidR="002E1784" w:rsidRPr="00F71200" w:rsidRDefault="00F71200" w:rsidP="00F71200">
      <w:pPr>
        <w:spacing w:after="0" w:line="240" w:lineRule="auto"/>
        <w:ind w:left="-540" w:firstLine="540"/>
        <w:jc w:val="right"/>
        <w:rPr>
          <w:rFonts w:ascii="Times New Roman" w:eastAsia="Times New Roman" w:hAnsi="Times New Roman" w:cs="Times New Roman"/>
          <w:b/>
          <w:sz w:val="24"/>
          <w:szCs w:val="24"/>
          <w:lang w:eastAsia="ru-RU"/>
        </w:rPr>
      </w:pPr>
      <w:r w:rsidRPr="00F71200">
        <w:rPr>
          <w:rFonts w:ascii="Times New Roman" w:eastAsia="Times New Roman" w:hAnsi="Times New Roman" w:cs="Times New Roman"/>
          <w:b/>
          <w:sz w:val="24"/>
          <w:szCs w:val="24"/>
          <w:lang w:eastAsia="ru-RU"/>
        </w:rPr>
        <w:t>Ушиева А.Ю.</w:t>
      </w:r>
    </w:p>
    <w:p w14:paraId="0531A498" w14:textId="079EB63C" w:rsidR="00F71200" w:rsidRPr="00F71200" w:rsidRDefault="00F71200" w:rsidP="00F71200">
      <w:pPr>
        <w:spacing w:after="0" w:line="240" w:lineRule="auto"/>
        <w:ind w:left="-540" w:firstLine="540"/>
        <w:jc w:val="center"/>
        <w:rPr>
          <w:rFonts w:ascii="Times New Roman" w:eastAsia="Times New Roman" w:hAnsi="Times New Roman" w:cs="Times New Roman"/>
          <w:b/>
          <w:sz w:val="24"/>
          <w:szCs w:val="24"/>
          <w:lang w:eastAsia="ru-RU"/>
        </w:rPr>
      </w:pPr>
      <w:r w:rsidRPr="00F71200">
        <w:rPr>
          <w:rFonts w:ascii="Times New Roman" w:eastAsia="Times New Roman" w:hAnsi="Times New Roman" w:cs="Times New Roman"/>
          <w:b/>
          <w:sz w:val="24"/>
          <w:szCs w:val="24"/>
          <w:lang w:eastAsia="ru-RU"/>
        </w:rPr>
        <w:t>Реклама средних учебных учреждений г. Твери</w:t>
      </w:r>
      <w:r>
        <w:rPr>
          <w:rFonts w:ascii="Times New Roman" w:eastAsia="Times New Roman" w:hAnsi="Times New Roman" w:cs="Times New Roman"/>
          <w:b/>
          <w:sz w:val="24"/>
          <w:szCs w:val="24"/>
          <w:lang w:eastAsia="ru-RU"/>
        </w:rPr>
        <w:t xml:space="preserve"> (по материалам анкетного опроса)</w:t>
      </w:r>
    </w:p>
    <w:p w14:paraId="22E82609" w14:textId="77777777" w:rsidR="00F71200" w:rsidRDefault="00F71200" w:rsidP="00F71200">
      <w:pPr>
        <w:spacing w:after="0" w:line="240" w:lineRule="auto"/>
        <w:ind w:left="-540" w:firstLine="540"/>
        <w:jc w:val="both"/>
        <w:rPr>
          <w:rFonts w:ascii="Times New Roman" w:eastAsia="Times New Roman" w:hAnsi="Times New Roman" w:cs="Times New Roman"/>
          <w:sz w:val="24"/>
          <w:szCs w:val="24"/>
          <w:u w:val="single"/>
          <w:lang w:eastAsia="ru-RU"/>
        </w:rPr>
      </w:pPr>
    </w:p>
    <w:p w14:paraId="497557E6" w14:textId="13243E2C" w:rsidR="002E1784" w:rsidRPr="00F71200" w:rsidRDefault="002E1784" w:rsidP="00F71200">
      <w:pPr>
        <w:spacing w:after="0" w:line="240" w:lineRule="auto"/>
        <w:ind w:left="-540" w:firstLine="540"/>
        <w:jc w:val="both"/>
        <w:rPr>
          <w:rFonts w:ascii="Times New Roman" w:eastAsia="Times New Roman" w:hAnsi="Times New Roman" w:cs="Times New Roman"/>
          <w:iCs/>
          <w:sz w:val="24"/>
          <w:szCs w:val="24"/>
          <w:lang w:eastAsia="ru-RU"/>
        </w:rPr>
      </w:pPr>
      <w:r w:rsidRPr="00F71200">
        <w:rPr>
          <w:rFonts w:ascii="Times New Roman" w:eastAsia="Times New Roman" w:hAnsi="Times New Roman" w:cs="Times New Roman"/>
          <w:b/>
          <w:sz w:val="24"/>
          <w:szCs w:val="24"/>
          <w:lang w:eastAsia="ru-RU"/>
        </w:rPr>
        <w:t>Аннотация</w:t>
      </w:r>
      <w:r w:rsidR="00A25D45">
        <w:rPr>
          <w:rFonts w:ascii="Times New Roman" w:eastAsia="Times New Roman" w:hAnsi="Times New Roman" w:cs="Times New Roman"/>
          <w:b/>
          <w:sz w:val="24"/>
          <w:szCs w:val="24"/>
          <w:lang w:eastAsia="ru-RU"/>
        </w:rPr>
        <w:t xml:space="preserve">: </w:t>
      </w:r>
      <w:r w:rsidR="00F71200">
        <w:rPr>
          <w:rFonts w:ascii="Times New Roman" w:eastAsia="Times New Roman" w:hAnsi="Times New Roman" w:cs="Times New Roman"/>
          <w:iCs/>
          <w:sz w:val="24"/>
          <w:szCs w:val="24"/>
          <w:lang w:eastAsia="ru-RU"/>
        </w:rPr>
        <w:t>в статье представлены результаты социологического исследования рекламной деятельности средних учебных учреждений г. Твери, проведённого методом анкетного опроса. Проанализированы основные каналы продвижения образовательных услуг, методы привлечения абитуриентов</w:t>
      </w:r>
      <w:r w:rsidR="00A25D45">
        <w:rPr>
          <w:rFonts w:ascii="Times New Roman" w:eastAsia="Times New Roman" w:hAnsi="Times New Roman" w:cs="Times New Roman"/>
          <w:iCs/>
          <w:sz w:val="24"/>
          <w:szCs w:val="24"/>
          <w:lang w:eastAsia="ru-RU"/>
        </w:rPr>
        <w:t xml:space="preserve"> и инструменты формирования имиджа учебных учреждений. Особое внимание уделяется оценке эффективности различных рекламных стратегий на основе мнений респондентов. Материал может быть полезен специалистам в сфере образования и маркетинга. </w:t>
      </w:r>
      <w:r w:rsidR="00F71200">
        <w:rPr>
          <w:rFonts w:ascii="Times New Roman" w:eastAsia="Times New Roman" w:hAnsi="Times New Roman" w:cs="Times New Roman"/>
          <w:iCs/>
          <w:sz w:val="24"/>
          <w:szCs w:val="24"/>
          <w:lang w:eastAsia="ru-RU"/>
        </w:rPr>
        <w:t xml:space="preserve"> </w:t>
      </w:r>
    </w:p>
    <w:p w14:paraId="35B9F8D5" w14:textId="3B2B83DB" w:rsidR="002E1784" w:rsidRPr="00F71200" w:rsidRDefault="002E1784" w:rsidP="00F71200">
      <w:pPr>
        <w:spacing w:after="0" w:line="240" w:lineRule="auto"/>
        <w:ind w:left="-540" w:firstLine="540"/>
        <w:jc w:val="both"/>
        <w:rPr>
          <w:rFonts w:ascii="Times New Roman" w:eastAsia="Times New Roman" w:hAnsi="Times New Roman" w:cs="Times New Roman"/>
          <w:iCs/>
          <w:sz w:val="24"/>
          <w:szCs w:val="24"/>
          <w:lang w:eastAsia="ru-RU"/>
        </w:rPr>
      </w:pPr>
      <w:r w:rsidRPr="00F71200">
        <w:rPr>
          <w:rFonts w:ascii="Times New Roman" w:eastAsia="Times New Roman" w:hAnsi="Times New Roman" w:cs="Times New Roman"/>
          <w:b/>
          <w:sz w:val="24"/>
          <w:szCs w:val="24"/>
          <w:lang w:eastAsia="ru-RU"/>
        </w:rPr>
        <w:t>Ключевые слова</w:t>
      </w:r>
      <w:r w:rsidR="00A25D45">
        <w:rPr>
          <w:rFonts w:ascii="Times New Roman" w:eastAsia="Times New Roman" w:hAnsi="Times New Roman" w:cs="Times New Roman"/>
          <w:b/>
          <w:sz w:val="24"/>
          <w:szCs w:val="24"/>
          <w:lang w:eastAsia="ru-RU"/>
        </w:rPr>
        <w:t xml:space="preserve">: </w:t>
      </w:r>
      <w:r w:rsidR="00A25D45">
        <w:rPr>
          <w:rFonts w:ascii="Times New Roman" w:eastAsia="Times New Roman" w:hAnsi="Times New Roman" w:cs="Times New Roman"/>
          <w:iCs/>
          <w:sz w:val="24"/>
          <w:szCs w:val="24"/>
          <w:lang w:eastAsia="ru-RU"/>
        </w:rPr>
        <w:t>образовательная реклама, среднее образование, анкетный опрос, маркетинг.</w:t>
      </w:r>
    </w:p>
    <w:p w14:paraId="712DFCC6" w14:textId="77777777" w:rsidR="00F71200" w:rsidRDefault="00F71200" w:rsidP="00F71200">
      <w:pPr>
        <w:spacing w:after="0" w:line="25" w:lineRule="atLeast"/>
        <w:ind w:firstLine="540"/>
        <w:jc w:val="both"/>
        <w:rPr>
          <w:rFonts w:ascii="Times New Roman" w:eastAsia="Times New Roman" w:hAnsi="Times New Roman" w:cs="Times New Roman"/>
          <w:sz w:val="24"/>
          <w:szCs w:val="24"/>
          <w:u w:val="single"/>
          <w:lang w:eastAsia="ru-RU"/>
        </w:rPr>
      </w:pPr>
    </w:p>
    <w:p w14:paraId="038BC855" w14:textId="44970880"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В нашей стране многим компаниям, организациям и различным государственным учреждениям требуются специалисты среднего звена. Квалифицированные профессионалы сильно востребованы на рынке труда, однако кадров не хватает, поэтому необходимо привлекать молодое поколение получать профессиональное образование в колледжах. И так как в современном обществе реклама играет важную роль, но она необходима в привлечении абитуриентов в средние специальные учебные учреждения.</w:t>
      </w:r>
    </w:p>
    <w:p w14:paraId="24910B05"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В рамах данной исследовательской работы методом анкетного опроса с 20 по 24 декабря 2024 года было проведено разовое пилотажное исследование на тему «реклама средних специальных учебных учреждений г. Твери». Предмет исследования – мнение студентов о рекламе средних специальных учреждений г. Твери ТТК и ТПЭК. Выборочная совокупность составила 338 человек (т.е. мин. 169 студентов в каждом колледже). В её структуре представлена молодёжь г. Твери.</w:t>
      </w:r>
    </w:p>
    <w:p w14:paraId="6B6083C0"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Были выдвинуты следующие гипотезы:</w:t>
      </w:r>
    </w:p>
    <w:p w14:paraId="70AB3AC8"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1)</w:t>
      </w:r>
      <w:r w:rsidRPr="00F71200">
        <w:rPr>
          <w:rFonts w:ascii="Times New Roman" w:hAnsi="Times New Roman" w:cs="Times New Roman"/>
          <w:sz w:val="24"/>
          <w:szCs w:val="24"/>
        </w:rPr>
        <w:tab/>
        <w:t>Студенты хорошо осведомлены о различных колледжах в г. Твери;</w:t>
      </w:r>
    </w:p>
    <w:p w14:paraId="73FB095B"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2)</w:t>
      </w:r>
      <w:r w:rsidRPr="00F71200">
        <w:rPr>
          <w:rFonts w:ascii="Times New Roman" w:hAnsi="Times New Roman" w:cs="Times New Roman"/>
          <w:sz w:val="24"/>
          <w:szCs w:val="24"/>
        </w:rPr>
        <w:tab/>
        <w:t>Абитуриенты не доверяют рекламе и предпочитают получать информацию о среднем специальном учреждении через специализированные сайты и друзей/родственников/учителей;</w:t>
      </w:r>
    </w:p>
    <w:p w14:paraId="00A2EE42"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3)</w:t>
      </w:r>
      <w:r w:rsidRPr="00F71200">
        <w:rPr>
          <w:rFonts w:ascii="Times New Roman" w:hAnsi="Times New Roman" w:cs="Times New Roman"/>
          <w:sz w:val="24"/>
          <w:szCs w:val="24"/>
        </w:rPr>
        <w:tab/>
        <w:t>Наиболее эффективный вид рекламы колледжей г. Твери является интернет и, особенно, социальная сеть «ВКонтакте»;</w:t>
      </w:r>
    </w:p>
    <w:p w14:paraId="059B19BF"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4)</w:t>
      </w:r>
      <w:r w:rsidRPr="00F71200">
        <w:rPr>
          <w:rFonts w:ascii="Times New Roman" w:hAnsi="Times New Roman" w:cs="Times New Roman"/>
          <w:sz w:val="24"/>
          <w:szCs w:val="24"/>
        </w:rPr>
        <w:tab/>
        <w:t>Основными мотивами студентов при выборе среднего специального учреждения г. Твери является возможность уйти из школы и не сдавать ЕГЭ, (а не качество образования, престиж специальности, перспективы трудоустройства и т.д.);</w:t>
      </w:r>
    </w:p>
    <w:p w14:paraId="2A37579B"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5)</w:t>
      </w:r>
      <w:r w:rsidRPr="00F71200">
        <w:rPr>
          <w:rFonts w:ascii="Times New Roman" w:hAnsi="Times New Roman" w:cs="Times New Roman"/>
          <w:sz w:val="24"/>
          <w:szCs w:val="24"/>
        </w:rPr>
        <w:tab/>
        <w:t>Реклама играет второстепенную роль в принятии решении о поступлении.</w:t>
      </w:r>
    </w:p>
    <w:p w14:paraId="2828A285" w14:textId="7BF36C84"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На основании полученных данных были сформированы следующие выводы. </w:t>
      </w:r>
    </w:p>
    <w:p w14:paraId="39EF8E43"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Большая часть студентов, принявших участие в опросе, являются выпускниками 9-х классов (70%), хотя присутствует доля тех, кто решил поступить в колледж после окончания 11 класса (30%). Возрастной диапазон респондентов: 16-18 лет (73%), 19-21 (23%), 22-24 (4%). </w:t>
      </w:r>
    </w:p>
    <w:p w14:paraId="36317C8A"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Большинство опрошенных респондентов учащихся когда-либо встречали рекламу образовательных учреждений (78%). Наиболее популярными площадками оказываются интернет (26%), школа (24%) и уличные баннеры (22%). Меньше всего н телевидении (18%) и радио 10%). Это объясняется тем, что сегодня интернетом пользуется подавляющее число населения, особенно молодёжь, которая использует его не только для развлечений и общения, но и в образовательных целях. И так как опрашиваемые является студентами колледжа, то они могли увидеть рекламные сообщения о приёме документов в то или иной учебное учреждение. </w:t>
      </w:r>
    </w:p>
    <w:p w14:paraId="23839459"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Помимо этого, часто можно встретить представителей различных учебных организаций, проводящие презентации для привлечения новых абитуриентов для обучения. Это связано со спецификой деятельности школы, так как в большинстве случаем школьники продолжают своё обучение в колледжах или ВУЗах, поэтому находятся в поиске учебного заведения. Помимо этого, выделяется и уличная реклама. Часто, например, в Твери на остановках и в центре города можно заметить рекламные объявления от различных учебных организаций.</w:t>
      </w:r>
    </w:p>
    <w:p w14:paraId="09DEE87C"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Отсюда большинство респондентов на 3 вопрос отвечают, что помнят: </w:t>
      </w:r>
    </w:p>
    <w:p w14:paraId="4789A1D5" w14:textId="77777777" w:rsidR="00F71200" w:rsidRPr="00F71200" w:rsidRDefault="00F71200" w:rsidP="00A25D45">
      <w:pPr>
        <w:pStyle w:val="a6"/>
        <w:numPr>
          <w:ilvl w:val="0"/>
          <w:numId w:val="2"/>
        </w:numPr>
        <w:spacing w:line="25" w:lineRule="atLeast"/>
        <w:ind w:left="-426" w:firstLine="426"/>
        <w:jc w:val="both"/>
        <w:rPr>
          <w:rFonts w:ascii="Times New Roman" w:hAnsi="Times New Roman" w:cs="Times New Roman"/>
        </w:rPr>
      </w:pPr>
      <w:r w:rsidRPr="00F71200">
        <w:rPr>
          <w:rFonts w:ascii="Times New Roman" w:hAnsi="Times New Roman" w:cs="Times New Roman"/>
        </w:rPr>
        <w:lastRenderedPageBreak/>
        <w:t xml:space="preserve">некоторые рекламные объявления – 41%, </w:t>
      </w:r>
    </w:p>
    <w:p w14:paraId="0612387B" w14:textId="77777777" w:rsidR="00F71200" w:rsidRPr="00F71200" w:rsidRDefault="00F71200" w:rsidP="00A25D45">
      <w:pPr>
        <w:pStyle w:val="a6"/>
        <w:numPr>
          <w:ilvl w:val="0"/>
          <w:numId w:val="2"/>
        </w:numPr>
        <w:spacing w:line="25" w:lineRule="atLeast"/>
        <w:ind w:left="-426" w:firstLine="426"/>
        <w:jc w:val="both"/>
        <w:rPr>
          <w:rFonts w:ascii="Times New Roman" w:hAnsi="Times New Roman" w:cs="Times New Roman"/>
        </w:rPr>
      </w:pPr>
      <w:r w:rsidRPr="00F71200">
        <w:rPr>
          <w:rFonts w:ascii="Times New Roman" w:hAnsi="Times New Roman" w:cs="Times New Roman"/>
        </w:rPr>
        <w:t xml:space="preserve">помнят почти все – 25%, </w:t>
      </w:r>
    </w:p>
    <w:p w14:paraId="040D80D5" w14:textId="77777777" w:rsidR="00F71200" w:rsidRPr="00F71200" w:rsidRDefault="00F71200" w:rsidP="00A25D45">
      <w:pPr>
        <w:pStyle w:val="a6"/>
        <w:numPr>
          <w:ilvl w:val="0"/>
          <w:numId w:val="2"/>
        </w:numPr>
        <w:spacing w:line="25" w:lineRule="atLeast"/>
        <w:ind w:left="-426" w:firstLine="426"/>
        <w:jc w:val="both"/>
        <w:rPr>
          <w:rFonts w:ascii="Times New Roman" w:hAnsi="Times New Roman" w:cs="Times New Roman"/>
        </w:rPr>
      </w:pPr>
      <w:r w:rsidRPr="00F71200">
        <w:rPr>
          <w:rFonts w:ascii="Times New Roman" w:hAnsi="Times New Roman" w:cs="Times New Roman"/>
        </w:rPr>
        <w:t>помнят только рекламу своего колледжа – 22%,</w:t>
      </w:r>
    </w:p>
    <w:p w14:paraId="15141D0F" w14:textId="77777777" w:rsidR="00F71200" w:rsidRPr="00F71200" w:rsidRDefault="00F71200" w:rsidP="00A25D45">
      <w:pPr>
        <w:pStyle w:val="a6"/>
        <w:numPr>
          <w:ilvl w:val="0"/>
          <w:numId w:val="2"/>
        </w:numPr>
        <w:spacing w:line="25" w:lineRule="atLeast"/>
        <w:ind w:left="-426" w:firstLine="426"/>
        <w:jc w:val="both"/>
        <w:rPr>
          <w:rFonts w:ascii="Times New Roman" w:hAnsi="Times New Roman" w:cs="Times New Roman"/>
        </w:rPr>
      </w:pPr>
      <w:r w:rsidRPr="00F71200">
        <w:rPr>
          <w:rFonts w:ascii="Times New Roman" w:hAnsi="Times New Roman" w:cs="Times New Roman"/>
        </w:rPr>
        <w:t xml:space="preserve"> и всего 12% всех опрошенных не помнят ничего. </w:t>
      </w:r>
    </w:p>
    <w:p w14:paraId="3FAB8C56"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Такие результаты можно объяснить ответами на следующий вопрос «как Вы относитесь к рекламе в целом». 41% студентов дают нейтральную оценку рекламе, 39% считают, что реклама важна, так как предоставляет важную информацию абитуриенту и для 19% – реклама навязчива и несёт недостоверную информацию, это можно объяснить тем, что на данный момент потребитель цифрового контента перенасыщен рекламным контентом. Следовательно, реклама представляется студентам больше как положительное явление, чем отрицательное.</w:t>
      </w:r>
    </w:p>
    <w:p w14:paraId="33338873"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И подтверждая мнение о том, что студенты часто сидят в интернете, мы получаем следующий результат на вопрос «где чаще всего Вы просматриваете рекламу?». На первом месте – в интернете (50%), на втором – общественный транспорт (13%), улица (14%) и телевидение (15%), реже всего – в печатных изданиях (8%).</w:t>
      </w:r>
    </w:p>
    <w:p w14:paraId="5B066902"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Несмотря на то, что большая часть респондентов когда-либо встречала рекламы образовательных учреждений, 36% опрошенных отмечают, что не видела в интернете, на улице, в школах и т.д. рекламные объявления средних специальных учреждений. Вторая часть опрошенных студентов (64%) ранее встречала рекламы колледжей, однако редко (55%).</w:t>
      </w:r>
    </w:p>
    <w:p w14:paraId="1FF76BA3"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Таким образом, можно говорить о том, что студенты осведомлены о различных колледжах г. Твери, однако в средней степени, ввиду недостаточно активной рекламной кампании. Отсюда частично подтверждается первая гипотеза. </w:t>
      </w:r>
    </w:p>
    <w:p w14:paraId="71E913FE"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На вопрос «Какие эмоции вызвала увиденная Вами реклама колледжей г. Твери?» многие отмечают – интерес (29%) и нейтральность (20%), на втором месте – радость (16%) и заинтересованность (12%) и на третьем – разочарование (11%), сомнение (8%) и скука (4%). При этом только 44% респондентов ответили, что рекламные сообщения замотивировали подать документы в колледж. 22% затруднились ответить и 34% ответили отрицательно. </w:t>
      </w:r>
    </w:p>
    <w:p w14:paraId="087316FF" w14:textId="7A3503F3"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Последние отмечают, что реклама была: </w:t>
      </w:r>
      <w:r w:rsidRPr="00F71200">
        <w:rPr>
          <w:rFonts w:ascii="Times New Roman" w:hAnsi="Times New Roman" w:cs="Times New Roman"/>
        </w:rPr>
        <w:t>«некачественной с устаревшим дизайном, форматом» (25%), «не информативной» (21%), «скучной» (17%), в ней «отсутствовала информация о преимуществах среднего специального образования» (13,5%) и «востребованности специалистов среднего звена» (10%), а также 13,5% потребовалось узнать «больше информации о колледже на официальном сайте».</w:t>
      </w:r>
    </w:p>
    <w:p w14:paraId="4245EE1B"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Так, можно предположить, что некоторые студенты изначально не рассматривали обучение в колледже, однако реклама смогла их заинтересовать узнать об образовательной организации и профессии больше и в дальнейшем принять решение получить среднее специальное образование или выбрать именно тот колледж, в котором они обучаются. Таким образом, можно выделить несколько значимых задач рекламы: </w:t>
      </w:r>
    </w:p>
    <w:p w14:paraId="0FCC67DD"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1) популяризация среднего специального образования,</w:t>
      </w:r>
    </w:p>
    <w:p w14:paraId="2FB94BE6"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2) выделение колледжа среди конкурентов. </w:t>
      </w:r>
    </w:p>
    <w:p w14:paraId="72A17C63"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И здесь особенно важно донести до абитуриентов, как отметило 34% опрошенных, ценность среднего специального образования, востребованность рабочих данного звена, ведь многие хотят выбрать профессию, которая в будущем способна принести им хорошую работу и доход.</w:t>
      </w:r>
    </w:p>
    <w:p w14:paraId="382DC6E5"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Больше половины (64%) всех респондентов доверяют рекламе средних специальных учебных заведений («скорее доверяю» (44%), «полностью доверяю» (20%)), и только 36% не испытывают доверия («скорее не доверяю» (26%), «совершенно не доверяю» (10%)).</w:t>
      </w:r>
    </w:p>
    <w:p w14:paraId="4F340C71"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Основными аспектами, вызывающими наибольшее доверие к рекламе, являются «информативность» (21%), наличие «отзывов студентов и выпускников» (18%) и «примеров карьерного пути выпускников колледжа» (15%), положительный опыт реальных людей повышает лояльность абитуриентов к тому или иному колледжу; при этом 14,2% выделяют важность качества визуальной составляющей и креативность (13%) рекламы, так как современный дизайн говорит о том, что учебная организация развивается и старается идти в ногу со временем. В меньшей степени указание преимуществ среднего профессионального образования (13,8%) оказывает влияние на доверие абитуриентов, и только 5% занимает «степень востребованности профессии» (5%). Два данных пункта можно объединить в один, так как востребованность </w:t>
      </w:r>
      <w:r w:rsidRPr="00F71200">
        <w:rPr>
          <w:rFonts w:ascii="Times New Roman" w:hAnsi="Times New Roman" w:cs="Times New Roman"/>
          <w:sz w:val="24"/>
          <w:szCs w:val="24"/>
        </w:rPr>
        <w:lastRenderedPageBreak/>
        <w:t xml:space="preserve">специалистов среднего звена на рынке труда является определённым преимуществом для абитуриентов. </w:t>
      </w:r>
    </w:p>
    <w:p w14:paraId="1ACE2F4F"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Таким образом, можно сделать вывод, что респонденты доверяют рекламе средних специальных учреждений, что опровергает вторую гипотезу. Однако форма рекламных сообщений не является достаточно привлекательной и актуальной.</w:t>
      </w:r>
    </w:p>
    <w:p w14:paraId="72F99E85"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В рекламных кампаниях колледжей необходимо учитывать следующие аспекты, которые студенты выделяют наиболее важными при выборе учебного заведения: престиж специальности (20,4%), качество образования (20%), перспективы трудоустройства (19,1%) и доступность обучения (19%). Наименее важным в выборе колледжа для опрашиваемых являются «рекомендации родителей и друзей» (12,1%) и «получение профессии без ЕГЭ» (9,4%). Это опровергает четвёртую гипотезу, что основными мотивами студентов при выборе среднего специального учреждения г. Твери есть возможность уйти из школы и не сдавать ЕГЭ. Напротив, абитуриенты в большинстве акцентируют внимание на качестве образования и престиж профессии.</w:t>
      </w:r>
    </w:p>
    <w:p w14:paraId="6D4356B0"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Из результатов опроса видно, что реклама сама по себе не мотивирует большинство абитуриентов поступить в среднее специальное учебное учреждение. 18% опрашиваемых ответили, что реклама «совершенно не повлияла», однако 20% отметила – «сильно повлияла». Несмотря на это большинство студентов (32%) ответили – «скорее не повлияла», что на 2% меньше, чем вариант ответа «скорее повлияла» (30%). Это можно объяснить тем, что для поступления в колледж на официальном сайте необходимо изучить не только не только бюрократическую составляющую, но и специфику направлений, представленных в учебном заведении. Таким образом, полученные результаты подтверждают пятую гипотезу, что реклама играет второстепенную роль в принятии решении о поступлении в колледж.</w:t>
      </w:r>
    </w:p>
    <w:p w14:paraId="64ECA205" w14:textId="4854CAEE"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Следующий вопрос определил основные аспекты рекламы колледжей, которые привлекают абитуриентов больше всего. </w:t>
      </w:r>
      <w:r w:rsidRPr="00F71200">
        <w:rPr>
          <w:rFonts w:ascii="Times New Roman" w:hAnsi="Times New Roman" w:cs="Times New Roman"/>
        </w:rPr>
        <w:t>На первом месте – стоимость обучения (22%), перспективы трудоустройства (20,8%), качество образования (20%),</w:t>
      </w:r>
      <w:r>
        <w:rPr>
          <w:rFonts w:ascii="Times New Roman" w:hAnsi="Times New Roman" w:cs="Times New Roman"/>
        </w:rPr>
        <w:t xml:space="preserve"> </w:t>
      </w:r>
      <w:r w:rsidRPr="00F71200">
        <w:rPr>
          <w:rFonts w:ascii="Times New Roman" w:hAnsi="Times New Roman" w:cs="Times New Roman"/>
        </w:rPr>
        <w:t xml:space="preserve">На втором – дополнительные возможности как кружки и различные секции (10%), а также визуальная составляющая (8%). </w:t>
      </w:r>
      <w:r>
        <w:rPr>
          <w:rFonts w:ascii="Times New Roman" w:hAnsi="Times New Roman" w:cs="Times New Roman"/>
          <w:sz w:val="24"/>
          <w:szCs w:val="24"/>
        </w:rPr>
        <w:t xml:space="preserve"> </w:t>
      </w:r>
      <w:r w:rsidRPr="00F71200">
        <w:rPr>
          <w:rFonts w:ascii="Times New Roman" w:hAnsi="Times New Roman" w:cs="Times New Roman"/>
        </w:rPr>
        <w:t xml:space="preserve">Меньше всего респонденты обращают внимание на условия обучения (7,2%), отзывы студентов (6%), местоположение колледжа (4%) и специальные предложения, скидки и акции (2%). Это может быть связано с тем, что данная информация указывается довольно редко в рекламных объявлениях средних специальных учебных учреждений, хотя по результатам данный аспект вызывает наибольшее доверие к рекламе у абитуриентов. </w:t>
      </w:r>
    </w:p>
    <w:p w14:paraId="6510845D"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На вопрос «какой вид рекламы с Вашей точки зрения является наиболее эффективным и запоминающимся для колледжей в настоящее время» большинство опрашиваемых выделяет текстовые посты (16,%), статичную рекламу (картинка/изображение) (15,9%) и видео-реклама (14,5%) в социальных сетях, так как почти все абитуриенты регулярно используют интернет и различные платформу для общения с друзьями, просмотра новостей, фильмов, прослушивания музыки, поиска различных вспомогательных ресурсов для учёбы и т.д. Помимо этого, эффективной считают рекламу в школах (15,5%) и на уличных баннерах (14%). Это объясняется тем, что ученики до 9 класса (до 11 класса) проводят очень много времени в школе, а также и в пути туда и домой, поэтому внешняя реклама в этом случае будет также актуальна. </w:t>
      </w:r>
    </w:p>
    <w:p w14:paraId="45B2C8DD"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Менее эффективными респонденты считают рекламные объявления на телевидении (11%) ввиду того, что в настоящее время оно среди молодёжи не пользуется спросом; и на страницах интернет-поисковиков (9%), так как часто такая реклама не является полезной и может переводить на вредоносные сайты, поэтому доверия к такому виду рекламы сейчас на низком уровне, хотя крупные интернет-компании активно развивают данное направление (например, Яндекс). Самым не запоминающейся по мнению студентов колледжа является реклама на радио (4%). </w:t>
      </w:r>
    </w:p>
    <w:p w14:paraId="04089FFE" w14:textId="62002EE2" w:rsidR="00F71200" w:rsidRPr="00F71200" w:rsidRDefault="00F71200" w:rsidP="00A25D45">
      <w:pPr>
        <w:tabs>
          <w:tab w:val="left" w:pos="3480"/>
        </w:tabs>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Таким образом, наиболее эффективный вид рекламы колледжей г. Твери является интернет и, особенно, социальные сети, и в данный момент в России можно выделить одну из них – это «ВКонтакте»:</w:t>
      </w:r>
      <w:r>
        <w:rPr>
          <w:rFonts w:ascii="Times New Roman" w:hAnsi="Times New Roman" w:cs="Times New Roman"/>
          <w:sz w:val="24"/>
          <w:szCs w:val="24"/>
        </w:rPr>
        <w:t xml:space="preserve"> </w:t>
      </w:r>
      <w:r>
        <w:rPr>
          <w:rFonts w:ascii="Times New Roman" w:hAnsi="Times New Roman" w:cs="Times New Roman"/>
        </w:rPr>
        <w:t>в</w:t>
      </w:r>
      <w:r w:rsidRPr="00F71200">
        <w:rPr>
          <w:rFonts w:ascii="Times New Roman" w:hAnsi="Times New Roman" w:cs="Times New Roman"/>
        </w:rPr>
        <w:t xml:space="preserve">о-первых, данная платформа удобная для российского пользователя, так как не имеет никаких ограничений (блокировок); </w:t>
      </w:r>
      <w:r>
        <w:rPr>
          <w:rFonts w:ascii="Times New Roman" w:hAnsi="Times New Roman" w:cs="Times New Roman"/>
        </w:rPr>
        <w:t>в</w:t>
      </w:r>
      <w:r w:rsidRPr="00F71200">
        <w:rPr>
          <w:rFonts w:ascii="Times New Roman" w:hAnsi="Times New Roman" w:cs="Times New Roman"/>
        </w:rPr>
        <w:t xml:space="preserve">о-вторых, многие государственные учреждения имеют свои группы, в которых публикуется рекламный контент в том числе и которые связаны с ресурсом «ГосУслуги», что вызывает доверие у абитуриента; </w:t>
      </w:r>
      <w:r w:rsidRPr="00F71200">
        <w:rPr>
          <w:rFonts w:ascii="Times New Roman" w:hAnsi="Times New Roman" w:cs="Times New Roman"/>
        </w:rPr>
        <w:t>в</w:t>
      </w:r>
      <w:r w:rsidRPr="00F71200">
        <w:rPr>
          <w:rFonts w:ascii="Times New Roman" w:hAnsi="Times New Roman" w:cs="Times New Roman"/>
        </w:rPr>
        <w:t xml:space="preserve">-третьих, в данной социальной сети есть возможность запуска </w:t>
      </w:r>
      <w:r w:rsidRPr="00F71200">
        <w:rPr>
          <w:rFonts w:ascii="Times New Roman" w:hAnsi="Times New Roman" w:cs="Times New Roman"/>
        </w:rPr>
        <w:lastRenderedPageBreak/>
        <w:t xml:space="preserve">таргетированной рекламы, которая позволяет распространить рекламные сообщения среди целевой аудитории (школьники с 8-11 классы). </w:t>
      </w:r>
      <w:r w:rsidRPr="00F71200">
        <w:rPr>
          <w:rFonts w:ascii="Times New Roman" w:hAnsi="Times New Roman" w:cs="Times New Roman"/>
          <w:sz w:val="24"/>
          <w:szCs w:val="24"/>
        </w:rPr>
        <w:t>Таким образом, мы может подтвердить третью гипотезу.</w:t>
      </w:r>
    </w:p>
    <w:p w14:paraId="59EE743E" w14:textId="77777777" w:rsidR="00F71200" w:rsidRPr="00F71200" w:rsidRDefault="00F71200" w:rsidP="00A25D45">
      <w:pPr>
        <w:tabs>
          <w:tab w:val="left" w:pos="3480"/>
        </w:tabs>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Респонденты выделяют следующие аспекты, которые стоит внести в рекламные сообщения для повышения её эффективности: информация о привлекательных условиях обучения (19%), качестве образования (18%), а также улучшения визуальной составляющей (17%), которая формирует узнаваемый облик среднего специального учреждения. Последний пункт важен не только для колледжей, но и для профильного образования в целом для повышения его ценности и популярности за счёт качественной и современной рекламы. Также не менее важным является повышение частоты рекламных кампаний (14%) для большей осведомлённости целевой аудитории; указание информации о выпускниках (12%) и преимуществах среднего специального образования (12%). Менее важным аспектом является информация о различных мероприятиях и стажировках (8%).</w:t>
      </w:r>
    </w:p>
    <w:p w14:paraId="2BEE455E" w14:textId="77777777" w:rsidR="00F71200" w:rsidRPr="00F71200" w:rsidRDefault="00F71200" w:rsidP="00A25D45">
      <w:pPr>
        <w:tabs>
          <w:tab w:val="left" w:pos="3480"/>
        </w:tabs>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 xml:space="preserve">Говоря о «силе» рекламы в настоящее время в сфере среднего специального профессионального образования г. Твери, опрашиваемые студенты в большинстве (60%) отводят ей важную роль («5» – реклама играет решающую роль (33%), «4» – 27%), о второстепенной роли говорят 20% респондентов («3» – 20%), и остальные 20% говорят, что реклама не важна («1» – реклама совсем не важна (7%), «2» – 13%). </w:t>
      </w:r>
    </w:p>
    <w:p w14:paraId="6EE7EEA1" w14:textId="77777777" w:rsidR="00F71200" w:rsidRPr="00F71200" w:rsidRDefault="00F71200" w:rsidP="00A25D45">
      <w:pPr>
        <w:tabs>
          <w:tab w:val="left" w:pos="3480"/>
        </w:tabs>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Далее, чтобы понять влияние референтных групп на выбор место обучения был задан следующий блок вопросов. Наибольшее значение обладает мнение родителей – 52% (33% студентов ответили, что их мнение «скорее влияет» и 19% – «сильно влияет», 34% – «скорее не влияет», 14% – «совершенно не влияет»), в отличие от мнения друзей, где только 40% респондентов отметили их значимость при выборе учебного заведения (23% «скорее влияет» и 17% – «сильно влияет», 35% – «скорее не влияет», 25% – «совершенно не влияет»). Мнение учителей в данном вопросе имеет наименьшую значимость – 36% (21% – «скорее влияет», 15% – «сильно влияет», 30% – «скорее не влияет», 34% – «совершенно не влияет»). Из этого можно сделать вывод, что влияние референтных групп на выбор колледжа не является основной причиной выбора того или иного среднего специального учебного учреждения.</w:t>
      </w:r>
    </w:p>
    <w:p w14:paraId="52BA7B44"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На основание полученных данных в ходе исследования были проверены гипотезы и выведены заключения, что:</w:t>
      </w:r>
    </w:p>
    <w:p w14:paraId="5717C561"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1) гипотеза частично подтверждена;</w:t>
      </w:r>
    </w:p>
    <w:p w14:paraId="45FC06BC"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2) гипотеза не подтверждена. Студенты доверяют рекламе колледжей г. Твери.</w:t>
      </w:r>
    </w:p>
    <w:p w14:paraId="709B34BC"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3) гипотеза подтверждена;</w:t>
      </w:r>
    </w:p>
    <w:p w14:paraId="0D42F35B"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4) гипотеза не подтверждена. Основными мотивами студентов при выборе колледжа являлись престиж специальности, качество образования, перспективы трудоустройства и доступность обучения, а не возможность пропустить сдачу ЕГЭ после 11 класса;</w:t>
      </w:r>
    </w:p>
    <w:p w14:paraId="5C7EA2A1"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5) гипотеза подтверждена.</w:t>
      </w:r>
    </w:p>
    <w:p w14:paraId="0131D9A7"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По результатам проведённого интернет-опроса можно сделать следующие выводы. Большинство опрошенных студентов (78%) когда-либо встречали рекламу образовательных учреждений. Основными источниками информации о средних специальных учрежденьях г. Твери, получаемыми абитуриентами являются: интернет (26%), школа (24%), уличные баннеры (22%).</w:t>
      </w:r>
    </w:p>
    <w:p w14:paraId="70778301" w14:textId="77777777" w:rsidR="00F71200" w:rsidRPr="00F71200" w:rsidRDefault="00F71200" w:rsidP="00A25D45">
      <w:pPr>
        <w:spacing w:after="0" w:line="25" w:lineRule="atLeast"/>
        <w:ind w:left="-426" w:firstLine="426"/>
        <w:jc w:val="both"/>
        <w:rPr>
          <w:rFonts w:ascii="Times New Roman" w:hAnsi="Times New Roman" w:cs="Times New Roman"/>
          <w:color w:val="000000" w:themeColor="text1"/>
          <w:sz w:val="24"/>
          <w:szCs w:val="24"/>
        </w:rPr>
      </w:pPr>
      <w:r w:rsidRPr="00F71200">
        <w:rPr>
          <w:rFonts w:ascii="Times New Roman" w:hAnsi="Times New Roman" w:cs="Times New Roman"/>
          <w:color w:val="000000" w:themeColor="text1"/>
          <w:sz w:val="24"/>
          <w:szCs w:val="24"/>
        </w:rPr>
        <w:t>То есть те ресурсы и места, которые часто используют посещают школьники. Однако 36% опрошенных никогда не видели и не слышали рекламы колледжей. А вторая часть респондентов (64%) отмечают, что увиденные ими рекламные объявления вызвали такие эмоции, как интерес, нейтральность, радость и заинтересованность, и в меньшей степени – негативные (23%). Несмотря на такой результат только 44% процента участников опроса отвечают, что реклама замотивировала их подать документы в колледж. Остальным реклама показалась неинформативной, некачественной и скучной (63%), а некоторым (13,5%) потребовалось больше информации об учебном учреждении и профессиях на официальном сайте.</w:t>
      </w:r>
    </w:p>
    <w:p w14:paraId="33E9A511"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color w:val="000000" w:themeColor="text1"/>
          <w:sz w:val="24"/>
          <w:szCs w:val="24"/>
        </w:rPr>
        <w:t xml:space="preserve">При этом, респонденты доверяют рекламе средних специальных учебных заведений (64%) по следующим аспектам: информативность, наличие отзывов студентов и выпускников, </w:t>
      </w:r>
      <w:r w:rsidRPr="00F71200">
        <w:rPr>
          <w:rFonts w:ascii="Times New Roman" w:hAnsi="Times New Roman" w:cs="Times New Roman"/>
          <w:sz w:val="24"/>
          <w:szCs w:val="24"/>
        </w:rPr>
        <w:t>примеры карьерного пути выпускников колледжа (54%). Креативность и визуальная составляющая стоят на втором месте (27,2%).</w:t>
      </w:r>
    </w:p>
    <w:p w14:paraId="256E4B2E"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lastRenderedPageBreak/>
        <w:t>Наиболее эффективными видами рекламных сообщений, по мнению опрашиваемых студентов, являются различные посты в социальных сетях (текстовые публикации, статичные изображения, видео материал). Поскольку практически все абитуриенты активно пользуются интернетом и различными платформами для общения с друзьями, чтения новостей, просмотра фильмов, прослушивания музыки и поиска учебных материалов и других ресурсов, цифровая реклама оказывается крайне эффективной. Также высоко оценивается реклама в школах (15,5%) и на уличных баннерах (14%). Это связано с тем, что школьники до 9-го (или 11-го) класса значительную часть времени проводят в учебных заведениях, а также по дороге туда и обратно, что делает наружную рекламу особенно актуальной в этом случае.</w:t>
      </w:r>
    </w:p>
    <w:p w14:paraId="1346DA90"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В рекламных кампаниях колледжей важно учитывать престиж специальности (20,4%), качество образования (20%), перспективы трудоустройства (19,1%) и доступность обучения (19%), как наиболее важные аспекты для студентов. Рекомендации родителей и друзей (12,1%), а также избегание ЕГЭ (9,4%) менее значимы. Реклама играет второстепенную роль в принятии решения о поступлении, так как большинство студентов (32%) отметили, что она «скорее не повлияла» на их выбор, хотя 20% считают, что сильно повлияла.</w:t>
      </w:r>
    </w:p>
    <w:p w14:paraId="203B784B"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Таким образом, можно сделать вывод, что реклама образовательных учреждений в целом заметна и важна для студентов, однако её формат и содержание требуют улучшений для повышения привлекательности и информативности.</w:t>
      </w:r>
    </w:p>
    <w:p w14:paraId="24828EA5" w14:textId="77777777" w:rsidR="00F71200" w:rsidRPr="00F71200" w:rsidRDefault="00F71200" w:rsidP="00A25D45">
      <w:pPr>
        <w:spacing w:after="0" w:line="25" w:lineRule="atLeast"/>
        <w:ind w:left="-426" w:firstLine="426"/>
        <w:jc w:val="both"/>
        <w:rPr>
          <w:rFonts w:ascii="Times New Roman" w:hAnsi="Times New Roman" w:cs="Times New Roman"/>
          <w:sz w:val="24"/>
          <w:szCs w:val="24"/>
        </w:rPr>
      </w:pPr>
      <w:r w:rsidRPr="00F71200">
        <w:rPr>
          <w:rFonts w:ascii="Times New Roman" w:hAnsi="Times New Roman" w:cs="Times New Roman"/>
          <w:sz w:val="24"/>
          <w:szCs w:val="24"/>
        </w:rPr>
        <w:t>Для более эффективной работы рекламных сообщений средних специальных учебных учреждений в соответствии с результатами анкетного опроса были сформированы некоторые рекомендации:</w:t>
      </w:r>
    </w:p>
    <w:p w14:paraId="3FA708AA"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увеличить частоту публикации рекламных кампаний для привлечения школьников не только в тот или иной колледж, но и популяризировать среднее специальное образование;</w:t>
      </w:r>
    </w:p>
    <w:p w14:paraId="0604287E"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платформами для размещения такого рода рекламы должны быть социальные сети, при этом использовать различные её виды (видео, текстовые объявления со статичными изображением), а также уличные баннеры и школы;</w:t>
      </w:r>
    </w:p>
    <w:p w14:paraId="68922F3B"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использовать таргетированную рекламу в социальных сетях для охвата целевой аудитории (школьники 8-11 классов);</w:t>
      </w:r>
    </w:p>
    <w:p w14:paraId="4B2AD2E2"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для повышения лояльность абитуриентов стоит улучшить визуальную составляющую рекламы;</w:t>
      </w:r>
    </w:p>
    <w:p w14:paraId="44E909E2"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в рекламные сообщения колледжей необходимо добавить больше информации о преимуществах среднего специального образования, его востребованности в современном мире, возможностях трудоустройства, качество образования, а также отзывы и карьерные пути выпускников и действующих студентов учебной организации; также включать информацию о мероприятиях, стажировках и условиях обучения;</w:t>
      </w:r>
    </w:p>
    <w:p w14:paraId="3B2CFE84"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работать с учителями для продвижения информации о колледже.</w:t>
      </w:r>
    </w:p>
    <w:p w14:paraId="482CD882" w14:textId="77777777" w:rsidR="00F71200" w:rsidRPr="00F71200" w:rsidRDefault="00F71200" w:rsidP="00A25D45">
      <w:pPr>
        <w:pStyle w:val="a6"/>
        <w:numPr>
          <w:ilvl w:val="0"/>
          <w:numId w:val="3"/>
        </w:numPr>
        <w:spacing w:line="25" w:lineRule="atLeast"/>
        <w:ind w:left="-426" w:firstLine="426"/>
        <w:jc w:val="both"/>
        <w:rPr>
          <w:rFonts w:ascii="Times New Roman" w:hAnsi="Times New Roman" w:cs="Times New Roman"/>
        </w:rPr>
      </w:pPr>
      <w:r w:rsidRPr="00F71200">
        <w:rPr>
          <w:rFonts w:ascii="Times New Roman" w:hAnsi="Times New Roman" w:cs="Times New Roman"/>
        </w:rPr>
        <w:t>так как одна реклама не мотивирует подать документы в колледж, необходимо также развивать официальные группы во «ВКонтакте» и сайты, на которых будет размещена вся важная информация для привлечения школьников получить среднее специальное образование.</w:t>
      </w:r>
    </w:p>
    <w:p w14:paraId="692BE86A" w14:textId="3C138385" w:rsidR="002E1784" w:rsidRDefault="002E1784" w:rsidP="00A25D45">
      <w:pPr>
        <w:spacing w:after="0" w:line="240" w:lineRule="auto"/>
        <w:ind w:left="-426" w:firstLine="426"/>
        <w:jc w:val="center"/>
        <w:rPr>
          <w:rFonts w:ascii="Times New Roman" w:hAnsi="Times New Roman" w:cs="Times New Roman"/>
          <w:sz w:val="24"/>
          <w:szCs w:val="24"/>
        </w:rPr>
      </w:pPr>
    </w:p>
    <w:p w14:paraId="53A962FA" w14:textId="77777777" w:rsidR="00F71200" w:rsidRPr="00F71200" w:rsidRDefault="00F71200" w:rsidP="00F71200">
      <w:pPr>
        <w:spacing w:after="0" w:line="240" w:lineRule="auto"/>
        <w:ind w:left="-540" w:firstLine="540"/>
        <w:jc w:val="center"/>
        <w:rPr>
          <w:rFonts w:ascii="Times New Roman" w:eastAsia="Times New Roman" w:hAnsi="Times New Roman" w:cs="Times New Roman"/>
          <w:b/>
          <w:sz w:val="24"/>
          <w:szCs w:val="24"/>
          <w:lang w:eastAsia="ru-RU"/>
        </w:rPr>
      </w:pPr>
    </w:p>
    <w:p w14:paraId="6EA392F1" w14:textId="7A9EB543" w:rsidR="002E1784" w:rsidRPr="00F71200" w:rsidRDefault="002E1784" w:rsidP="00F71200">
      <w:pPr>
        <w:spacing w:after="0" w:line="240" w:lineRule="auto"/>
        <w:ind w:left="-540" w:firstLine="540"/>
        <w:jc w:val="center"/>
        <w:rPr>
          <w:rFonts w:ascii="Times New Roman" w:eastAsia="Calibri" w:hAnsi="Times New Roman" w:cs="Times New Roman"/>
          <w:b/>
          <w:sz w:val="24"/>
          <w:szCs w:val="24"/>
        </w:rPr>
      </w:pPr>
      <w:r w:rsidRPr="00F71200">
        <w:rPr>
          <w:rFonts w:ascii="Times New Roman" w:eastAsia="Calibri" w:hAnsi="Times New Roman" w:cs="Times New Roman"/>
          <w:b/>
          <w:sz w:val="24"/>
          <w:szCs w:val="24"/>
        </w:rPr>
        <w:t>Информация об авторе</w:t>
      </w:r>
    </w:p>
    <w:p w14:paraId="030F0694" w14:textId="21A02A1D" w:rsidR="002E1784" w:rsidRPr="00A25D45" w:rsidRDefault="00A25D45" w:rsidP="00A25D45">
      <w:pPr>
        <w:spacing w:after="0" w:line="240" w:lineRule="auto"/>
        <w:ind w:left="-540" w:firstLine="540"/>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Ушиева Алина Юсуповна</w:t>
      </w:r>
      <w:r w:rsidR="002E1784" w:rsidRPr="00F71200">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002E1784" w:rsidRPr="00F71200">
        <w:rPr>
          <w:rFonts w:ascii="Times New Roman" w:eastAsia="Calibri" w:hAnsi="Times New Roman" w:cs="Times New Roman"/>
          <w:sz w:val="24"/>
          <w:szCs w:val="24"/>
        </w:rPr>
        <w:t xml:space="preserve">, </w:t>
      </w:r>
      <w:r>
        <w:rPr>
          <w:rFonts w:ascii="Times New Roman" w:eastAsia="Calibri" w:hAnsi="Times New Roman" w:cs="Times New Roman"/>
          <w:sz w:val="24"/>
          <w:szCs w:val="24"/>
        </w:rPr>
        <w:t>Тверь</w:t>
      </w:r>
      <w:r w:rsidR="002E1784" w:rsidRPr="00F71200">
        <w:rPr>
          <w:rFonts w:ascii="Times New Roman" w:eastAsia="Calibri" w:hAnsi="Times New Roman" w:cs="Times New Roman"/>
          <w:sz w:val="24"/>
          <w:szCs w:val="24"/>
        </w:rPr>
        <w:t xml:space="preserve">) – </w:t>
      </w:r>
      <w:r>
        <w:rPr>
          <w:rFonts w:ascii="Times New Roman" w:eastAsia="Calibri" w:hAnsi="Times New Roman" w:cs="Times New Roman"/>
          <w:sz w:val="24"/>
          <w:szCs w:val="24"/>
        </w:rPr>
        <w:t>магистр</w:t>
      </w:r>
      <w:r w:rsidR="002E1784" w:rsidRPr="00F71200">
        <w:rPr>
          <w:rFonts w:ascii="Times New Roman" w:eastAsia="Calibri" w:hAnsi="Times New Roman" w:cs="Times New Roman"/>
          <w:sz w:val="24"/>
          <w:szCs w:val="24"/>
        </w:rPr>
        <w:t>,</w:t>
      </w:r>
      <w:r>
        <w:rPr>
          <w:rFonts w:ascii="Times New Roman" w:eastAsia="Calibri" w:hAnsi="Times New Roman" w:cs="Times New Roman"/>
          <w:sz w:val="24"/>
          <w:szCs w:val="24"/>
        </w:rPr>
        <w:t xml:space="preserve"> 2 курс</w:t>
      </w:r>
      <w:r w:rsidR="002E1784" w:rsidRPr="00F71200">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Тверской Государственный Университет (ТвГУ, 170100, г. Тверь, ул. Желябова, 33, </w:t>
      </w:r>
      <w:hyperlink r:id="rId7" w:history="1">
        <w:r w:rsidRPr="00E44704">
          <w:rPr>
            <w:rStyle w:val="a4"/>
            <w:rFonts w:ascii="Times New Roman" w:eastAsia="Calibri" w:hAnsi="Times New Roman" w:cs="Times New Roman"/>
            <w:sz w:val="24"/>
            <w:szCs w:val="24"/>
            <w:lang w:val="en-US"/>
          </w:rPr>
          <w:t>rector</w:t>
        </w:r>
        <w:r w:rsidRPr="00A25D45">
          <w:rPr>
            <w:rStyle w:val="a4"/>
            <w:rFonts w:ascii="Times New Roman" w:eastAsia="Calibri" w:hAnsi="Times New Roman" w:cs="Times New Roman"/>
            <w:sz w:val="24"/>
            <w:szCs w:val="24"/>
          </w:rPr>
          <w:t>@</w:t>
        </w:r>
        <w:r w:rsidRPr="00E44704">
          <w:rPr>
            <w:rStyle w:val="a4"/>
            <w:rFonts w:ascii="Times New Roman" w:eastAsia="Calibri" w:hAnsi="Times New Roman" w:cs="Times New Roman"/>
            <w:sz w:val="24"/>
            <w:szCs w:val="24"/>
            <w:lang w:val="en-US"/>
          </w:rPr>
          <w:t>tversu</w:t>
        </w:r>
        <w:r w:rsidRPr="00A25D45">
          <w:rPr>
            <w:rStyle w:val="a4"/>
            <w:rFonts w:ascii="Times New Roman" w:eastAsia="Calibri" w:hAnsi="Times New Roman" w:cs="Times New Roman"/>
            <w:sz w:val="24"/>
            <w:szCs w:val="24"/>
          </w:rPr>
          <w:t>.</w:t>
        </w:r>
        <w:r w:rsidRPr="00E44704">
          <w:rPr>
            <w:rStyle w:val="a4"/>
            <w:rFonts w:ascii="Times New Roman" w:eastAsia="Calibri" w:hAnsi="Times New Roman" w:cs="Times New Roman"/>
            <w:sz w:val="24"/>
            <w:szCs w:val="24"/>
            <w:lang w:val="en-US"/>
          </w:rPr>
          <w:t>ru</w:t>
        </w:r>
      </w:hyperlink>
      <w:r w:rsidRPr="00A25D45">
        <w:rPr>
          <w:rFonts w:ascii="Times New Roman" w:eastAsia="Calibri" w:hAnsi="Times New Roman" w:cs="Times New Roman"/>
          <w:sz w:val="24"/>
          <w:szCs w:val="24"/>
        </w:rPr>
        <w:t>).</w:t>
      </w:r>
      <w:r w:rsidR="002E1784" w:rsidRPr="00A25D45">
        <w:rPr>
          <w:rFonts w:ascii="Times New Roman" w:eastAsia="Calibri" w:hAnsi="Times New Roman" w:cs="Times New Roman"/>
          <w:sz w:val="24"/>
          <w:szCs w:val="24"/>
          <w:lang w:val="en-US"/>
        </w:rPr>
        <w:t xml:space="preserve"> </w:t>
      </w:r>
    </w:p>
    <w:p w14:paraId="0283232B" w14:textId="77777777" w:rsidR="00A25D45" w:rsidRPr="00A25D45" w:rsidRDefault="00A25D45" w:rsidP="00A25D45">
      <w:pPr>
        <w:spacing w:after="0" w:line="240" w:lineRule="auto"/>
        <w:ind w:left="-540" w:firstLine="540"/>
        <w:jc w:val="both"/>
        <w:rPr>
          <w:rFonts w:ascii="Times New Roman" w:eastAsia="Calibri" w:hAnsi="Times New Roman" w:cs="Times New Roman"/>
          <w:b/>
          <w:sz w:val="24"/>
          <w:szCs w:val="24"/>
          <w:lang w:val="en-US"/>
        </w:rPr>
      </w:pPr>
    </w:p>
    <w:p w14:paraId="727C1169" w14:textId="77777777" w:rsidR="002E1784" w:rsidRPr="00A25D45" w:rsidRDefault="002E1784" w:rsidP="00F71200">
      <w:pPr>
        <w:spacing w:after="0" w:line="240" w:lineRule="auto"/>
        <w:ind w:left="-540" w:firstLine="540"/>
        <w:jc w:val="right"/>
        <w:rPr>
          <w:rFonts w:ascii="Times New Roman" w:eastAsia="Calibri" w:hAnsi="Times New Roman" w:cs="Times New Roman"/>
          <w:b/>
          <w:sz w:val="24"/>
          <w:szCs w:val="24"/>
          <w:lang w:val="en-US"/>
        </w:rPr>
      </w:pPr>
    </w:p>
    <w:p w14:paraId="1CB4EB73" w14:textId="4EDF0EC6" w:rsidR="002E1784" w:rsidRPr="00A25D45" w:rsidRDefault="00A25D45" w:rsidP="00F71200">
      <w:pPr>
        <w:spacing w:after="0" w:line="240" w:lineRule="auto"/>
        <w:ind w:left="-540" w:firstLine="540"/>
        <w:jc w:val="right"/>
        <w:rPr>
          <w:rFonts w:ascii="Times New Roman" w:eastAsia="Calibri" w:hAnsi="Times New Roman" w:cs="Times New Roman"/>
          <w:b/>
          <w:sz w:val="24"/>
          <w:szCs w:val="24"/>
        </w:rPr>
      </w:pPr>
      <w:r>
        <w:rPr>
          <w:rFonts w:ascii="Times New Roman" w:eastAsia="Calibri" w:hAnsi="Times New Roman" w:cs="Times New Roman"/>
          <w:b/>
          <w:sz w:val="24"/>
          <w:szCs w:val="24"/>
          <w:lang w:val="en-US"/>
        </w:rPr>
        <w:t>Ushieva</w:t>
      </w:r>
      <w:r w:rsidRPr="00A25D45">
        <w:rPr>
          <w:rFonts w:ascii="Times New Roman" w:eastAsia="Calibri" w:hAnsi="Times New Roman" w:cs="Times New Roman"/>
          <w:b/>
          <w:sz w:val="24"/>
          <w:szCs w:val="24"/>
        </w:rPr>
        <w:t xml:space="preserve"> </w:t>
      </w:r>
      <w:r>
        <w:rPr>
          <w:rFonts w:ascii="Times New Roman" w:eastAsia="Calibri" w:hAnsi="Times New Roman" w:cs="Times New Roman"/>
          <w:b/>
          <w:sz w:val="24"/>
          <w:szCs w:val="24"/>
          <w:lang w:val="en-US"/>
        </w:rPr>
        <w:t>A</w:t>
      </w:r>
      <w:r w:rsidRPr="00A25D45">
        <w:rPr>
          <w:rFonts w:ascii="Times New Roman" w:eastAsia="Calibri" w:hAnsi="Times New Roman" w:cs="Times New Roman"/>
          <w:b/>
          <w:sz w:val="24"/>
          <w:szCs w:val="24"/>
        </w:rPr>
        <w:t>.</w:t>
      </w:r>
      <w:r>
        <w:rPr>
          <w:rFonts w:ascii="Times New Roman" w:eastAsia="Calibri" w:hAnsi="Times New Roman" w:cs="Times New Roman"/>
          <w:b/>
          <w:sz w:val="24"/>
          <w:szCs w:val="24"/>
          <w:lang w:val="en-US"/>
        </w:rPr>
        <w:t>Y</w:t>
      </w:r>
      <w:r w:rsidRPr="00A25D45">
        <w:rPr>
          <w:rFonts w:ascii="Times New Roman" w:eastAsia="Calibri" w:hAnsi="Times New Roman" w:cs="Times New Roman"/>
          <w:b/>
          <w:sz w:val="24"/>
          <w:szCs w:val="24"/>
        </w:rPr>
        <w:t>.</w:t>
      </w:r>
    </w:p>
    <w:p w14:paraId="63B96062" w14:textId="0A99FD5F" w:rsidR="002E1784" w:rsidRPr="00A25D45" w:rsidRDefault="00A25D45" w:rsidP="00F71200">
      <w:pPr>
        <w:spacing w:after="0" w:line="240" w:lineRule="auto"/>
        <w:ind w:left="-540" w:firstLine="540"/>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Promotion</w:t>
      </w:r>
      <w:r w:rsidRPr="00A25D45">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of</w:t>
      </w:r>
      <w:r w:rsidRPr="00A25D45">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Secondary Educational Establishments in Tver (sccording to survey results)</w:t>
      </w:r>
    </w:p>
    <w:p w14:paraId="37320A16" w14:textId="77777777" w:rsidR="00A25D45" w:rsidRDefault="00A25D45" w:rsidP="00F71200">
      <w:pPr>
        <w:spacing w:after="0" w:line="240" w:lineRule="auto"/>
        <w:ind w:left="-540" w:firstLine="540"/>
        <w:jc w:val="both"/>
        <w:rPr>
          <w:rFonts w:ascii="Times New Roman" w:eastAsia="Times New Roman" w:hAnsi="Times New Roman" w:cs="Times New Roman"/>
          <w:sz w:val="24"/>
          <w:szCs w:val="24"/>
          <w:lang w:eastAsia="ru-RU"/>
        </w:rPr>
      </w:pPr>
    </w:p>
    <w:p w14:paraId="2281F86F" w14:textId="0AA3C0E0" w:rsidR="00A25D45" w:rsidRPr="00A25D45" w:rsidRDefault="00A25D45" w:rsidP="00A25D45">
      <w:pPr>
        <w:spacing w:after="0" w:line="240" w:lineRule="auto"/>
        <w:ind w:left="-540" w:firstLine="540"/>
        <w:jc w:val="both"/>
        <w:rPr>
          <w:rFonts w:ascii="Times New Roman" w:eastAsia="Times New Roman" w:hAnsi="Times New Roman" w:cs="Times New Roman"/>
          <w:iCs/>
          <w:sz w:val="24"/>
          <w:szCs w:val="24"/>
          <w:lang w:val="en-US" w:eastAsia="ru-RU"/>
        </w:rPr>
      </w:pPr>
      <w:r w:rsidRPr="00A25D45">
        <w:rPr>
          <w:rFonts w:ascii="Times New Roman" w:eastAsia="Times New Roman" w:hAnsi="Times New Roman" w:cs="Times New Roman"/>
          <w:b/>
          <w:bCs/>
          <w:iCs/>
          <w:sz w:val="24"/>
          <w:szCs w:val="24"/>
          <w:lang w:val="en-US" w:eastAsia="ru-RU"/>
        </w:rPr>
        <w:t>Abstract</w:t>
      </w:r>
      <w:r w:rsidRPr="00A25D45">
        <w:rPr>
          <w:rFonts w:ascii="Times New Roman" w:eastAsia="Times New Roman" w:hAnsi="Times New Roman" w:cs="Times New Roman"/>
          <w:iCs/>
          <w:sz w:val="24"/>
          <w:szCs w:val="24"/>
          <w:lang w:val="en-US" w:eastAsia="ru-RU"/>
        </w:rPr>
        <w:t xml:space="preserve">: the article presents the results of sociological research of advertising activity of secondary educational institutions of Tver, conducted by questionnaire survey method. The main channels of promoting educational services, methods of attracting applicants and tools of forming the image of </w:t>
      </w:r>
      <w:r w:rsidRPr="00A25D45">
        <w:rPr>
          <w:rFonts w:ascii="Times New Roman" w:eastAsia="Times New Roman" w:hAnsi="Times New Roman" w:cs="Times New Roman"/>
          <w:iCs/>
          <w:sz w:val="24"/>
          <w:szCs w:val="24"/>
          <w:lang w:val="en-US" w:eastAsia="ru-RU"/>
        </w:rPr>
        <w:lastRenderedPageBreak/>
        <w:t xml:space="preserve">educational institutions are analyzed. Special attention is paid to the evaluation of the effectiveness of various advertising strategies on the basis of respondents' opinions. The material can be useful for specialists in the field of education and marketing. </w:t>
      </w:r>
    </w:p>
    <w:p w14:paraId="6F247E82" w14:textId="77777777" w:rsidR="00A25D45" w:rsidRPr="00A25D45" w:rsidRDefault="00A25D45" w:rsidP="00A25D45">
      <w:pPr>
        <w:spacing w:after="0" w:line="240" w:lineRule="auto"/>
        <w:ind w:left="-540" w:firstLine="540"/>
        <w:jc w:val="both"/>
        <w:rPr>
          <w:rFonts w:ascii="Times New Roman" w:eastAsia="Times New Roman" w:hAnsi="Times New Roman" w:cs="Times New Roman"/>
          <w:iCs/>
          <w:sz w:val="24"/>
          <w:szCs w:val="24"/>
          <w:lang w:val="en-US" w:eastAsia="ru-RU"/>
        </w:rPr>
      </w:pPr>
      <w:r w:rsidRPr="00A25D45">
        <w:rPr>
          <w:rFonts w:ascii="Times New Roman" w:eastAsia="Times New Roman" w:hAnsi="Times New Roman" w:cs="Times New Roman"/>
          <w:b/>
          <w:bCs/>
          <w:iCs/>
          <w:sz w:val="24"/>
          <w:szCs w:val="24"/>
          <w:lang w:val="en-US" w:eastAsia="ru-RU"/>
        </w:rPr>
        <w:t>Key words</w:t>
      </w:r>
      <w:r w:rsidRPr="00A25D45">
        <w:rPr>
          <w:rFonts w:ascii="Times New Roman" w:eastAsia="Times New Roman" w:hAnsi="Times New Roman" w:cs="Times New Roman"/>
          <w:iCs/>
          <w:sz w:val="24"/>
          <w:szCs w:val="24"/>
          <w:lang w:val="en-US" w:eastAsia="ru-RU"/>
        </w:rPr>
        <w:t>: educational advertising, secondary education, questionnaire survey, marketing.</w:t>
      </w:r>
    </w:p>
    <w:p w14:paraId="6616264E" w14:textId="77777777" w:rsidR="00A25D45" w:rsidRPr="00A25D45" w:rsidRDefault="00A25D45" w:rsidP="00A25D45">
      <w:pPr>
        <w:spacing w:after="0" w:line="240" w:lineRule="auto"/>
        <w:ind w:left="-540" w:firstLine="540"/>
        <w:jc w:val="both"/>
        <w:rPr>
          <w:rFonts w:ascii="Times New Roman" w:eastAsia="Times New Roman" w:hAnsi="Times New Roman" w:cs="Times New Roman"/>
          <w:iCs/>
          <w:sz w:val="24"/>
          <w:szCs w:val="24"/>
          <w:lang w:val="en-US" w:eastAsia="ru-RU"/>
        </w:rPr>
      </w:pPr>
    </w:p>
    <w:p w14:paraId="6577A78D" w14:textId="77777777" w:rsidR="00A25D45" w:rsidRPr="00A25D45" w:rsidRDefault="00A25D45" w:rsidP="00A25D45">
      <w:pPr>
        <w:spacing w:after="0" w:line="240" w:lineRule="auto"/>
        <w:jc w:val="both"/>
        <w:rPr>
          <w:rFonts w:ascii="Times New Roman" w:eastAsia="Times New Roman" w:hAnsi="Times New Roman" w:cs="Times New Roman"/>
          <w:i/>
          <w:sz w:val="24"/>
          <w:szCs w:val="24"/>
          <w:lang w:val="en-US" w:eastAsia="ru-RU"/>
        </w:rPr>
      </w:pPr>
    </w:p>
    <w:p w14:paraId="673A6289" w14:textId="1B49EA22" w:rsidR="002E1784" w:rsidRPr="00611F71" w:rsidRDefault="00611F71" w:rsidP="00F71200">
      <w:pPr>
        <w:spacing w:after="0" w:line="240" w:lineRule="auto"/>
        <w:ind w:left="-540" w:firstLine="540"/>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Author Information</w:t>
      </w:r>
    </w:p>
    <w:p w14:paraId="55766E48" w14:textId="77777777" w:rsidR="00A25D45" w:rsidRPr="00A25D45" w:rsidRDefault="00A25D45" w:rsidP="00A25D45">
      <w:pPr>
        <w:spacing w:line="300" w:lineRule="auto"/>
        <w:ind w:left="-567" w:firstLine="567"/>
        <w:rPr>
          <w:rFonts w:ascii="Times New Roman" w:eastAsia="Times New Roman" w:hAnsi="Times New Roman" w:cs="Times New Roman"/>
          <w:sz w:val="24"/>
          <w:szCs w:val="24"/>
          <w:lang w:val="en-US" w:eastAsia="ru-RU"/>
        </w:rPr>
      </w:pPr>
      <w:r w:rsidRPr="00A25D45">
        <w:rPr>
          <w:rFonts w:ascii="Times New Roman" w:eastAsia="Times New Roman" w:hAnsi="Times New Roman" w:cs="Times New Roman"/>
          <w:sz w:val="24"/>
          <w:szCs w:val="24"/>
          <w:lang w:val="en-US" w:eastAsia="ru-RU"/>
        </w:rPr>
        <w:t xml:space="preserve">Ushieva Alina Yusupovna (Russia, Tver) - Master's student, 2nd year, Tver State University (TvSU, 170100, Tver, Zhelyabova str., 33, rector@tversu.ru). </w:t>
      </w:r>
    </w:p>
    <w:p w14:paraId="250E39FC" w14:textId="77777777" w:rsidR="002E1784" w:rsidRPr="00A25D45" w:rsidRDefault="002E1784" w:rsidP="00F71200">
      <w:pPr>
        <w:widowControl w:val="0"/>
        <w:suppressAutoHyphens/>
        <w:spacing w:after="0" w:line="240" w:lineRule="auto"/>
        <w:ind w:left="-540" w:firstLine="540"/>
        <w:jc w:val="both"/>
        <w:rPr>
          <w:rFonts w:ascii="Times New Roman" w:eastAsia="Times New Roman" w:hAnsi="Times New Roman" w:cs="Times New Roman"/>
          <w:sz w:val="24"/>
          <w:szCs w:val="24"/>
          <w:lang w:val="en-US" w:eastAsia="ru-RU"/>
        </w:rPr>
      </w:pPr>
    </w:p>
    <w:p w14:paraId="2DD34487" w14:textId="77777777" w:rsidR="002E1784" w:rsidRPr="00A25D45" w:rsidRDefault="002E1784" w:rsidP="00F71200">
      <w:pPr>
        <w:widowControl w:val="0"/>
        <w:suppressAutoHyphens/>
        <w:spacing w:after="0" w:line="240" w:lineRule="auto"/>
        <w:ind w:left="-540" w:firstLine="540"/>
        <w:jc w:val="both"/>
        <w:rPr>
          <w:rFonts w:ascii="Times New Roman" w:eastAsia="Times New Roman" w:hAnsi="Times New Roman" w:cs="Times New Roman"/>
          <w:sz w:val="24"/>
          <w:szCs w:val="24"/>
          <w:lang w:val="en-US" w:eastAsia="ru-RU"/>
        </w:rPr>
      </w:pPr>
    </w:p>
    <w:p w14:paraId="1CF8A990" w14:textId="77777777" w:rsidR="002E1784" w:rsidRPr="00A25D45" w:rsidRDefault="002E1784" w:rsidP="00F71200">
      <w:pPr>
        <w:widowControl w:val="0"/>
        <w:suppressAutoHyphens/>
        <w:spacing w:after="0" w:line="240" w:lineRule="auto"/>
        <w:ind w:left="-540" w:firstLine="540"/>
        <w:jc w:val="both"/>
        <w:rPr>
          <w:rFonts w:ascii="Times New Roman" w:eastAsia="Times New Roman" w:hAnsi="Times New Roman" w:cs="Times New Roman"/>
          <w:sz w:val="24"/>
          <w:szCs w:val="24"/>
          <w:lang w:val="en-US" w:eastAsia="ru-RU"/>
        </w:rPr>
      </w:pPr>
    </w:p>
    <w:p w14:paraId="0A8DCDD6" w14:textId="77777777" w:rsidR="002E1784" w:rsidRPr="00A25D45" w:rsidRDefault="002E1784" w:rsidP="00F71200">
      <w:pPr>
        <w:widowControl w:val="0"/>
        <w:suppressAutoHyphens/>
        <w:spacing w:after="0" w:line="240" w:lineRule="auto"/>
        <w:ind w:left="-540" w:firstLine="540"/>
        <w:jc w:val="center"/>
        <w:rPr>
          <w:rFonts w:ascii="Times New Roman" w:eastAsia="Times New Roman" w:hAnsi="Times New Roman" w:cs="Times New Roman"/>
          <w:sz w:val="24"/>
          <w:szCs w:val="24"/>
          <w:lang w:val="en-US" w:eastAsia="ru-RU"/>
        </w:rPr>
      </w:pPr>
    </w:p>
    <w:p w14:paraId="7D1E3A05" w14:textId="77777777" w:rsidR="002E1784" w:rsidRPr="00A25D45" w:rsidRDefault="002E1784" w:rsidP="00F71200">
      <w:pPr>
        <w:widowControl w:val="0"/>
        <w:suppressAutoHyphens/>
        <w:spacing w:after="0" w:line="240" w:lineRule="auto"/>
        <w:ind w:left="-540" w:firstLine="540"/>
        <w:jc w:val="center"/>
        <w:rPr>
          <w:rFonts w:ascii="Times New Roman" w:eastAsia="Times New Roman" w:hAnsi="Times New Roman" w:cs="Times New Roman"/>
          <w:sz w:val="24"/>
          <w:szCs w:val="24"/>
          <w:lang w:val="en-US" w:eastAsia="ru-RU"/>
        </w:rPr>
      </w:pPr>
    </w:p>
    <w:p w14:paraId="648AB9F1" w14:textId="77777777" w:rsidR="002E1784" w:rsidRPr="00A25D45" w:rsidRDefault="002E1784" w:rsidP="00F71200">
      <w:pPr>
        <w:spacing w:after="0" w:line="240" w:lineRule="auto"/>
        <w:ind w:left="-540" w:firstLine="540"/>
        <w:jc w:val="center"/>
        <w:rPr>
          <w:rFonts w:ascii="Times New Roman" w:hAnsi="Times New Roman" w:cs="Times New Roman"/>
          <w:b/>
          <w:sz w:val="24"/>
          <w:szCs w:val="24"/>
          <w:lang w:val="en-US"/>
        </w:rPr>
      </w:pPr>
    </w:p>
    <w:p w14:paraId="2323E919" w14:textId="77777777" w:rsidR="002E1784" w:rsidRPr="00A25D45" w:rsidRDefault="002E1784" w:rsidP="00F71200">
      <w:pPr>
        <w:spacing w:after="0" w:line="240" w:lineRule="auto"/>
        <w:ind w:left="-540" w:firstLine="540"/>
        <w:jc w:val="center"/>
        <w:rPr>
          <w:rFonts w:ascii="Times New Roman" w:hAnsi="Times New Roman" w:cs="Times New Roman"/>
          <w:b/>
          <w:sz w:val="24"/>
          <w:szCs w:val="24"/>
          <w:lang w:val="en-US"/>
        </w:rPr>
      </w:pPr>
    </w:p>
    <w:p w14:paraId="77F0B45A" w14:textId="77777777" w:rsidR="00854770" w:rsidRPr="00A25D45" w:rsidRDefault="00854770" w:rsidP="00F71200">
      <w:pPr>
        <w:spacing w:after="0" w:line="240" w:lineRule="auto"/>
        <w:ind w:left="-540" w:firstLine="540"/>
        <w:rPr>
          <w:rFonts w:ascii="Times New Roman" w:hAnsi="Times New Roman" w:cs="Times New Roman"/>
          <w:sz w:val="24"/>
          <w:szCs w:val="24"/>
          <w:lang w:val="en-US"/>
        </w:rPr>
      </w:pPr>
    </w:p>
    <w:sectPr w:rsidR="00854770" w:rsidRPr="00A25D45"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CA838" w14:textId="77777777" w:rsidR="00A04B65" w:rsidRDefault="00A04B65" w:rsidP="00827E82">
      <w:pPr>
        <w:spacing w:after="0" w:line="240" w:lineRule="auto"/>
      </w:pPr>
      <w:r>
        <w:separator/>
      </w:r>
    </w:p>
  </w:endnote>
  <w:endnote w:type="continuationSeparator" w:id="0">
    <w:p w14:paraId="0D189460" w14:textId="77777777" w:rsidR="00A04B65" w:rsidRDefault="00A04B65"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0893A" w14:textId="77777777" w:rsidR="00A04B65" w:rsidRDefault="00A04B65" w:rsidP="00827E82">
      <w:pPr>
        <w:spacing w:after="0" w:line="240" w:lineRule="auto"/>
      </w:pPr>
      <w:r>
        <w:separator/>
      </w:r>
    </w:p>
  </w:footnote>
  <w:footnote w:type="continuationSeparator" w:id="0">
    <w:p w14:paraId="0D674C16" w14:textId="77777777" w:rsidR="00A04B65" w:rsidRDefault="00A04B65"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77BF7"/>
    <w:multiLevelType w:val="hybridMultilevel"/>
    <w:tmpl w:val="D27C6E0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15:restartNumberingAfterBreak="0">
    <w:nsid w:val="24504441"/>
    <w:multiLevelType w:val="hybridMultilevel"/>
    <w:tmpl w:val="9328ED8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B5953"/>
    <w:rsid w:val="00287F75"/>
    <w:rsid w:val="002E1784"/>
    <w:rsid w:val="00353244"/>
    <w:rsid w:val="0044325D"/>
    <w:rsid w:val="00590F6E"/>
    <w:rsid w:val="005F5AF9"/>
    <w:rsid w:val="00611F71"/>
    <w:rsid w:val="00787640"/>
    <w:rsid w:val="007C5690"/>
    <w:rsid w:val="007D79E0"/>
    <w:rsid w:val="00827E82"/>
    <w:rsid w:val="00854770"/>
    <w:rsid w:val="008C75C1"/>
    <w:rsid w:val="00916BF7"/>
    <w:rsid w:val="00A04B65"/>
    <w:rsid w:val="00A25D45"/>
    <w:rsid w:val="00BC155A"/>
    <w:rsid w:val="00EA4672"/>
    <w:rsid w:val="00F712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F71200"/>
    <w:pPr>
      <w:spacing w:after="0" w:line="240" w:lineRule="auto"/>
      <w:ind w:left="720"/>
      <w:contextualSpacing/>
    </w:pPr>
    <w:rPr>
      <w:rFonts w:eastAsiaTheme="minorEastAsia"/>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ector@tversu.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6</Pages>
  <Words>3025</Words>
  <Characters>17244</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Алина Ушиева</cp:lastModifiedBy>
  <cp:revision>8</cp:revision>
  <dcterms:created xsi:type="dcterms:W3CDTF">2022-04-20T10:54:00Z</dcterms:created>
  <dcterms:modified xsi:type="dcterms:W3CDTF">2025-05-12T21:59:00Z</dcterms:modified>
</cp:coreProperties>
</file>