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0056D8B" w14:textId="3B482F95" w:rsidR="004B3E21" w:rsidRPr="009D1100" w:rsidRDefault="00CC04FB" w:rsidP="004B3E21">
      <w:pPr>
        <w:spacing w:line="240" w:lineRule="auto"/>
        <w:ind w:left="-540" w:firstLine="54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D11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331.101.68</w:t>
      </w:r>
      <w:r w:rsidR="002E1784" w:rsidRPr="009D110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/</w:t>
      </w:r>
      <w:r w:rsidR="004B3E21" w:rsidRPr="009D1100">
        <w:rPr>
          <w:rFonts w:ascii="Verdana" w:eastAsia="Times New Roman" w:hAnsi="Verdana" w:cs="Times New Roman"/>
          <w:b/>
          <w:bCs/>
          <w:color w:val="444444"/>
          <w:sz w:val="24"/>
          <w:szCs w:val="24"/>
          <w:lang w:eastAsia="ru-RU"/>
        </w:rPr>
        <w:t xml:space="preserve"> </w:t>
      </w:r>
      <w:r w:rsidR="004B3E21" w:rsidRPr="009D1100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65.050</w:t>
      </w:r>
    </w:p>
    <w:p w14:paraId="6606ABEB" w14:textId="2487FD19" w:rsidR="002E1784" w:rsidRPr="002E1784" w:rsidRDefault="00CC04FB" w:rsidP="004B3E21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>Третьякова Л. А.</w:t>
      </w:r>
    </w:p>
    <w:p w14:paraId="3F99DF18" w14:textId="38DB0B3E" w:rsidR="002E1784" w:rsidRPr="00CB070D" w:rsidRDefault="00CC04FB" w:rsidP="00CB070D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ОСОБЕННОСТИ ТРУДОВЫХ </w:t>
      </w:r>
      <w:r w:rsidR="00AA6E7F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ПРОЦЕССОВ В </w:t>
      </w:r>
      <w:r w:rsidR="00AA6E7F" w:rsidRPr="00CC04FB">
        <w:rPr>
          <w:rFonts w:ascii="Times New Roman" w:eastAsia="Times New Roman" w:hAnsi="Times New Roman" w:cs="Times New Roman"/>
          <w:b/>
          <w:sz w:val="24"/>
          <w:lang w:eastAsia="ru-RU"/>
        </w:rPr>
        <w:t>Н</w:t>
      </w:r>
      <w:bookmarkStart w:id="0" w:name="_GoBack"/>
      <w:bookmarkEnd w:id="0"/>
      <w:r w:rsidR="00AA6E7F" w:rsidRPr="00CC04FB">
        <w:rPr>
          <w:rFonts w:ascii="Times New Roman" w:eastAsia="Times New Roman" w:hAnsi="Times New Roman" w:cs="Times New Roman"/>
          <w:b/>
          <w:sz w:val="24"/>
          <w:lang w:eastAsia="ru-RU"/>
        </w:rPr>
        <w:t>АУКОЁМКИХ</w:t>
      </w:r>
      <w:r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РЕГИОНАЛЬНО-ОТРАСЛЕВЫХ КОМПЛЕКСАХ</w:t>
      </w:r>
    </w:p>
    <w:p w14:paraId="1355C7DA" w14:textId="77777777" w:rsidR="00CB070D" w:rsidRDefault="00CB070D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97557E6" w14:textId="71462325" w:rsidR="002E1784" w:rsidRPr="002E1784" w:rsidRDefault="002E1784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 статьи на русском языке</w:t>
      </w:r>
      <w:r w:rsidR="00CB070D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В данной статье рассмотрены особенности </w:t>
      </w:r>
      <w:r w:rsidR="00AA6E7F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трудовых 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>процессов</w:t>
      </w:r>
      <w:r w:rsidR="00AA6E7F">
        <w:rPr>
          <w:rFonts w:ascii="Times New Roman" w:eastAsia="Times New Roman" w:hAnsi="Times New Roman" w:cs="Times New Roman"/>
          <w:iCs/>
          <w:sz w:val="24"/>
          <w:lang w:eastAsia="ru-RU"/>
        </w:rPr>
        <w:t>, обеспечивающих системное повышение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производительности труда</w:t>
      </w:r>
      <w:r w:rsidR="00AA6E7F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в наукоёмких регионально-отраслевых </w:t>
      </w:r>
      <w:r w:rsidR="00DE7D31">
        <w:rPr>
          <w:rFonts w:ascii="Times New Roman" w:eastAsia="Times New Roman" w:hAnsi="Times New Roman" w:cs="Times New Roman"/>
          <w:iCs/>
          <w:sz w:val="24"/>
          <w:lang w:eastAsia="ru-RU"/>
        </w:rPr>
        <w:t>комплексах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. Выделены несколько существенных характеристик процесса труда и представлены тенденции развития трудовой деятельности на </w:t>
      </w:r>
      <w:r w:rsidR="00DE7D31">
        <w:rPr>
          <w:rFonts w:ascii="Times New Roman" w:eastAsia="Times New Roman" w:hAnsi="Times New Roman" w:cs="Times New Roman"/>
          <w:iCs/>
          <w:sz w:val="24"/>
          <w:lang w:eastAsia="ru-RU"/>
        </w:rPr>
        <w:t>наукоёмких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производствах. Определены системные направления государственного регулирования обеспечения устойчивой динамики роста производительности труда </w:t>
      </w:r>
      <w:r w:rsidR="00DE7D31" w:rsidRPr="00DE7D31">
        <w:rPr>
          <w:rFonts w:ascii="Times New Roman" w:eastAsia="Times New Roman" w:hAnsi="Times New Roman" w:cs="Times New Roman"/>
          <w:iCs/>
          <w:sz w:val="24"/>
          <w:lang w:eastAsia="ru-RU"/>
        </w:rPr>
        <w:t>в наукоёмких регионально-отраслевых комплексах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35B9F8D5" w14:textId="0B9BD1C8" w:rsidR="002E1784" w:rsidRPr="002E1784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 слова на русском языке</w:t>
      </w:r>
      <w:r w:rsidR="00C0695E">
        <w:rPr>
          <w:rFonts w:ascii="Times New Roman" w:eastAsia="Times New Roman" w:hAnsi="Times New Roman" w:cs="Times New Roman"/>
          <w:b/>
          <w:sz w:val="24"/>
          <w:lang w:eastAsia="ru-RU"/>
        </w:rPr>
        <w:t>: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C0695E">
        <w:rPr>
          <w:rFonts w:ascii="Times New Roman" w:eastAsia="Times New Roman" w:hAnsi="Times New Roman" w:cs="Times New Roman"/>
          <w:sz w:val="24"/>
          <w:lang w:eastAsia="ru-RU"/>
        </w:rPr>
        <w:t>т</w:t>
      </w:r>
      <w:r w:rsidR="00C0695E" w:rsidRPr="00C0695E">
        <w:rPr>
          <w:rFonts w:ascii="Times New Roman" w:eastAsia="Times New Roman" w:hAnsi="Times New Roman" w:cs="Times New Roman"/>
          <w:sz w:val="24"/>
          <w:lang w:eastAsia="ru-RU"/>
        </w:rPr>
        <w:t>рудовые процессы,</w:t>
      </w:r>
      <w:r w:rsidR="00C0695E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="00C0695E">
        <w:rPr>
          <w:rFonts w:ascii="Times New Roman" w:eastAsia="Times New Roman" w:hAnsi="Times New Roman" w:cs="Times New Roman"/>
          <w:iCs/>
          <w:sz w:val="24"/>
          <w:lang w:eastAsia="ru-RU"/>
        </w:rPr>
        <w:t>п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роизводительность труда, трудовые ресурсы, </w:t>
      </w:r>
      <w:r w:rsidR="00C0695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наукоёмкость, </w:t>
      </w:r>
      <w:r w:rsidR="00C0695E" w:rsidRPr="00C0695E">
        <w:rPr>
          <w:rFonts w:ascii="Times New Roman" w:eastAsia="Times New Roman" w:hAnsi="Times New Roman" w:cs="Times New Roman"/>
          <w:iCs/>
          <w:sz w:val="24"/>
          <w:lang w:eastAsia="ru-RU"/>
        </w:rPr>
        <w:t>р</w:t>
      </w:r>
      <w:r w:rsidR="00C0695E">
        <w:rPr>
          <w:rFonts w:ascii="Times New Roman" w:eastAsia="Times New Roman" w:hAnsi="Times New Roman" w:cs="Times New Roman"/>
          <w:iCs/>
          <w:sz w:val="24"/>
          <w:lang w:eastAsia="ru-RU"/>
        </w:rPr>
        <w:t>егионально-отраслевые комплексы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>, инновации,</w:t>
      </w:r>
      <w:r w:rsidR="00C0695E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 государственное регулирование</w:t>
      </w:r>
      <w:r w:rsidRPr="002E1784">
        <w:rPr>
          <w:rFonts w:ascii="Times New Roman" w:eastAsia="Times New Roman" w:hAnsi="Times New Roman" w:cs="Times New Roman"/>
          <w:iCs/>
          <w:sz w:val="24"/>
          <w:lang w:eastAsia="ru-RU"/>
        </w:rPr>
        <w:t>.</w:t>
      </w:r>
    </w:p>
    <w:p w14:paraId="01CA6CCA" w14:textId="77777777" w:rsidR="00CB070D" w:rsidRDefault="00CB070D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7677361D" w14:textId="24B0FE71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В современных условиях уплотнения инновационной диффузии в развитие отраслей и комплексов необходимо учитывать особенности труда </w:t>
      </w:r>
      <w:r w:rsidR="00886060" w:rsidRPr="00886060">
        <w:rPr>
          <w:rFonts w:ascii="Times New Roman" w:eastAsia="Times New Roman" w:hAnsi="Times New Roman" w:cs="Times New Roman"/>
          <w:sz w:val="24"/>
          <w:lang w:eastAsia="ru-RU"/>
        </w:rPr>
        <w:t xml:space="preserve">в наукоёмких регионально-отраслевых комплексах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в условиях цифровой трансформации, роботизации и внедрения искусственного интеллекта. Эти факторы имеют существенное влияние на уровень </w:t>
      </w:r>
      <w:r w:rsidR="00886060">
        <w:rPr>
          <w:rFonts w:ascii="Times New Roman" w:eastAsia="Times New Roman" w:hAnsi="Times New Roman" w:cs="Times New Roman"/>
          <w:sz w:val="24"/>
          <w:lang w:eastAsia="ru-RU"/>
        </w:rPr>
        <w:t xml:space="preserve">развития экономики территорий,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за</w:t>
      </w:r>
      <w:r w:rsidR="00886060">
        <w:rPr>
          <w:rFonts w:ascii="Times New Roman" w:eastAsia="Times New Roman" w:hAnsi="Times New Roman" w:cs="Times New Roman"/>
          <w:sz w:val="24"/>
          <w:lang w:eastAsia="ru-RU"/>
        </w:rPr>
        <w:t>нятость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 и доходы населения, кроме того, являются определяющими при стратегическом планировании развития ключевых направлений подготовки в системе высшего и среднего специального образования. </w:t>
      </w:r>
    </w:p>
    <w:p w14:paraId="5663FF21" w14:textId="24C24FB2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Для системной работы по повышению производительности труда </w:t>
      </w:r>
      <w:r w:rsidR="00886060" w:rsidRPr="00886060">
        <w:rPr>
          <w:rFonts w:ascii="Times New Roman" w:eastAsia="Times New Roman" w:hAnsi="Times New Roman" w:cs="Times New Roman"/>
          <w:sz w:val="24"/>
          <w:lang w:eastAsia="ru-RU"/>
        </w:rPr>
        <w:t>в наукоёмких регионально-отраслевых комплексах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 требуется научно обоснованный многокомпонентный анализ ключевых изменений в профессиональных требованиях и компетентностном содержании к трудовым ресурсам, обоснование влияния автоматизации на рынок труда, а также всестороннее исследование социальных и экономических аспектов занятости в этой сфере [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; 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>3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]. Все эти инструментальные протоколы позволят обозначить перспективы адаптации работников к новым условиям, включая необходимость непрерывного обучения и развития компетенций.</w:t>
      </w:r>
    </w:p>
    <w:p w14:paraId="553F73EC" w14:textId="72BE3A59" w:rsidR="00CB070D" w:rsidRPr="00CB070D" w:rsidRDefault="00886060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Наукоёмкие регионально-отраслевые комплексы</w:t>
      </w:r>
      <w:r w:rsidRPr="00886060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B070D"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– это </w:t>
      </w:r>
      <w:r w:rsidR="00704ADB">
        <w:rPr>
          <w:rFonts w:ascii="Times New Roman" w:eastAsia="Times New Roman" w:hAnsi="Times New Roman" w:cs="Times New Roman"/>
          <w:sz w:val="24"/>
          <w:lang w:eastAsia="ru-RU"/>
        </w:rPr>
        <w:t>система</w:t>
      </w:r>
      <w:r w:rsidR="00276FFC">
        <w:rPr>
          <w:rFonts w:ascii="Times New Roman" w:eastAsia="Times New Roman" w:hAnsi="Times New Roman" w:cs="Times New Roman"/>
          <w:sz w:val="24"/>
          <w:lang w:eastAsia="ru-RU"/>
        </w:rPr>
        <w:t xml:space="preserve"> ведения производственной деятельности территории</w:t>
      </w:r>
      <w:r w:rsidR="00CB070D"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, основанная на передовых технологиях, автоматизированных </w:t>
      </w:r>
      <w:r w:rsidR="00704ADB">
        <w:rPr>
          <w:rFonts w:ascii="Times New Roman" w:eastAsia="Times New Roman" w:hAnsi="Times New Roman" w:cs="Times New Roman"/>
          <w:sz w:val="24"/>
          <w:lang w:eastAsia="ru-RU"/>
        </w:rPr>
        <w:t>протоколах построения производственных отношений</w:t>
      </w:r>
      <w:r w:rsidR="00CB070D"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 и инновационных методах управления. </w:t>
      </w:r>
      <w:r w:rsidR="00B1532E">
        <w:rPr>
          <w:rFonts w:ascii="Times New Roman" w:eastAsia="Times New Roman" w:hAnsi="Times New Roman" w:cs="Times New Roman"/>
          <w:sz w:val="24"/>
          <w:lang w:eastAsia="ru-RU"/>
        </w:rPr>
        <w:t>Содержательно,</w:t>
      </w:r>
      <w:r w:rsidR="00B1532E" w:rsidRPr="00B1532E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B1532E">
        <w:rPr>
          <w:rFonts w:ascii="Times New Roman" w:eastAsia="Times New Roman" w:hAnsi="Times New Roman" w:cs="Times New Roman"/>
          <w:sz w:val="24"/>
          <w:lang w:eastAsia="ru-RU"/>
        </w:rPr>
        <w:t>наукоёмкие регионально-отраслевые комплексы могут включать</w:t>
      </w:r>
      <w:r w:rsidR="00CB070D"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 такие отрасли, как микроэлектроника, биотехнологии, авиационная и космическая промышленность, робототехника и нано технологии, и, надо отметить, что в рамках технологической сингулярности количество отраслей с высокотехнологичным профилем производства растет [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>1</w:t>
      </w:r>
      <w:r w:rsidR="00CB070D" w:rsidRPr="00CB070D">
        <w:rPr>
          <w:rFonts w:ascii="Times New Roman" w:eastAsia="Times New Roman" w:hAnsi="Times New Roman" w:cs="Times New Roman"/>
          <w:sz w:val="24"/>
          <w:lang w:eastAsia="ru-RU"/>
        </w:rPr>
        <w:t>]. С развитием индустрии 4.0 меняется не только структура производства, но и требования к трудовым ресурсам в формате не только их компетенций, но и степени адаптивности к изменяющемуся внутреннему и внешнему контуру производственной деятельности</w:t>
      </w:r>
      <w:r w:rsidR="00B1532E">
        <w:rPr>
          <w:rFonts w:ascii="Times New Roman" w:eastAsia="Times New Roman" w:hAnsi="Times New Roman" w:cs="Times New Roman"/>
          <w:sz w:val="24"/>
          <w:lang w:eastAsia="ru-RU"/>
        </w:rPr>
        <w:t xml:space="preserve"> в контексте качественных и количественных характеристик ресурсного потенциала территории</w:t>
      </w:r>
      <w:r w:rsidR="00CB070D" w:rsidRPr="00CB070D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7E4F03E4" w14:textId="180B6501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На современном этапе экономического развития для разработки превентивных мер реагирования на изменения условий производственной деятельности необходимо своевременно и полном объёме анализировать оперативные изменения в трудовой деятельности </w:t>
      </w:r>
      <w:r w:rsidR="00B1532E" w:rsidRPr="00B1532E">
        <w:rPr>
          <w:rFonts w:ascii="Times New Roman" w:eastAsia="Times New Roman" w:hAnsi="Times New Roman" w:cs="Times New Roman"/>
          <w:sz w:val="24"/>
          <w:lang w:eastAsia="ru-RU"/>
        </w:rPr>
        <w:t>в наукоёмких регионально-отраслевых комплексах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, выявлять основные вызовы и разрабатывать стратегии адаптации работников к новым условиям.</w:t>
      </w:r>
    </w:p>
    <w:p w14:paraId="385535E5" w14:textId="29D762C2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С точки зрения изучения </w:t>
      </w:r>
      <w:r w:rsidR="00B1532E">
        <w:rPr>
          <w:rFonts w:ascii="Times New Roman" w:eastAsia="Times New Roman" w:hAnsi="Times New Roman" w:cs="Times New Roman"/>
          <w:sz w:val="24"/>
          <w:lang w:eastAsia="ru-RU"/>
        </w:rPr>
        <w:t>трудовых процессов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B1532E" w:rsidRPr="00B1532E">
        <w:rPr>
          <w:rFonts w:ascii="Times New Roman" w:eastAsia="Times New Roman" w:hAnsi="Times New Roman" w:cs="Times New Roman"/>
          <w:sz w:val="24"/>
          <w:lang w:eastAsia="ru-RU"/>
        </w:rPr>
        <w:t xml:space="preserve">в наукоёмких регионально-отраслевых комплексах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надо выделить несколько существенных особенностей 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>[1; 2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]:</w:t>
      </w:r>
    </w:p>
    <w:p w14:paraId="3801539B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1.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Высокая степень автоматизации. Роботизированные системы заменяют рутинные операции, что требует от сотрудников навыков программирования, анализа данных и работы с искусственным интеллектом.</w:t>
      </w:r>
    </w:p>
    <w:p w14:paraId="25F12ABE" w14:textId="34FF4E8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2.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 xml:space="preserve">Новые профессиональные требования. В отличие от традиционного производства, сотрудники </w:t>
      </w:r>
      <w:r w:rsidR="00B1532E">
        <w:rPr>
          <w:rFonts w:ascii="Times New Roman" w:eastAsia="Times New Roman" w:hAnsi="Times New Roman" w:cs="Times New Roman"/>
          <w:sz w:val="24"/>
          <w:lang w:eastAsia="ru-RU"/>
        </w:rPr>
        <w:t xml:space="preserve">наукоёмких производств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должны обладать знаниями в смежных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lastRenderedPageBreak/>
        <w:t>дисциплинах, владеть цифровыми инструментами и уметь работать в междисциплинарных командах.</w:t>
      </w:r>
    </w:p>
    <w:p w14:paraId="30016ECD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3.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Изменение структуры занятости. Уменьшается спрос на неквалифицированный труд, а потребность в инженерах, аналитиках данных и IT-специалистах растёт.</w:t>
      </w:r>
    </w:p>
    <w:p w14:paraId="420475A8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4.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Гибкость и непрерывное обучение. Технологии быстро устаревают, поэтому работники должны постоянно повышать квалификацию.</w:t>
      </w:r>
    </w:p>
    <w:p w14:paraId="402276F0" w14:textId="486778A6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Надо отметить, что анализ статистических данных, отражающих социальные и экономические аспекты труда </w:t>
      </w:r>
      <w:r w:rsidR="00B1532E" w:rsidRPr="00B1532E">
        <w:rPr>
          <w:rFonts w:ascii="Times New Roman" w:eastAsia="Times New Roman" w:hAnsi="Times New Roman" w:cs="Times New Roman"/>
          <w:sz w:val="24"/>
          <w:lang w:eastAsia="ru-RU"/>
        </w:rPr>
        <w:t xml:space="preserve">в наукоёмких регионально-отраслевых комплексах </w:t>
      </w:r>
      <w:r w:rsidR="00B1532E" w:rsidRPr="00CB070D">
        <w:rPr>
          <w:rFonts w:ascii="Times New Roman" w:eastAsia="Times New Roman" w:hAnsi="Times New Roman" w:cs="Times New Roman"/>
          <w:sz w:val="24"/>
          <w:lang w:eastAsia="ru-RU"/>
        </w:rPr>
        <w:t>России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, показывает следующие тенденции развития трудовой деятельности 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>[3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; 4]:</w:t>
      </w:r>
    </w:p>
    <w:p w14:paraId="0F7862AD" w14:textId="3F6CF635" w:rsidR="00CB070D" w:rsidRPr="00CB070D" w:rsidRDefault="00CB070D" w:rsidP="00374BD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1. Рост уровня заработной платы. Анализ летних данных 2024 года показывает, что средняя предлагаемая зарплата в промышленном секторе России составила 77603 рубля в месяц, что на 26% больше по сравнению с аналогичным периодом 2023 года. Наиболее высокооплачиваемыми направлениями стали: производство промышленного оборудования и станков: 128728 рублей в месяц (рост на 82% по сравнению с 2023 годом); добыча и переработка угля, руд и полезных ископаемых: 111808 рублей в месяц; тяжелое машиностроение: 103617 рублей в месяц [3, с.55; 4, с.80]. Эти данные свидетельствуют о высокой потребности работодателей в квалифицированных кадрах и готовности предлагать конкурентоспособные условия труда.  </w:t>
      </w:r>
    </w:p>
    <w:p w14:paraId="5A91D35D" w14:textId="51CB0AB0" w:rsidR="00CB070D" w:rsidRPr="00CB070D" w:rsidRDefault="00CB070D" w:rsidP="00374BD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2. Изменение структуры занятости и влияние автоматизации.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Согласно исследованию Центра трудовых исследований ВШЭ, автоматизация и цифровизация могут привести к сокращению рабочих мест, особенно среди специалистов средней квалификации, выполняющих рутинные задачи. В частности, 11% российских сотрудников могут потерять работу из-за компьютеризации и цифровизации. Уязвимыми перед автоматизацией окажутся специалисты средней квалификации с рутинными задачами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 xml:space="preserve"> [4; 5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]. </w:t>
      </w:r>
    </w:p>
    <w:p w14:paraId="2766719A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Однако данные тенденции нельзя считать негативными. В процессе работы пакет задач может меняться, на место рутинных действий будут приходить нестандартные, и наоборот. Каждая профессия представляет собой сложный пучок разных задач. Они могут меняться или даже исчезать (например, в результате автоматизации), но исчезновение одной или даже нескольких задач не означает исчезновения всей профессии на рынке труда. Поэтому многие прогнозы технологической безработицы в результате автоматизации и роботизации оказываются малообоснованными. Инновационные процессы на производстве определяют изменение матричной структуры профессиональных профилей, не исключая сохранение профессионального компетентностного ядра. </w:t>
      </w:r>
    </w:p>
    <w:p w14:paraId="275C7B14" w14:textId="2EEE9C7B" w:rsidR="00CB070D" w:rsidRPr="00CB070D" w:rsidRDefault="00CB070D" w:rsidP="00374BD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3. Неравенство в доступе к технологиям.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Автоматизация и цифровизация могут усилить неравенство между различными категориями работников. Специалисты с высокими цифровыми компетенциями становятся более востребованными и получают более высокую оплату труда, в то время как сотрудники, выполняющие рутинные задачи, сталкиваются с риском вытеснения и снижением доходов. Это подчеркивает необходимость инвестиций в образование и переподготовку кадров для обеспечения их конкурентоспособности на современном рынке труда.</w:t>
      </w:r>
    </w:p>
    <w:p w14:paraId="21EA815D" w14:textId="3E5D4FC1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Эти данные иллюстрируют текущие тенденции и вызовы, связанные с трудом </w:t>
      </w:r>
      <w:r w:rsidR="00374BD7" w:rsidRPr="00374BD7">
        <w:rPr>
          <w:rFonts w:ascii="Times New Roman" w:eastAsia="Times New Roman" w:hAnsi="Times New Roman" w:cs="Times New Roman"/>
          <w:sz w:val="24"/>
          <w:lang w:eastAsia="ru-RU"/>
        </w:rPr>
        <w:t>в наукоёмких регионально-отраслевых комплексах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374BD7" w:rsidRPr="00CB070D">
        <w:rPr>
          <w:rFonts w:ascii="Times New Roman" w:eastAsia="Times New Roman" w:hAnsi="Times New Roman" w:cs="Times New Roman"/>
          <w:sz w:val="24"/>
          <w:lang w:eastAsia="ru-RU"/>
        </w:rPr>
        <w:t>России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, и подчеркивают важность адаптации работников к быстро меняющимся условиям рынка труда.</w:t>
      </w:r>
    </w:p>
    <w:p w14:paraId="3C71911F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4. Влияние автоматизации и цифровизации на рынок труда.</w:t>
      </w:r>
    </w:p>
    <w:p w14:paraId="5B9888E9" w14:textId="20476E55" w:rsidR="00CB070D" w:rsidRPr="00CB070D" w:rsidRDefault="00CB070D" w:rsidP="00374BD7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Автоматизация приводит к трансформации рынка труда: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 xml:space="preserve"> с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нижается потребность в ручном труде. По данным McKinsey, до 30% рабочих мест в производственном секторе могут исчезнуть к 2035 году из-за внедрения роботов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>; в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озникают новые профессии: инженер по робототехнике, специалист по искусственн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>ому интеллекту, аналитик данных; т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ребуется переобучение кадров. Сотрудники должны осваивать новые технологии, чтобы оставаться конкурентоспособными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>[3; 4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374BD7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Однако автоматизация также создаёт новые рабочие места и способствует повышению производительности труда. Например, роботизированные линии требуют операторов, инженеров по обслуживанию и разработчиков программного обеспечения.</w:t>
      </w:r>
    </w:p>
    <w:p w14:paraId="05C941B1" w14:textId="1A835BAD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5. Социальные и экономические аспекты труда </w:t>
      </w:r>
      <w:r w:rsidR="00287A94" w:rsidRPr="00287A94">
        <w:rPr>
          <w:rFonts w:ascii="Times New Roman" w:eastAsia="Times New Roman" w:hAnsi="Times New Roman" w:cs="Times New Roman"/>
          <w:sz w:val="24"/>
          <w:lang w:eastAsia="ru-RU"/>
        </w:rPr>
        <w:t>в наукоёмких регионально-отраслевых комплексах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0BC59970" w14:textId="2F66C98C" w:rsidR="00CB070D" w:rsidRPr="00CB070D" w:rsidRDefault="00CB070D" w:rsidP="00287A9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lastRenderedPageBreak/>
        <w:t>Высокотехнологичные производства оказывают значительное влияние на социально-экономическую сферу: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 xml:space="preserve"> р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ост уровня заработной платы. Работники, обладающие цифровыми компетенциями, полу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>чают более высокую оплату труда; изменение рабочих условий; н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еравенство в доступе к технологиям. Возрастает разрыв между квалифицированными и неквалифицированными работниками, что может приводить к росту безработицы среди низкоквалифицированного персонала.</w:t>
      </w:r>
    </w:p>
    <w:p w14:paraId="369C0A32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6. Перспективы и стратегии адаптации работников.</w:t>
      </w:r>
    </w:p>
    <w:p w14:paraId="1B3FF5F6" w14:textId="6123B8A4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Для успешной адаптации к изменениям на рынке труда и системному росту производительности труда необходимо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 xml:space="preserve"> [5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]:</w:t>
      </w:r>
    </w:p>
    <w:p w14:paraId="7FCB9104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1.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Развитие системы непрерывного обучения. Введение программ переквалификации, курсов по цифровым технологиям и гибким навыкам.</w:t>
      </w:r>
    </w:p>
    <w:p w14:paraId="3F873E90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2.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Интеграция искусственного интеллекта в процесс управления персоналом. Использование искусственного интеллекта для персонализированного обучения и подбора оптимальных карьерных траекторий.</w:t>
      </w:r>
    </w:p>
    <w:p w14:paraId="4277FABF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3.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Государственная поддержка. Развитие программ содействия занятости, налоговые льготы для предприятий, внедряющих образовательные инициативы.</w:t>
      </w:r>
    </w:p>
    <w:p w14:paraId="0FDB4276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4.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ab/>
        <w:t>Создание новых рабочих мест. Развитие сфер, связанных с обслуживанием и программированием автоматизированных систем.</w:t>
      </w:r>
    </w:p>
    <w:p w14:paraId="699170DF" w14:textId="326F5CCC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Рассматривая особенности труда </w:t>
      </w:r>
      <w:r w:rsidR="00287A94" w:rsidRPr="00287A94">
        <w:rPr>
          <w:rFonts w:ascii="Times New Roman" w:eastAsia="Times New Roman" w:hAnsi="Times New Roman" w:cs="Times New Roman"/>
          <w:sz w:val="24"/>
          <w:lang w:eastAsia="ru-RU"/>
        </w:rPr>
        <w:t>в наукоёмких регионально-отраслевых комплексах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, необходимо учитывать, что именно инновационные решения являются инструментом роста производительности труда. При этом производительность труда является главным и ключевым фактором экономического роста и обеспечения конкурентоспособности государства. Ее повышение требует комплексных мер, включающих как внутренние управленческие стратегии предприятий, так и государственное регулирование [6]. Государственные меры направлены на создание благоприятной макроэкономической среды, стимулирование технологического развития, улучшение системы образования и занятости, а также на совершенствование институциональной базы.</w:t>
      </w:r>
    </w:p>
    <w:p w14:paraId="0BA40A35" w14:textId="26723A35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Основные направления государственного регулирования обеспечения устойчивой динамики роста производительности труда </w:t>
      </w:r>
      <w:r w:rsidR="00287A94" w:rsidRPr="00287A94">
        <w:rPr>
          <w:rFonts w:ascii="Times New Roman" w:eastAsia="Times New Roman" w:hAnsi="Times New Roman" w:cs="Times New Roman"/>
          <w:sz w:val="24"/>
          <w:lang w:eastAsia="ru-RU"/>
        </w:rPr>
        <w:t xml:space="preserve">в наукоёмких регионально-отраслевых комплексах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включают:</w:t>
      </w:r>
    </w:p>
    <w:p w14:paraId="2F285C03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1. Развитие и модернизация производственной инфраструктуры. Государство играет важную роль в обеспечении предприятий современными технологическими ресурсами, в том числе: инвестиции в транспортную, энергетическую и цифровую инфраструктуру; программы субсидирования приобретения современных технологий и оборудования; развитие промышленных кластеров и технопарков.</w:t>
      </w:r>
    </w:p>
    <w:p w14:paraId="3A5EA0E1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2. Стимулирование инноваций и цифровизации. Государственное регулирование способствует внедрению новых технологий, что напрямую влияет на производительность труда. Основные меры включают: налоговые льготы для предприятий, инвестирующих в исследования и разработки (R&amp;D); программы поддержки малых и средних инновационных предприятий; внедрение искусственного интеллекта, автоматизации и «умного» производства в ключевые отрасли экономики.</w:t>
      </w:r>
    </w:p>
    <w:p w14:paraId="5B4E9DA5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3. Совершенствование трудового законодательства и условий труда.</w:t>
      </w:r>
    </w:p>
    <w:p w14:paraId="7202AED6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Эффективная государственная политика должна обеспечивать баланс между защитой прав работников и гибкостью трудовых отношений: развитие системы дистанционной занятости; стимулирование гибких форм занятости (гибкий график, проектная работа); программы повышения безопасности труда и охраны здоровья.</w:t>
      </w:r>
    </w:p>
    <w:p w14:paraId="6BFA3729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4. Образование и развитие человеческого капитала.</w:t>
      </w:r>
    </w:p>
    <w:p w14:paraId="7922FDA0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Качество рабочей силы является критическим фактором роста производительности. Государство реализует меры по: развитию системы профессионального образования и переподготовки кадров; созданию партнерств между университетами и бизнесом; внедрению дуального образования (сочетание обучения и практики на предприятии).</w:t>
      </w:r>
    </w:p>
    <w:p w14:paraId="4E68EC51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5. Развитие системы мотивации и стимулирования работников.</w:t>
      </w:r>
    </w:p>
    <w:p w14:paraId="2A3ECFBF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lastRenderedPageBreak/>
        <w:t>Производительность труда зависит от заинтересованности работников в конечных результатах. В этом направлении государство реализует следующие инициативные решения: поддерживает программы корпоративного участия (например, распределение прибыли среди сотрудников); обеспечивает регламентационное сопровождение внедрения механизмов нематериальной мотивации (профессиональные конкурсы, признание достижений); стимулирует развитие системы социального партнерства между работодателями и профсоюзами.</w:t>
      </w:r>
    </w:p>
    <w:p w14:paraId="46B49094" w14:textId="77777777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6. Государственная политика в сфере налогообложения и финансирования. Фискальная политика также влияет на производительность труда. Государство может: снижать налоговую нагрузку для высокотехнологичных предприятий; предоставлять льготные кредиты и гранты на модернизацию производства; использовать государственные заказы как инструмент стимулирования производительности.</w:t>
      </w:r>
    </w:p>
    <w:p w14:paraId="181B4E77" w14:textId="7547C331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>Государственное регулирование производительности труда требует системного подхода, включающего экономические, социальные и технологические меры. Эффективная политика в этой сфере способствует устойчивому экономическому развитию, повышению конкурентоспособности страны, включая высокотехнологичные производства и улучшению качества жизни населения [7]. С точки зрения стратегического планирования важно обеспечить разработку и реализацию многовекторных инструментально-технологических протоколов повышения производительности труда для конкретных регионально-отраслевых комплексов с учетом не только качественных и количественных характеристик ресурсного потенциала, и, в больше степени, с детальной проработкой регламентационных инструментов в рамках нормативно-правового поля.</w:t>
      </w:r>
    </w:p>
    <w:p w14:paraId="6A9DF6C2" w14:textId="7F26062B" w:rsidR="00CB070D" w:rsidRPr="00CB070D" w:rsidRDefault="00CB070D" w:rsidP="00CB070D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Резюмируя, надо отметить, что 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>наукоёмкие регионально-отраслевые комплексы</w:t>
      </w:r>
      <w:r w:rsidR="00287A94" w:rsidRPr="00287A9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определяют будущее экономики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 xml:space="preserve"> территорий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, повышая эффективность труда и создавая новые профессиональные возможности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 xml:space="preserve"> для населения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. Однако эти изменения требуют от работников гибкости, готовности к обучению и освоению новых технологий. Только комплексный подход, включающий реформу образования, поддержку со стороны государства и адаптацию бизнеса, позволит минимизировать риски 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 xml:space="preserve">инновационной диффузии </w:t>
      </w:r>
      <w:r w:rsidR="00A1797C">
        <w:rPr>
          <w:rFonts w:ascii="Times New Roman" w:eastAsia="Times New Roman" w:hAnsi="Times New Roman" w:cs="Times New Roman"/>
          <w:sz w:val="24"/>
          <w:lang w:eastAsia="ru-RU"/>
        </w:rPr>
        <w:t>в</w:t>
      </w:r>
      <w:r w:rsidR="00A1797C" w:rsidRPr="00287A94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A1797C" w:rsidRPr="00B1532E">
        <w:rPr>
          <w:rFonts w:ascii="Times New Roman" w:eastAsia="Times New Roman" w:hAnsi="Times New Roman" w:cs="Times New Roman"/>
          <w:sz w:val="24"/>
          <w:lang w:eastAsia="ru-RU"/>
        </w:rPr>
        <w:t>регионально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>-отраслевые комплексы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 xml:space="preserve"> и обеспечить гармоничное развитие трудового рынка</w:t>
      </w:r>
      <w:r w:rsidR="00287A94">
        <w:rPr>
          <w:rFonts w:ascii="Times New Roman" w:eastAsia="Times New Roman" w:hAnsi="Times New Roman" w:cs="Times New Roman"/>
          <w:sz w:val="24"/>
          <w:lang w:eastAsia="ru-RU"/>
        </w:rPr>
        <w:t xml:space="preserve"> территорий с формированием устойчивого контура занятости</w:t>
      </w:r>
      <w:r w:rsidRPr="00CB070D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692BE86A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54801F8B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4316B500" w14:textId="77777777" w:rsidR="00A1797C" w:rsidRPr="00A1797C" w:rsidRDefault="00A1797C" w:rsidP="00CB070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>Жигунова А.В., Горьковенко Н.А.</w:t>
      </w:r>
      <w:r w:rsidRPr="00A1797C">
        <w:rPr>
          <w:rFonts w:ascii="Times New Roman" w:eastAsia="Times New Roman" w:hAnsi="Times New Roman" w:cs="Times New Roman"/>
          <w:i/>
          <w:iCs/>
          <w:sz w:val="24"/>
          <w:lang w:eastAsia="ru-RU"/>
        </w:rPr>
        <w:t> </w:t>
      </w: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Развитие цифровой экономики как условие обеспечения информационной безопасности и противодействия коррупционным процессам // Научное обозрение: теория и практика. – 2021. – Т. 11. – № 1 (81). – С. 44–55. </w:t>
      </w:r>
    </w:p>
    <w:p w14:paraId="7A8A1C5E" w14:textId="592A8B1A" w:rsidR="00A1797C" w:rsidRPr="00A1797C" w:rsidRDefault="00A1797C" w:rsidP="00CB070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Бабич О.В. Региональное управление и развитие территорий в условиях цифровой экономики: учеб. пособие / О.В. Бабич, И.В. Игольникова, И.А. Матюшкина, Л.С. Митюченко, О.М. Михалева. – Курск: Изд-во ЗАО «Университетская книга», 2023. – 239 с. </w:t>
      </w:r>
    </w:p>
    <w:p w14:paraId="66EA1BFF" w14:textId="1F6F389D" w:rsidR="00CB070D" w:rsidRPr="00CB070D" w:rsidRDefault="00A1797C" w:rsidP="00CB070D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>Кожевина О.В., Передних Л.В</w:t>
      </w:r>
      <w:r w:rsidRPr="00A1797C">
        <w:rPr>
          <w:rFonts w:ascii="Times New Roman" w:eastAsia="Times New Roman" w:hAnsi="Times New Roman" w:cs="Times New Roman"/>
          <w:i/>
          <w:iCs/>
          <w:sz w:val="24"/>
          <w:lang w:eastAsia="ru-RU"/>
        </w:rPr>
        <w:t>.</w:t>
      </w: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> Анализ структурных сдвигов в российской экономике: причины, факторы, последствия // Экономика и управление: проблемы, решения. – 2017. – Т. 1. – № 2. – С. 4–10.</w:t>
      </w:r>
      <w:r w:rsidR="00CB070D"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. </w:t>
      </w:r>
    </w:p>
    <w:p w14:paraId="169C17AF" w14:textId="77777777" w:rsidR="00A1797C" w:rsidRPr="00A1797C" w:rsidRDefault="00A1797C" w:rsidP="00A179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Самарина В.П. Показатели реакции регионов Центрального федерального округа на изменение внешних условий // Региональная экономика: теория и практика. – 2023. – № 14. – С. 2–10. </w:t>
      </w:r>
    </w:p>
    <w:p w14:paraId="542B34EA" w14:textId="7D45541C" w:rsidR="00A1797C" w:rsidRPr="00A1797C" w:rsidRDefault="00CB070D" w:rsidP="00A179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CB070D">
        <w:rPr>
          <w:rFonts w:ascii="Times New Roman" w:eastAsia="Times New Roman" w:hAnsi="Times New Roman" w:cs="Times New Roman"/>
          <w:iCs/>
          <w:sz w:val="24"/>
          <w:lang w:eastAsia="ru-RU"/>
        </w:rPr>
        <w:t xml:space="preserve">Супрун, В.А. Интеллектуальный капитал: Главный фактор конкурентоспособности экономики в ХХI веке : монография / В.А. Супрун. – Изд. 2-е. – Москва : Либроком, 2010. – 192 с. </w:t>
      </w:r>
    </w:p>
    <w:p w14:paraId="08DB9942" w14:textId="15DFDC45" w:rsidR="00A1797C" w:rsidRDefault="00A1797C" w:rsidP="00A179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>Тихонова Т.А</w:t>
      </w:r>
      <w:r w:rsidRPr="00A1797C">
        <w:rPr>
          <w:rFonts w:ascii="Times New Roman" w:eastAsia="Times New Roman" w:hAnsi="Times New Roman" w:cs="Times New Roman"/>
          <w:i/>
          <w:iCs/>
          <w:sz w:val="24"/>
          <w:lang w:eastAsia="ru-RU"/>
        </w:rPr>
        <w:t>. </w:t>
      </w:r>
      <w:r w:rsidRPr="00A1797C">
        <w:rPr>
          <w:rFonts w:ascii="Times New Roman" w:eastAsia="Times New Roman" w:hAnsi="Times New Roman" w:cs="Times New Roman"/>
          <w:sz w:val="24"/>
          <w:lang w:eastAsia="ru-RU"/>
        </w:rPr>
        <w:t>Оценка влияния экономических агентов на развитие замкнутого цикла. – М.: Изд-во РГЭУ, 2017. – 196 с.</w:t>
      </w:r>
    </w:p>
    <w:p w14:paraId="4B9F7605" w14:textId="1899D644" w:rsidR="00886170" w:rsidRPr="00A1797C" w:rsidRDefault="00A1797C" w:rsidP="00A1797C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A1797C">
        <w:rPr>
          <w:rFonts w:ascii="Times New Roman" w:eastAsia="Times New Roman" w:hAnsi="Times New Roman" w:cs="Times New Roman"/>
          <w:iCs/>
          <w:sz w:val="24"/>
          <w:lang w:eastAsia="ru-RU"/>
        </w:rPr>
        <w:t>Шараев Ю.В. Теория экономического роста. – М.: Изд. дом ГУ ВШЭ, 2006. – 254 с.</w:t>
      </w:r>
    </w:p>
    <w:p w14:paraId="67B8B792" w14:textId="77777777" w:rsidR="00A1797C" w:rsidRDefault="00A1797C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</w:p>
    <w:p w14:paraId="3467508E" w14:textId="77777777" w:rsidR="00A1797C" w:rsidRDefault="00A1797C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</w:p>
    <w:p w14:paraId="6EA392F1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2E1784">
        <w:rPr>
          <w:rFonts w:ascii="Times New Roman" w:eastAsia="Calibri" w:hAnsi="Times New Roman" w:cs="Times New Roman"/>
          <w:b/>
          <w:sz w:val="24"/>
        </w:rPr>
        <w:lastRenderedPageBreak/>
        <w:t>Информация об авторе (-ах) на русском языке</w:t>
      </w:r>
    </w:p>
    <w:p w14:paraId="14490D4E" w14:textId="4BB5B16B" w:rsidR="002E1784" w:rsidRPr="002E1784" w:rsidRDefault="00CB070D" w:rsidP="002E1784">
      <w:pPr>
        <w:spacing w:after="0"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Третьякова Лариса Александровна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 (</w:t>
      </w:r>
      <w:r>
        <w:rPr>
          <w:rFonts w:ascii="Times New Roman" w:eastAsia="Calibri" w:hAnsi="Times New Roman" w:cs="Times New Roman"/>
          <w:sz w:val="24"/>
        </w:rPr>
        <w:t>Российская Федерация, г. Белгород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) – </w:t>
      </w:r>
      <w:r>
        <w:rPr>
          <w:rFonts w:ascii="Times New Roman" w:eastAsia="Calibri" w:hAnsi="Times New Roman" w:cs="Times New Roman"/>
          <w:sz w:val="24"/>
        </w:rPr>
        <w:t>доктор экономических наук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>
        <w:rPr>
          <w:rFonts w:ascii="Times New Roman" w:eastAsia="Calibri" w:hAnsi="Times New Roman" w:cs="Times New Roman"/>
          <w:sz w:val="24"/>
        </w:rPr>
        <w:t>профессор кафедры менеджмента и маркетинга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 w:rsidRPr="00CB070D">
        <w:rPr>
          <w:rFonts w:ascii="Times New Roman" w:eastAsia="Calibri" w:hAnsi="Times New Roman" w:cs="Times New Roman"/>
          <w:sz w:val="24"/>
        </w:rPr>
        <w:t xml:space="preserve">ФГАОУ ВО «Белгородский государственный национальный исследовательский университет» </w:t>
      </w:r>
      <w:r w:rsidR="002E1784" w:rsidRPr="002E1784">
        <w:rPr>
          <w:rFonts w:ascii="Times New Roman" w:eastAsia="Calibri" w:hAnsi="Times New Roman" w:cs="Times New Roman"/>
          <w:sz w:val="24"/>
        </w:rPr>
        <w:t>(</w:t>
      </w:r>
      <w:r w:rsidRPr="00CB070D">
        <w:rPr>
          <w:rFonts w:ascii="Times New Roman" w:eastAsia="Calibri" w:hAnsi="Times New Roman" w:cs="Times New Roman"/>
          <w:sz w:val="24"/>
        </w:rPr>
        <w:t>Россия,</w:t>
      </w:r>
      <w:r w:rsidRPr="00CB070D">
        <w:rPr>
          <w:rFonts w:ascii="Times New Roman" w:eastAsia="Calibri" w:hAnsi="Times New Roman" w:cs="Times New Roman"/>
          <w:sz w:val="24"/>
        </w:rPr>
        <w:br/>
        <w:t>3080</w:t>
      </w:r>
      <w:r>
        <w:rPr>
          <w:rFonts w:ascii="Times New Roman" w:eastAsia="Calibri" w:hAnsi="Times New Roman" w:cs="Times New Roman"/>
          <w:sz w:val="24"/>
        </w:rPr>
        <w:t>15, г. Белгород, ул. Победы, 85</w:t>
      </w:r>
      <w:r w:rsidR="002E1784" w:rsidRPr="002E1784">
        <w:rPr>
          <w:rFonts w:ascii="Times New Roman" w:eastAsia="Calibri" w:hAnsi="Times New Roman" w:cs="Times New Roman"/>
          <w:sz w:val="24"/>
        </w:rPr>
        <w:t xml:space="preserve">, </w:t>
      </w:r>
      <w:r w:rsidRPr="00CB070D">
        <w:rPr>
          <w:rFonts w:ascii="Times New Roman" w:eastAsia="Calibri" w:hAnsi="Times New Roman" w:cs="Times New Roman"/>
          <w:sz w:val="24"/>
          <w:lang w:val="en-US"/>
        </w:rPr>
        <w:t>lora</w:t>
      </w:r>
      <w:r w:rsidRPr="00CB070D">
        <w:rPr>
          <w:rFonts w:ascii="Times New Roman" w:eastAsia="Calibri" w:hAnsi="Times New Roman" w:cs="Times New Roman"/>
          <w:sz w:val="24"/>
        </w:rPr>
        <w:t>_</w:t>
      </w:r>
      <w:r w:rsidRPr="00CB070D">
        <w:rPr>
          <w:rFonts w:ascii="Times New Roman" w:eastAsia="Calibri" w:hAnsi="Times New Roman" w:cs="Times New Roman"/>
          <w:sz w:val="24"/>
          <w:lang w:val="en-US"/>
        </w:rPr>
        <w:t>tretyakova</w:t>
      </w:r>
      <w:r w:rsidRPr="00CB070D">
        <w:rPr>
          <w:rFonts w:ascii="Times New Roman" w:eastAsia="Calibri" w:hAnsi="Times New Roman" w:cs="Times New Roman"/>
          <w:sz w:val="24"/>
        </w:rPr>
        <w:t>@</w:t>
      </w:r>
      <w:r w:rsidRPr="00CB070D">
        <w:rPr>
          <w:rFonts w:ascii="Times New Roman" w:eastAsia="Calibri" w:hAnsi="Times New Roman" w:cs="Times New Roman"/>
          <w:sz w:val="24"/>
          <w:lang w:val="en-US"/>
        </w:rPr>
        <w:t>mail</w:t>
      </w:r>
      <w:r w:rsidRPr="00CB070D">
        <w:rPr>
          <w:rFonts w:ascii="Times New Roman" w:eastAsia="Calibri" w:hAnsi="Times New Roman" w:cs="Times New Roman"/>
          <w:sz w:val="24"/>
        </w:rPr>
        <w:t>.</w:t>
      </w:r>
      <w:r w:rsidRPr="00CB070D">
        <w:rPr>
          <w:rFonts w:ascii="Times New Roman" w:eastAsia="Calibri" w:hAnsi="Times New Roman" w:cs="Times New Roman"/>
          <w:sz w:val="24"/>
          <w:lang w:val="en-US"/>
        </w:rPr>
        <w:t>ru</w:t>
      </w:r>
      <w:r w:rsidR="002E1784" w:rsidRPr="002E1784">
        <w:rPr>
          <w:rFonts w:ascii="Times New Roman" w:eastAsia="Calibri" w:hAnsi="Times New Roman" w:cs="Times New Roman"/>
          <w:sz w:val="24"/>
        </w:rPr>
        <w:t>).</w:t>
      </w:r>
    </w:p>
    <w:p w14:paraId="030F0694" w14:textId="77777777"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727C1169" w14:textId="77777777" w:rsidR="002E1784" w:rsidRPr="002E1784" w:rsidRDefault="002E1784" w:rsidP="002E1784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</w:p>
    <w:p w14:paraId="79E62226" w14:textId="77777777" w:rsidR="00F4414A" w:rsidRPr="00F4414A" w:rsidRDefault="00F4414A" w:rsidP="00F4414A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</w:rPr>
      </w:pPr>
      <w:r w:rsidRPr="00F4414A">
        <w:rPr>
          <w:rFonts w:ascii="Times New Roman" w:eastAsia="Calibri" w:hAnsi="Times New Roman" w:cs="Times New Roman"/>
          <w:b/>
          <w:sz w:val="24"/>
        </w:rPr>
        <w:t>Tretyakova L. A.</w:t>
      </w:r>
    </w:p>
    <w:p w14:paraId="59B385FD" w14:textId="4FB21A46" w:rsidR="002E1784" w:rsidRPr="002E1784" w:rsidRDefault="00F4414A" w:rsidP="00F4414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F4414A">
        <w:rPr>
          <w:rFonts w:ascii="Times New Roman" w:eastAsia="Calibri" w:hAnsi="Times New Roman" w:cs="Times New Roman"/>
          <w:b/>
          <w:sz w:val="24"/>
        </w:rPr>
        <w:t>FEATURES OF LABOR PROCESSES IN HIGH-TECH REGIONAL AND INDUSTRIAL COMPLEXES</w:t>
      </w:r>
      <w:r w:rsidRPr="00F4414A">
        <w:rPr>
          <w:rFonts w:ascii="Times New Roman" w:eastAsia="Calibri" w:hAnsi="Times New Roman" w:cs="Times New Roman"/>
          <w:b/>
          <w:sz w:val="24"/>
          <w:lang w:eastAsia="ru-RU"/>
        </w:rPr>
        <w:t xml:space="preserve"> </w:t>
      </w:r>
    </w:p>
    <w:p w14:paraId="57281473" w14:textId="7F0DC0E6" w:rsidR="002E1784" w:rsidRPr="00F4414A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i/>
          <w:sz w:val="24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Аннотация</w:t>
      </w:r>
      <w:r w:rsidRPr="00F4414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статьи</w:t>
      </w:r>
      <w:r w:rsidRPr="00F4414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F4414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F4414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="00F4414A" w:rsidRPr="00F4414A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. </w:t>
      </w:r>
      <w:r w:rsidR="00F4414A" w:rsidRPr="00F4414A">
        <w:rPr>
          <w:rFonts w:ascii="Times New Roman" w:eastAsia="Times New Roman" w:hAnsi="Times New Roman" w:cs="Times New Roman"/>
          <w:iCs/>
          <w:sz w:val="24"/>
          <w:lang w:val="en-US" w:eastAsia="ru-RU"/>
        </w:rPr>
        <w:t>This article examines the features of labor processes that ensure a systematic increase in labor productivity in high-tech regional and industrial complexes. Several essential characteristics of the labor process are highlighted and trends in the development of labor activity in high-tech industries are presented. The systemic directions of state regulation of ensuring sustainable dynamics of labor productivity growth in high-tech regional and sectoral complexes have been identified.</w:t>
      </w:r>
    </w:p>
    <w:p w14:paraId="5DC4F00F" w14:textId="00459DFF" w:rsidR="002E1784" w:rsidRPr="00F4414A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val="en-US"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Ключевые</w:t>
      </w:r>
      <w:r w:rsidRPr="00F4414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слова</w:t>
      </w:r>
      <w:r w:rsidRPr="00F4414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на</w:t>
      </w:r>
      <w:r w:rsidRPr="00F4414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английском</w:t>
      </w:r>
      <w:r w:rsidRPr="00F4414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языке</w:t>
      </w:r>
      <w:r w:rsidR="00F4414A" w:rsidRPr="00F4414A">
        <w:rPr>
          <w:rFonts w:ascii="Times New Roman" w:eastAsia="Times New Roman" w:hAnsi="Times New Roman" w:cs="Times New Roman"/>
          <w:b/>
          <w:sz w:val="24"/>
          <w:lang w:val="en-US" w:eastAsia="ru-RU"/>
        </w:rPr>
        <w:t>:</w:t>
      </w:r>
      <w:r w:rsidR="00F4414A" w:rsidRPr="00F4414A">
        <w:rPr>
          <w:lang w:val="en-US"/>
        </w:rPr>
        <w:t xml:space="preserve"> </w:t>
      </w:r>
      <w:r w:rsidR="00F4414A" w:rsidRPr="00F4414A">
        <w:rPr>
          <w:rFonts w:ascii="Times New Roman" w:eastAsia="Times New Roman" w:hAnsi="Times New Roman" w:cs="Times New Roman"/>
          <w:sz w:val="24"/>
          <w:lang w:val="en-US" w:eastAsia="ru-RU"/>
        </w:rPr>
        <w:t>labor processes, labor productivity, labor resources, knowledge intensity, regional and sectoral complexes, innovations, government regulation</w:t>
      </w:r>
      <w:r w:rsidR="00F4414A" w:rsidRPr="00F4414A">
        <w:rPr>
          <w:rFonts w:ascii="Times New Roman" w:eastAsia="Times New Roman" w:hAnsi="Times New Roman" w:cs="Times New Roman"/>
          <w:b/>
          <w:sz w:val="24"/>
          <w:lang w:val="en-US" w:eastAsia="ru-RU"/>
        </w:rPr>
        <w:t>.</w:t>
      </w:r>
    </w:p>
    <w:p w14:paraId="09CAFAFC" w14:textId="77777777" w:rsidR="00F4414A" w:rsidRDefault="00F4414A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</w:p>
    <w:p w14:paraId="673A6289" w14:textId="77777777" w:rsidR="002E1784" w:rsidRPr="002E1784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Информация об авторе (-ах) на английском языке</w:t>
      </w:r>
    </w:p>
    <w:p w14:paraId="6467E5FC" w14:textId="77777777" w:rsidR="00F4414A" w:rsidRPr="00F4414A" w:rsidRDefault="00F4414A" w:rsidP="00F4414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>Larisa Tretyakova (Belgorod, Russian Federation) – Doctor of Economics, Professor of the Department of Management and Marketing, Belgorod State National Research University (Russia, 308015</w:t>
      </w:r>
    </w:p>
    <w:p w14:paraId="69FC7DBF" w14:textId="77777777" w:rsidR="00F4414A" w:rsidRPr="00F4414A" w:rsidRDefault="00F4414A" w:rsidP="00F4414A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4414A">
        <w:rPr>
          <w:rFonts w:ascii="Times New Roman" w:eastAsia="Times New Roman" w:hAnsi="Times New Roman" w:cs="Times New Roman"/>
          <w:sz w:val="24"/>
          <w:lang w:eastAsia="ru-RU"/>
        </w:rPr>
        <w:t>, Belgorod, Pobedy str., 85, lora_tretyakova@mail.ru ).</w:t>
      </w:r>
    </w:p>
    <w:p w14:paraId="08F06B2B" w14:textId="77777777" w:rsidR="00F4414A" w:rsidRDefault="00F4414A" w:rsidP="00F4414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359B1F21" w14:textId="16710599" w:rsidR="002E1784" w:rsidRPr="002E1784" w:rsidRDefault="002E1784" w:rsidP="00F4414A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2E1784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английском языке</w:t>
      </w:r>
    </w:p>
    <w:p w14:paraId="37EA0D85" w14:textId="77777777" w:rsidR="00F4414A" w:rsidRPr="00F4414A" w:rsidRDefault="00F4414A" w:rsidP="00F4414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>1. Zhigunova A.V., Gorkovenko N.A. The development of the digital economy as a condition for ensuring information security and countering corruption processes // Scientific review: theory and practice. – 2021. – T. 11. – № 1 (81). – Pp. 44-55.</w:t>
      </w:r>
    </w:p>
    <w:p w14:paraId="29156BCD" w14:textId="77777777" w:rsidR="00F4414A" w:rsidRPr="00F4414A" w:rsidRDefault="00F4414A" w:rsidP="00F4414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 xml:space="preserve">2. Babich O.V. Regional management and territorial development in the digital economy: textbook. manual / O.V. Babich, I.V. Igolnikova, I.A. Matyushkina, L.S. Mityuchenko, O.M. Mikhaleva.  Kursk: Publishing house of CJSC "University Book", 2023. 239 p. </w:t>
      </w:r>
    </w:p>
    <w:p w14:paraId="35D57210" w14:textId="77777777" w:rsidR="00F4414A" w:rsidRPr="00F4414A" w:rsidRDefault="00F4414A" w:rsidP="00F4414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 xml:space="preserve">3. Kozhevina O.V., Perednikh L.V. Analysis of structural shifts in the Russian economy: causes, factors, consequences // Economics and management: problems, solutions. – 2017. – Vol. 1. – No. 2. – pp. 4-10.. </w:t>
      </w:r>
    </w:p>
    <w:p w14:paraId="58859A71" w14:textId="77777777" w:rsidR="00F4414A" w:rsidRPr="00F4414A" w:rsidRDefault="00F4414A" w:rsidP="00F4414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>4. Samarina V.P. Indicators of the reaction of the regions of the Central Federal District to changes in external conditions // Regional economics: theory and practice. – 2023. – No. 14. – pp. 2-10.</w:t>
      </w:r>
    </w:p>
    <w:p w14:paraId="1882B798" w14:textId="77777777" w:rsidR="00F4414A" w:rsidRPr="00F4414A" w:rsidRDefault="00F4414A" w:rsidP="00F4414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 xml:space="preserve">5. Suprun, V.A. Intellectual capital: The main factor of economic competitiveness in the 21st century : monograph / V.A. Suprun. – 2nd ed. - Moscow : Librocom, 2010. – 192 p. </w:t>
      </w:r>
    </w:p>
    <w:p w14:paraId="69CA1430" w14:textId="77777777" w:rsidR="00F4414A" w:rsidRPr="00F4414A" w:rsidRDefault="00F4414A" w:rsidP="00F4414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>6. Tikhonova T.A. Assessment of the influence of economic agents on the development of a closed cycle. Moscow: Publishing House of the Russian State Economic University, 2017. 196 p.</w:t>
      </w:r>
    </w:p>
    <w:p w14:paraId="52626D76" w14:textId="08756AB4" w:rsidR="002E1784" w:rsidRPr="002E1784" w:rsidRDefault="00F4414A" w:rsidP="00F4414A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F4414A">
        <w:rPr>
          <w:rFonts w:ascii="Times New Roman" w:eastAsia="Times New Roman" w:hAnsi="Times New Roman" w:cs="Times New Roman"/>
          <w:sz w:val="24"/>
          <w:lang w:val="en-US" w:eastAsia="ru-RU"/>
        </w:rPr>
        <w:t xml:space="preserve">7. Sharaev Yu.V. Theory of economic growth. Moscow: Publishing House of the Higher School of Economics, 2006. </w:t>
      </w:r>
      <w:r w:rsidRPr="00F4414A">
        <w:rPr>
          <w:rFonts w:ascii="Times New Roman" w:eastAsia="Times New Roman" w:hAnsi="Times New Roman" w:cs="Times New Roman"/>
          <w:sz w:val="24"/>
          <w:lang w:eastAsia="ru-RU"/>
        </w:rPr>
        <w:t>254 p.</w:t>
      </w:r>
    </w:p>
    <w:p w14:paraId="250E39FC" w14:textId="77777777" w:rsidR="002E1784" w:rsidRPr="002E1784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2DD34487" w14:textId="77777777" w:rsidR="002E1784" w:rsidRPr="002E1784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CF8A990" w14:textId="77777777" w:rsidR="002E1784" w:rsidRPr="002E1784" w:rsidRDefault="002E1784" w:rsidP="002E1784">
      <w:pPr>
        <w:widowControl w:val="0"/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0A8DCDD6" w14:textId="77777777" w:rsidR="002E1784" w:rsidRPr="002E1784" w:rsidRDefault="002E1784" w:rsidP="002E178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14:paraId="7D1E3A05" w14:textId="77777777" w:rsidR="002E1784" w:rsidRPr="002E1784" w:rsidRDefault="002E1784" w:rsidP="002E1784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</w:p>
    <w:p w14:paraId="2323E919" w14:textId="77777777" w:rsidR="002E1784" w:rsidRDefault="002E1784" w:rsidP="003532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F0B45A" w14:textId="77777777" w:rsidR="00854770" w:rsidRPr="002E1784" w:rsidRDefault="00854770" w:rsidP="00353244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sectPr w:rsidR="00854770" w:rsidRPr="002E1784" w:rsidSect="001B595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257D4E" w14:textId="77777777" w:rsidR="00567DF5" w:rsidRDefault="00567DF5" w:rsidP="00827E82">
      <w:pPr>
        <w:spacing w:after="0" w:line="240" w:lineRule="auto"/>
      </w:pPr>
      <w:r>
        <w:separator/>
      </w:r>
    </w:p>
  </w:endnote>
  <w:endnote w:type="continuationSeparator" w:id="0">
    <w:p w14:paraId="3FDC1D6E" w14:textId="77777777" w:rsidR="00567DF5" w:rsidRDefault="00567DF5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545BFB9" w14:textId="77777777" w:rsidR="00567DF5" w:rsidRDefault="00567DF5" w:rsidP="00827E82">
      <w:pPr>
        <w:spacing w:after="0" w:line="240" w:lineRule="auto"/>
      </w:pPr>
      <w:r>
        <w:separator/>
      </w:r>
    </w:p>
  </w:footnote>
  <w:footnote w:type="continuationSeparator" w:id="0">
    <w:p w14:paraId="0277EF9F" w14:textId="77777777" w:rsidR="00567DF5" w:rsidRDefault="00567DF5" w:rsidP="00827E8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502602"/>
    <w:multiLevelType w:val="multilevel"/>
    <w:tmpl w:val="87E6F056"/>
    <w:lvl w:ilvl="0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236D5"/>
    <w:rsid w:val="00093BEC"/>
    <w:rsid w:val="001B5953"/>
    <w:rsid w:val="00276FFC"/>
    <w:rsid w:val="00287A94"/>
    <w:rsid w:val="00287F75"/>
    <w:rsid w:val="002E1784"/>
    <w:rsid w:val="00353244"/>
    <w:rsid w:val="00374BD7"/>
    <w:rsid w:val="0044325D"/>
    <w:rsid w:val="004B3E21"/>
    <w:rsid w:val="00567DF5"/>
    <w:rsid w:val="00590F6E"/>
    <w:rsid w:val="005F5AF9"/>
    <w:rsid w:val="00704ADB"/>
    <w:rsid w:val="00787640"/>
    <w:rsid w:val="007C5690"/>
    <w:rsid w:val="007D79E0"/>
    <w:rsid w:val="00827E82"/>
    <w:rsid w:val="00854770"/>
    <w:rsid w:val="00886060"/>
    <w:rsid w:val="00886170"/>
    <w:rsid w:val="008C75C1"/>
    <w:rsid w:val="00916BF7"/>
    <w:rsid w:val="009D1100"/>
    <w:rsid w:val="00A1797C"/>
    <w:rsid w:val="00AA6E7F"/>
    <w:rsid w:val="00B1532E"/>
    <w:rsid w:val="00BC155A"/>
    <w:rsid w:val="00C0695E"/>
    <w:rsid w:val="00CB070D"/>
    <w:rsid w:val="00CC04FB"/>
    <w:rsid w:val="00D93E29"/>
    <w:rsid w:val="00DE7D31"/>
    <w:rsid w:val="00EA4672"/>
    <w:rsid w:val="00F44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B3E2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semiHidden/>
    <w:rsid w:val="004B3E2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058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2653</Words>
  <Characters>15128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Сергей</cp:lastModifiedBy>
  <cp:revision>7</cp:revision>
  <dcterms:created xsi:type="dcterms:W3CDTF">2025-05-12T14:43:00Z</dcterms:created>
  <dcterms:modified xsi:type="dcterms:W3CDTF">2025-05-12T15:03:00Z</dcterms:modified>
</cp:coreProperties>
</file>